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1E2DDA" w:rsidP="00DA30CF">
      <w:pPr>
        <w:tabs>
          <w:tab w:val="right" w:pos="9360"/>
        </w:tabs>
        <w:spacing w:after="0" w:line="210" w:lineRule="exact"/>
        <w:rPr>
          <w:sz w:val="21"/>
          <w:szCs w:val="21"/>
        </w:rPr>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07513A">
        <w:rPr>
          <w:smallCaps/>
          <w:color w:val="000000"/>
          <w:sz w:val="28"/>
          <w:szCs w:val="26"/>
        </w:rPr>
        <w:t>23</w:t>
      </w:r>
      <w:r w:rsidR="00A55207">
        <w:rPr>
          <w:smallCaps/>
          <w:color w:val="000000"/>
          <w:sz w:val="28"/>
          <w:szCs w:val="26"/>
        </w:rPr>
        <w:t xml:space="preserve"> </w:t>
      </w:r>
      <w:r w:rsidR="0007513A">
        <w:rPr>
          <w:smallCaps/>
          <w:color w:val="000000"/>
          <w:sz w:val="28"/>
          <w:szCs w:val="26"/>
        </w:rPr>
        <w:t>July</w:t>
      </w:r>
      <w:r w:rsidR="00544893">
        <w:rPr>
          <w:smallCaps/>
          <w:color w:val="000000"/>
          <w:sz w:val="28"/>
          <w:szCs w:val="26"/>
        </w:rPr>
        <w:t xml:space="preserve"> 20</w:t>
      </w:r>
      <w:r w:rsidR="006A510F">
        <w:rPr>
          <w:smallCaps/>
          <w:color w:val="000000"/>
          <w:sz w:val="28"/>
          <w:szCs w:val="26"/>
        </w:rPr>
        <w:t>20</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1B7138">
      <w:pPr>
        <w:spacing w:after="0" w:line="360" w:lineRule="exact"/>
        <w:jc w:val="center"/>
        <w:rPr>
          <w:b/>
          <w:smallCaps/>
          <w:sz w:val="20"/>
          <w:szCs w:val="20"/>
        </w:rPr>
      </w:pPr>
      <w:r w:rsidRPr="008008DD">
        <w:rPr>
          <w:b/>
          <w:smallCaps/>
          <w:sz w:val="20"/>
          <w:szCs w:val="20"/>
        </w:rPr>
        <w:t>Contents</w:t>
      </w:r>
    </w:p>
    <w:p w:rsidR="001B7138" w:rsidRPr="008008DD" w:rsidRDefault="001B7138" w:rsidP="001B7138">
      <w:pPr>
        <w:spacing w:after="0" w:line="320" w:lineRule="exact"/>
        <w:jc w:val="center"/>
        <w:rPr>
          <w:b/>
          <w:smallCaps/>
          <w:sz w:val="20"/>
          <w:szCs w:val="20"/>
        </w:rPr>
      </w:pPr>
    </w:p>
    <w:p w:rsidR="001B7138" w:rsidRDefault="001B7138" w:rsidP="001B7138">
      <w:pPr>
        <w:spacing w:after="0" w:line="320" w:lineRule="exact"/>
        <w:jc w:val="center"/>
        <w:rPr>
          <w:b/>
          <w:smallCaps/>
          <w:sz w:val="24"/>
          <w:szCs w:val="24"/>
        </w:rPr>
        <w:sectPr w:rsidR="001B7138" w:rsidSect="0044514F">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3859"/>
          <w:cols w:space="708"/>
          <w:titlePg/>
          <w:docGrid w:linePitch="360"/>
        </w:sectPr>
      </w:pPr>
    </w:p>
    <w:sdt>
      <w:sdtPr>
        <w:rPr>
          <w:rFonts w:eastAsia="Calibri"/>
          <w:b w:val="0"/>
          <w:smallCaps w:val="0"/>
          <w:szCs w:val="22"/>
        </w:rPr>
        <w:id w:val="1768115464"/>
        <w:docPartObj>
          <w:docPartGallery w:val="Table of Contents"/>
          <w:docPartUnique/>
        </w:docPartObj>
      </w:sdtPr>
      <w:sdtEndPr>
        <w:rPr>
          <w:bCs/>
          <w:noProof/>
        </w:rPr>
      </w:sdtEndPr>
      <w:sdtContent>
        <w:p w:rsidR="006917AB" w:rsidRPr="00A14446" w:rsidRDefault="00E51E17" w:rsidP="00391385">
          <w:pPr>
            <w:pStyle w:val="Heading5"/>
            <w:spacing w:after="20"/>
            <w:rPr>
              <w:rFonts w:eastAsia="Calibri"/>
            </w:rPr>
          </w:pPr>
          <w:r>
            <w:rPr>
              <w:bCs/>
              <w:noProof/>
            </w:rPr>
            <w:fldChar w:fldCharType="begin"/>
          </w:r>
          <w:r>
            <w:rPr>
              <w:bCs/>
              <w:noProof/>
            </w:rPr>
            <w:instrText xml:space="preserve"> TOC \o "1-3" \h \z \u </w:instrText>
          </w:r>
          <w:r>
            <w:rPr>
              <w:bCs/>
              <w:noProof/>
            </w:rPr>
            <w:fldChar w:fldCharType="separate"/>
          </w:r>
          <w:hyperlink w:anchor="_Toc46398084" w:history="1">
            <w:r w:rsidR="006917AB" w:rsidRPr="00A14446">
              <w:t>Governor’s Instruments</w:t>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085" w:history="1">
            <w:r w:rsidR="006917AB" w:rsidRPr="002D486C">
              <w:rPr>
                <w:rStyle w:val="Hyperlink"/>
                <w:noProof/>
              </w:rPr>
              <w:t>Appointments</w:t>
            </w:r>
            <w:r w:rsidR="006917AB">
              <w:rPr>
                <w:noProof/>
                <w:webHidden/>
              </w:rPr>
              <w:tab/>
            </w:r>
            <w:r w:rsidR="006917AB">
              <w:rPr>
                <w:noProof/>
                <w:webHidden/>
              </w:rPr>
              <w:fldChar w:fldCharType="begin"/>
            </w:r>
            <w:r w:rsidR="006917AB">
              <w:rPr>
                <w:noProof/>
                <w:webHidden/>
              </w:rPr>
              <w:instrText xml:space="preserve"> PAGEREF _Toc46398085 \h </w:instrText>
            </w:r>
            <w:r w:rsidR="006917AB">
              <w:rPr>
                <w:noProof/>
                <w:webHidden/>
              </w:rPr>
            </w:r>
            <w:r w:rsidR="006917AB">
              <w:rPr>
                <w:noProof/>
                <w:webHidden/>
              </w:rPr>
              <w:fldChar w:fldCharType="separate"/>
            </w:r>
            <w:r w:rsidR="00E13A7C">
              <w:rPr>
                <w:noProof/>
                <w:webHidden/>
              </w:rPr>
              <w:t>3860</w:t>
            </w:r>
            <w:r w:rsidR="006917AB">
              <w:rPr>
                <w:noProof/>
                <w:webHidden/>
              </w:rPr>
              <w:fldChar w:fldCharType="end"/>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086" w:history="1">
            <w:r w:rsidR="006917AB" w:rsidRPr="002D486C">
              <w:rPr>
                <w:rStyle w:val="Hyperlink"/>
                <w:noProof/>
              </w:rPr>
              <w:t>Emergency Management Act 2004</w:t>
            </w:r>
            <w:r w:rsidR="006917AB">
              <w:rPr>
                <w:noProof/>
                <w:webHidden/>
              </w:rPr>
              <w:tab/>
            </w:r>
            <w:r w:rsidR="006917AB">
              <w:rPr>
                <w:noProof/>
                <w:webHidden/>
              </w:rPr>
              <w:fldChar w:fldCharType="begin"/>
            </w:r>
            <w:r w:rsidR="006917AB">
              <w:rPr>
                <w:noProof/>
                <w:webHidden/>
              </w:rPr>
              <w:instrText xml:space="preserve"> PAGEREF _Toc46398086 \h </w:instrText>
            </w:r>
            <w:r w:rsidR="006917AB">
              <w:rPr>
                <w:noProof/>
                <w:webHidden/>
              </w:rPr>
            </w:r>
            <w:r w:rsidR="006917AB">
              <w:rPr>
                <w:noProof/>
                <w:webHidden/>
              </w:rPr>
              <w:fldChar w:fldCharType="separate"/>
            </w:r>
            <w:r w:rsidR="00E13A7C">
              <w:rPr>
                <w:noProof/>
                <w:webHidden/>
              </w:rPr>
              <w:t>3861</w:t>
            </w:r>
            <w:r w:rsidR="006917AB">
              <w:rPr>
                <w:noProof/>
                <w:webHidden/>
              </w:rPr>
              <w:fldChar w:fldCharType="end"/>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087" w:history="1">
            <w:r w:rsidR="006917AB" w:rsidRPr="002D486C">
              <w:rPr>
                <w:rStyle w:val="Hyperlink"/>
                <w:noProof/>
              </w:rPr>
              <w:t>Regulations</w:t>
            </w:r>
            <w:r w:rsidR="003D3E30">
              <w:rPr>
                <w:rStyle w:val="Hyperlink"/>
                <w:noProof/>
              </w:rPr>
              <w:t>—</w:t>
            </w:r>
          </w:hyperlink>
        </w:p>
        <w:p w:rsidR="006917AB" w:rsidRDefault="00123FDA" w:rsidP="00911A8A">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46398088" w:history="1">
            <w:r w:rsidR="006917AB" w:rsidRPr="002D486C">
              <w:rPr>
                <w:rStyle w:val="Hyperlink"/>
                <w:noProof/>
              </w:rPr>
              <w:t>Valuation of Land Regulations 2020</w:t>
            </w:r>
            <w:r w:rsidR="00E27C24">
              <w:rPr>
                <w:rStyle w:val="Hyperlink"/>
                <w:noProof/>
              </w:rPr>
              <w:t>—</w:t>
            </w:r>
            <w:r w:rsidR="00E27C24">
              <w:rPr>
                <w:rStyle w:val="Hyperlink"/>
                <w:noProof/>
              </w:rPr>
              <w:br/>
              <w:t>No. 237 of 2020</w:t>
            </w:r>
            <w:r w:rsidR="006917AB">
              <w:rPr>
                <w:noProof/>
                <w:webHidden/>
              </w:rPr>
              <w:tab/>
            </w:r>
            <w:r w:rsidR="006917AB">
              <w:rPr>
                <w:noProof/>
                <w:webHidden/>
              </w:rPr>
              <w:fldChar w:fldCharType="begin"/>
            </w:r>
            <w:r w:rsidR="006917AB">
              <w:rPr>
                <w:noProof/>
                <w:webHidden/>
              </w:rPr>
              <w:instrText xml:space="preserve"> PAGEREF _Toc46398088 \h </w:instrText>
            </w:r>
            <w:r w:rsidR="006917AB">
              <w:rPr>
                <w:noProof/>
                <w:webHidden/>
              </w:rPr>
            </w:r>
            <w:r w:rsidR="006917AB">
              <w:rPr>
                <w:noProof/>
                <w:webHidden/>
              </w:rPr>
              <w:fldChar w:fldCharType="separate"/>
            </w:r>
            <w:r w:rsidR="00E13A7C">
              <w:rPr>
                <w:noProof/>
                <w:webHidden/>
              </w:rPr>
              <w:t>3862</w:t>
            </w:r>
            <w:r w:rsidR="006917AB">
              <w:rPr>
                <w:noProof/>
                <w:webHidden/>
              </w:rPr>
              <w:fldChar w:fldCharType="end"/>
            </w:r>
          </w:hyperlink>
        </w:p>
        <w:p w:rsidR="006917AB" w:rsidRDefault="00123FDA" w:rsidP="00911A8A">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46398089" w:history="1">
            <w:r w:rsidR="006917AB" w:rsidRPr="002D486C">
              <w:rPr>
                <w:rStyle w:val="Hyperlink"/>
                <w:noProof/>
              </w:rPr>
              <w:t>Survey Regulations 2020</w:t>
            </w:r>
            <w:r w:rsidR="00903E2E">
              <w:rPr>
                <w:noProof/>
              </w:rPr>
              <w:t>—</w:t>
            </w:r>
            <w:r w:rsidR="00903E2E" w:rsidRPr="00903E2E">
              <w:rPr>
                <w:rStyle w:val="Hyperlink"/>
                <w:noProof/>
              </w:rPr>
              <w:t>No. 23</w:t>
            </w:r>
            <w:r w:rsidR="00903E2E">
              <w:rPr>
                <w:rStyle w:val="Hyperlink"/>
                <w:noProof/>
              </w:rPr>
              <w:t>8</w:t>
            </w:r>
            <w:r w:rsidR="00903E2E" w:rsidRPr="00903E2E">
              <w:rPr>
                <w:rStyle w:val="Hyperlink"/>
                <w:noProof/>
              </w:rPr>
              <w:t xml:space="preserve"> of 2020</w:t>
            </w:r>
            <w:r w:rsidR="006917AB">
              <w:rPr>
                <w:noProof/>
                <w:webHidden/>
              </w:rPr>
              <w:tab/>
            </w:r>
            <w:r w:rsidR="006917AB">
              <w:rPr>
                <w:noProof/>
                <w:webHidden/>
              </w:rPr>
              <w:fldChar w:fldCharType="begin"/>
            </w:r>
            <w:r w:rsidR="006917AB">
              <w:rPr>
                <w:noProof/>
                <w:webHidden/>
              </w:rPr>
              <w:instrText xml:space="preserve"> PAGEREF _Toc46398089 \h </w:instrText>
            </w:r>
            <w:r w:rsidR="006917AB">
              <w:rPr>
                <w:noProof/>
                <w:webHidden/>
              </w:rPr>
            </w:r>
            <w:r w:rsidR="006917AB">
              <w:rPr>
                <w:noProof/>
                <w:webHidden/>
              </w:rPr>
              <w:fldChar w:fldCharType="separate"/>
            </w:r>
            <w:r w:rsidR="00E13A7C">
              <w:rPr>
                <w:noProof/>
                <w:webHidden/>
              </w:rPr>
              <w:t>3869</w:t>
            </w:r>
            <w:r w:rsidR="006917AB">
              <w:rPr>
                <w:noProof/>
                <w:webHidden/>
              </w:rPr>
              <w:fldChar w:fldCharType="end"/>
            </w:r>
          </w:hyperlink>
        </w:p>
        <w:p w:rsidR="006917AB" w:rsidRDefault="00123FDA" w:rsidP="00911A8A">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46398090" w:history="1">
            <w:r w:rsidR="006917AB" w:rsidRPr="002D486C">
              <w:rPr>
                <w:rStyle w:val="Hyperlink"/>
                <w:noProof/>
              </w:rPr>
              <w:t>Real Property (Survey) Variation Regulations 2020</w:t>
            </w:r>
            <w:r w:rsidR="00903E2E" w:rsidRPr="00903E2E">
              <w:rPr>
                <w:rStyle w:val="Hyperlink"/>
                <w:noProof/>
              </w:rPr>
              <w:t>—</w:t>
            </w:r>
            <w:r w:rsidR="00903E2E">
              <w:rPr>
                <w:rStyle w:val="Hyperlink"/>
                <w:noProof/>
              </w:rPr>
              <w:br/>
            </w:r>
            <w:r w:rsidR="00903E2E" w:rsidRPr="00903E2E">
              <w:rPr>
                <w:rStyle w:val="Hyperlink"/>
                <w:noProof/>
              </w:rPr>
              <w:t>No. 23</w:t>
            </w:r>
            <w:r w:rsidR="00903E2E">
              <w:rPr>
                <w:rStyle w:val="Hyperlink"/>
                <w:noProof/>
              </w:rPr>
              <w:t>9</w:t>
            </w:r>
            <w:r w:rsidR="00903E2E" w:rsidRPr="00903E2E">
              <w:rPr>
                <w:rStyle w:val="Hyperlink"/>
                <w:noProof/>
              </w:rPr>
              <w:t xml:space="preserve"> of 2020</w:t>
            </w:r>
            <w:r w:rsidR="006917AB">
              <w:rPr>
                <w:noProof/>
                <w:webHidden/>
              </w:rPr>
              <w:tab/>
            </w:r>
            <w:r w:rsidR="006917AB">
              <w:rPr>
                <w:noProof/>
                <w:webHidden/>
              </w:rPr>
              <w:fldChar w:fldCharType="begin"/>
            </w:r>
            <w:r w:rsidR="006917AB">
              <w:rPr>
                <w:noProof/>
                <w:webHidden/>
              </w:rPr>
              <w:instrText xml:space="preserve"> PAGEREF _Toc46398090 \h </w:instrText>
            </w:r>
            <w:r w:rsidR="006917AB">
              <w:rPr>
                <w:noProof/>
                <w:webHidden/>
              </w:rPr>
            </w:r>
            <w:r w:rsidR="006917AB">
              <w:rPr>
                <w:noProof/>
                <w:webHidden/>
              </w:rPr>
              <w:fldChar w:fldCharType="separate"/>
            </w:r>
            <w:r w:rsidR="00E13A7C">
              <w:rPr>
                <w:noProof/>
                <w:webHidden/>
              </w:rPr>
              <w:t>3881</w:t>
            </w:r>
            <w:r w:rsidR="006917AB">
              <w:rPr>
                <w:noProof/>
                <w:webHidden/>
              </w:rPr>
              <w:fldChar w:fldCharType="end"/>
            </w:r>
          </w:hyperlink>
        </w:p>
        <w:p w:rsidR="006917AB" w:rsidRDefault="00123FDA" w:rsidP="00911A8A">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46398091" w:history="1">
            <w:r w:rsidR="006917AB" w:rsidRPr="002D486C">
              <w:rPr>
                <w:rStyle w:val="Hyperlink"/>
                <w:noProof/>
              </w:rPr>
              <w:t>Petroleum (Submerged Lands) Regulations 2020</w:t>
            </w:r>
            <w:r w:rsidR="00903E2E" w:rsidRPr="00903E2E">
              <w:rPr>
                <w:rStyle w:val="Hyperlink"/>
                <w:noProof/>
              </w:rPr>
              <w:t>—</w:t>
            </w:r>
            <w:r w:rsidR="00903E2E">
              <w:rPr>
                <w:rStyle w:val="Hyperlink"/>
                <w:noProof/>
              </w:rPr>
              <w:br/>
            </w:r>
            <w:r w:rsidR="00903E2E" w:rsidRPr="00903E2E">
              <w:rPr>
                <w:rStyle w:val="Hyperlink"/>
                <w:noProof/>
              </w:rPr>
              <w:t>No. 2</w:t>
            </w:r>
            <w:r w:rsidR="00903E2E">
              <w:rPr>
                <w:rStyle w:val="Hyperlink"/>
                <w:noProof/>
              </w:rPr>
              <w:t>40</w:t>
            </w:r>
            <w:r w:rsidR="00903E2E" w:rsidRPr="00903E2E">
              <w:rPr>
                <w:rStyle w:val="Hyperlink"/>
                <w:noProof/>
              </w:rPr>
              <w:t xml:space="preserve"> of 2020</w:t>
            </w:r>
            <w:r w:rsidR="006917AB">
              <w:rPr>
                <w:noProof/>
                <w:webHidden/>
              </w:rPr>
              <w:tab/>
            </w:r>
            <w:r w:rsidR="006917AB">
              <w:rPr>
                <w:noProof/>
                <w:webHidden/>
              </w:rPr>
              <w:fldChar w:fldCharType="begin"/>
            </w:r>
            <w:r w:rsidR="006917AB">
              <w:rPr>
                <w:noProof/>
                <w:webHidden/>
              </w:rPr>
              <w:instrText xml:space="preserve"> PAGEREF _Toc46398091 \h </w:instrText>
            </w:r>
            <w:r w:rsidR="006917AB">
              <w:rPr>
                <w:noProof/>
                <w:webHidden/>
              </w:rPr>
            </w:r>
            <w:r w:rsidR="006917AB">
              <w:rPr>
                <w:noProof/>
                <w:webHidden/>
              </w:rPr>
              <w:fldChar w:fldCharType="separate"/>
            </w:r>
            <w:r w:rsidR="00E13A7C">
              <w:rPr>
                <w:noProof/>
                <w:webHidden/>
              </w:rPr>
              <w:t>3882</w:t>
            </w:r>
            <w:r w:rsidR="006917AB">
              <w:rPr>
                <w:noProof/>
                <w:webHidden/>
              </w:rPr>
              <w:fldChar w:fldCharType="end"/>
            </w:r>
          </w:hyperlink>
        </w:p>
        <w:p w:rsidR="006917AB" w:rsidRDefault="00123FDA" w:rsidP="00911A8A">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46398092" w:history="1">
            <w:r w:rsidR="006917AB" w:rsidRPr="002D486C">
              <w:rPr>
                <w:rStyle w:val="Hyperlink"/>
                <w:noProof/>
              </w:rPr>
              <w:t xml:space="preserve">Planning, Development and Infrastructure (General) (Miscellaneous) (No 2) Variation </w:t>
            </w:r>
            <w:r w:rsidR="00903E2E">
              <w:rPr>
                <w:rStyle w:val="Hyperlink"/>
                <w:noProof/>
              </w:rPr>
              <w:br/>
            </w:r>
            <w:r w:rsidR="006917AB" w:rsidRPr="002D486C">
              <w:rPr>
                <w:rStyle w:val="Hyperlink"/>
                <w:noProof/>
              </w:rPr>
              <w:t>Regulations 2020</w:t>
            </w:r>
            <w:r w:rsidR="00903E2E" w:rsidRPr="00903E2E">
              <w:rPr>
                <w:rStyle w:val="Hyperlink"/>
                <w:noProof/>
              </w:rPr>
              <w:t>—No. 2</w:t>
            </w:r>
            <w:r w:rsidR="00903E2E">
              <w:rPr>
                <w:rStyle w:val="Hyperlink"/>
                <w:noProof/>
              </w:rPr>
              <w:t>41</w:t>
            </w:r>
            <w:r w:rsidR="00903E2E" w:rsidRPr="00903E2E">
              <w:rPr>
                <w:rStyle w:val="Hyperlink"/>
                <w:noProof/>
              </w:rPr>
              <w:t xml:space="preserve"> of 2020</w:t>
            </w:r>
            <w:r w:rsidR="006917AB">
              <w:rPr>
                <w:noProof/>
                <w:webHidden/>
              </w:rPr>
              <w:tab/>
            </w:r>
            <w:r w:rsidR="006917AB">
              <w:rPr>
                <w:noProof/>
                <w:webHidden/>
              </w:rPr>
              <w:fldChar w:fldCharType="begin"/>
            </w:r>
            <w:r w:rsidR="006917AB">
              <w:rPr>
                <w:noProof/>
                <w:webHidden/>
              </w:rPr>
              <w:instrText xml:space="preserve"> PAGEREF _Toc46398092 \h </w:instrText>
            </w:r>
            <w:r w:rsidR="006917AB">
              <w:rPr>
                <w:noProof/>
                <w:webHidden/>
              </w:rPr>
            </w:r>
            <w:r w:rsidR="006917AB">
              <w:rPr>
                <w:noProof/>
                <w:webHidden/>
              </w:rPr>
              <w:fldChar w:fldCharType="separate"/>
            </w:r>
            <w:r w:rsidR="00E13A7C">
              <w:rPr>
                <w:noProof/>
                <w:webHidden/>
              </w:rPr>
              <w:t>3976</w:t>
            </w:r>
            <w:r w:rsidR="006917AB">
              <w:rPr>
                <w:noProof/>
                <w:webHidden/>
              </w:rPr>
              <w:fldChar w:fldCharType="end"/>
            </w:r>
          </w:hyperlink>
        </w:p>
        <w:p w:rsidR="006917AB" w:rsidRDefault="00123FDA" w:rsidP="00391385">
          <w:pPr>
            <w:pStyle w:val="TOC1"/>
            <w:rPr>
              <w:rFonts w:asciiTheme="minorHAnsi" w:eastAsiaTheme="minorEastAsia" w:hAnsiTheme="minorHAnsi" w:cstheme="minorBidi"/>
              <w:noProof/>
              <w:color w:val="auto"/>
              <w:sz w:val="22"/>
              <w:szCs w:val="22"/>
            </w:rPr>
          </w:pPr>
          <w:hyperlink w:anchor="_Toc46398093" w:history="1">
            <w:r w:rsidR="006917AB" w:rsidRPr="003D3E30">
              <w:rPr>
                <w:rStyle w:val="Heading5Char"/>
                <w:noProof/>
              </w:rPr>
              <w:t>State Government Instruments</w:t>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094" w:history="1">
            <w:r w:rsidR="006917AB" w:rsidRPr="002D486C">
              <w:rPr>
                <w:rStyle w:val="Hyperlink"/>
                <w:noProof/>
              </w:rPr>
              <w:t>Building Work Contractors Act 1995</w:t>
            </w:r>
            <w:r w:rsidR="006917AB">
              <w:rPr>
                <w:noProof/>
                <w:webHidden/>
              </w:rPr>
              <w:tab/>
            </w:r>
            <w:r w:rsidR="006917AB">
              <w:rPr>
                <w:noProof/>
                <w:webHidden/>
              </w:rPr>
              <w:fldChar w:fldCharType="begin"/>
            </w:r>
            <w:r w:rsidR="006917AB">
              <w:rPr>
                <w:noProof/>
                <w:webHidden/>
              </w:rPr>
              <w:instrText xml:space="preserve"> PAGEREF _Toc46398094 \h </w:instrText>
            </w:r>
            <w:r w:rsidR="006917AB">
              <w:rPr>
                <w:noProof/>
                <w:webHidden/>
              </w:rPr>
            </w:r>
            <w:r w:rsidR="006917AB">
              <w:rPr>
                <w:noProof/>
                <w:webHidden/>
              </w:rPr>
              <w:fldChar w:fldCharType="separate"/>
            </w:r>
            <w:r w:rsidR="00E13A7C">
              <w:rPr>
                <w:noProof/>
                <w:webHidden/>
              </w:rPr>
              <w:t>4000</w:t>
            </w:r>
            <w:r w:rsidR="006917AB">
              <w:rPr>
                <w:noProof/>
                <w:webHidden/>
              </w:rPr>
              <w:fldChar w:fldCharType="end"/>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095" w:history="1">
            <w:r w:rsidR="006917AB" w:rsidRPr="002D486C">
              <w:rPr>
                <w:rStyle w:val="Hyperlink"/>
                <w:noProof/>
              </w:rPr>
              <w:t>Geographical Names Act 1991</w:t>
            </w:r>
            <w:r w:rsidR="006917AB">
              <w:rPr>
                <w:noProof/>
                <w:webHidden/>
              </w:rPr>
              <w:tab/>
            </w:r>
            <w:r w:rsidR="006917AB">
              <w:rPr>
                <w:noProof/>
                <w:webHidden/>
              </w:rPr>
              <w:fldChar w:fldCharType="begin"/>
            </w:r>
            <w:r w:rsidR="006917AB">
              <w:rPr>
                <w:noProof/>
                <w:webHidden/>
              </w:rPr>
              <w:instrText xml:space="preserve"> PAGEREF _Toc46398095 \h </w:instrText>
            </w:r>
            <w:r w:rsidR="006917AB">
              <w:rPr>
                <w:noProof/>
                <w:webHidden/>
              </w:rPr>
            </w:r>
            <w:r w:rsidR="006917AB">
              <w:rPr>
                <w:noProof/>
                <w:webHidden/>
              </w:rPr>
              <w:fldChar w:fldCharType="separate"/>
            </w:r>
            <w:r w:rsidR="00E13A7C">
              <w:rPr>
                <w:noProof/>
                <w:webHidden/>
              </w:rPr>
              <w:t>4001</w:t>
            </w:r>
            <w:r w:rsidR="006917AB">
              <w:rPr>
                <w:noProof/>
                <w:webHidden/>
              </w:rPr>
              <w:fldChar w:fldCharType="end"/>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096" w:history="1">
            <w:r w:rsidR="006917AB" w:rsidRPr="002D486C">
              <w:rPr>
                <w:rStyle w:val="Hyperlink"/>
                <w:noProof/>
              </w:rPr>
              <w:t>Land Acquisition Act 1969</w:t>
            </w:r>
            <w:r w:rsidR="006917AB">
              <w:rPr>
                <w:noProof/>
                <w:webHidden/>
              </w:rPr>
              <w:tab/>
            </w:r>
            <w:r w:rsidR="006917AB">
              <w:rPr>
                <w:noProof/>
                <w:webHidden/>
              </w:rPr>
              <w:fldChar w:fldCharType="begin"/>
            </w:r>
            <w:r w:rsidR="006917AB">
              <w:rPr>
                <w:noProof/>
                <w:webHidden/>
              </w:rPr>
              <w:instrText xml:space="preserve"> PAGEREF _Toc46398096 \h </w:instrText>
            </w:r>
            <w:r w:rsidR="006917AB">
              <w:rPr>
                <w:noProof/>
                <w:webHidden/>
              </w:rPr>
            </w:r>
            <w:r w:rsidR="006917AB">
              <w:rPr>
                <w:noProof/>
                <w:webHidden/>
              </w:rPr>
              <w:fldChar w:fldCharType="separate"/>
            </w:r>
            <w:r w:rsidR="00E13A7C">
              <w:rPr>
                <w:noProof/>
                <w:webHidden/>
              </w:rPr>
              <w:t>4001</w:t>
            </w:r>
            <w:r w:rsidR="006917AB">
              <w:rPr>
                <w:noProof/>
                <w:webHidden/>
              </w:rPr>
              <w:fldChar w:fldCharType="end"/>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097" w:history="1">
            <w:r w:rsidR="006917AB" w:rsidRPr="002D486C">
              <w:rPr>
                <w:rStyle w:val="Hyperlink"/>
                <w:noProof/>
              </w:rPr>
              <w:t>Landscape South Australia Act 2019</w:t>
            </w:r>
            <w:r w:rsidR="006917AB">
              <w:rPr>
                <w:noProof/>
                <w:webHidden/>
              </w:rPr>
              <w:tab/>
            </w:r>
            <w:r w:rsidR="006917AB">
              <w:rPr>
                <w:noProof/>
                <w:webHidden/>
              </w:rPr>
              <w:fldChar w:fldCharType="begin"/>
            </w:r>
            <w:r w:rsidR="006917AB">
              <w:rPr>
                <w:noProof/>
                <w:webHidden/>
              </w:rPr>
              <w:instrText xml:space="preserve"> PAGEREF _Toc46398097 \h </w:instrText>
            </w:r>
            <w:r w:rsidR="006917AB">
              <w:rPr>
                <w:noProof/>
                <w:webHidden/>
              </w:rPr>
            </w:r>
            <w:r w:rsidR="006917AB">
              <w:rPr>
                <w:noProof/>
                <w:webHidden/>
              </w:rPr>
              <w:fldChar w:fldCharType="separate"/>
            </w:r>
            <w:r w:rsidR="00E13A7C">
              <w:rPr>
                <w:noProof/>
                <w:webHidden/>
              </w:rPr>
              <w:t>4002</w:t>
            </w:r>
            <w:r w:rsidR="006917AB">
              <w:rPr>
                <w:noProof/>
                <w:webHidden/>
              </w:rPr>
              <w:fldChar w:fldCharType="end"/>
            </w:r>
          </w:hyperlink>
        </w:p>
        <w:p w:rsidR="006917AB" w:rsidRDefault="006D3361" w:rsidP="00911A8A">
          <w:pPr>
            <w:pStyle w:val="TOC2"/>
            <w:tabs>
              <w:tab w:val="right" w:leader="dot" w:pos="4550"/>
            </w:tabs>
            <w:rPr>
              <w:rFonts w:asciiTheme="minorHAnsi" w:eastAsiaTheme="minorEastAsia" w:hAnsiTheme="minorHAnsi" w:cstheme="minorBidi"/>
              <w:noProof/>
              <w:color w:val="auto"/>
              <w:sz w:val="22"/>
              <w:szCs w:val="22"/>
            </w:rPr>
          </w:pPr>
          <w:r>
            <w:rPr>
              <w:rStyle w:val="Hyperlink"/>
              <w:noProof/>
            </w:rPr>
            <w:br w:type="column"/>
          </w:r>
          <w:hyperlink w:anchor="_Toc46398098" w:history="1">
            <w:r w:rsidR="006917AB" w:rsidRPr="002D486C">
              <w:rPr>
                <w:rStyle w:val="Hyperlink"/>
                <w:noProof/>
              </w:rPr>
              <w:t>Libraries Board of South Australia</w:t>
            </w:r>
            <w:r w:rsidR="006917AB">
              <w:rPr>
                <w:noProof/>
                <w:webHidden/>
              </w:rPr>
              <w:tab/>
            </w:r>
            <w:r w:rsidR="006917AB">
              <w:rPr>
                <w:noProof/>
                <w:webHidden/>
              </w:rPr>
              <w:fldChar w:fldCharType="begin"/>
            </w:r>
            <w:r w:rsidR="006917AB">
              <w:rPr>
                <w:noProof/>
                <w:webHidden/>
              </w:rPr>
              <w:instrText xml:space="preserve"> PAGEREF _Toc46398098 \h </w:instrText>
            </w:r>
            <w:r w:rsidR="006917AB">
              <w:rPr>
                <w:noProof/>
                <w:webHidden/>
              </w:rPr>
            </w:r>
            <w:r w:rsidR="006917AB">
              <w:rPr>
                <w:noProof/>
                <w:webHidden/>
              </w:rPr>
              <w:fldChar w:fldCharType="separate"/>
            </w:r>
            <w:r w:rsidR="00E13A7C">
              <w:rPr>
                <w:noProof/>
                <w:webHidden/>
              </w:rPr>
              <w:t>4043</w:t>
            </w:r>
            <w:r w:rsidR="006917AB">
              <w:rPr>
                <w:noProof/>
                <w:webHidden/>
              </w:rPr>
              <w:fldChar w:fldCharType="end"/>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099" w:history="1">
            <w:r w:rsidR="006917AB" w:rsidRPr="002D486C">
              <w:rPr>
                <w:rStyle w:val="Hyperlink"/>
                <w:noProof/>
              </w:rPr>
              <w:t>Livestock Act 1997</w:t>
            </w:r>
            <w:r w:rsidR="006917AB">
              <w:rPr>
                <w:noProof/>
                <w:webHidden/>
              </w:rPr>
              <w:tab/>
            </w:r>
            <w:r w:rsidR="006917AB">
              <w:rPr>
                <w:noProof/>
                <w:webHidden/>
              </w:rPr>
              <w:fldChar w:fldCharType="begin"/>
            </w:r>
            <w:r w:rsidR="006917AB">
              <w:rPr>
                <w:noProof/>
                <w:webHidden/>
              </w:rPr>
              <w:instrText xml:space="preserve"> PAGEREF _Toc46398099 \h </w:instrText>
            </w:r>
            <w:r w:rsidR="006917AB">
              <w:rPr>
                <w:noProof/>
                <w:webHidden/>
              </w:rPr>
            </w:r>
            <w:r w:rsidR="006917AB">
              <w:rPr>
                <w:noProof/>
                <w:webHidden/>
              </w:rPr>
              <w:fldChar w:fldCharType="separate"/>
            </w:r>
            <w:r w:rsidR="00E13A7C">
              <w:rPr>
                <w:noProof/>
                <w:webHidden/>
              </w:rPr>
              <w:t>4044</w:t>
            </w:r>
            <w:r w:rsidR="006917AB">
              <w:rPr>
                <w:noProof/>
                <w:webHidden/>
              </w:rPr>
              <w:fldChar w:fldCharType="end"/>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100" w:history="1">
            <w:r w:rsidR="006917AB" w:rsidRPr="002D486C">
              <w:rPr>
                <w:rStyle w:val="Hyperlink"/>
                <w:noProof/>
              </w:rPr>
              <w:t>Mental Health Act 2009</w:t>
            </w:r>
            <w:r w:rsidR="006917AB">
              <w:rPr>
                <w:noProof/>
                <w:webHidden/>
              </w:rPr>
              <w:tab/>
            </w:r>
            <w:r w:rsidR="006917AB">
              <w:rPr>
                <w:noProof/>
                <w:webHidden/>
              </w:rPr>
              <w:fldChar w:fldCharType="begin"/>
            </w:r>
            <w:r w:rsidR="006917AB">
              <w:rPr>
                <w:noProof/>
                <w:webHidden/>
              </w:rPr>
              <w:instrText xml:space="preserve"> PAGEREF _Toc46398100 \h </w:instrText>
            </w:r>
            <w:r w:rsidR="006917AB">
              <w:rPr>
                <w:noProof/>
                <w:webHidden/>
              </w:rPr>
            </w:r>
            <w:r w:rsidR="006917AB">
              <w:rPr>
                <w:noProof/>
                <w:webHidden/>
              </w:rPr>
              <w:fldChar w:fldCharType="separate"/>
            </w:r>
            <w:r w:rsidR="00E13A7C">
              <w:rPr>
                <w:noProof/>
                <w:webHidden/>
              </w:rPr>
              <w:t>4046</w:t>
            </w:r>
            <w:r w:rsidR="006917AB">
              <w:rPr>
                <w:noProof/>
                <w:webHidden/>
              </w:rPr>
              <w:fldChar w:fldCharType="end"/>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101" w:history="1">
            <w:r w:rsidR="006917AB" w:rsidRPr="002D486C">
              <w:rPr>
                <w:rStyle w:val="Hyperlink"/>
                <w:noProof/>
              </w:rPr>
              <w:t>Petroleum and Geothermal Energy Act 2000</w:t>
            </w:r>
            <w:r w:rsidR="006917AB">
              <w:rPr>
                <w:noProof/>
                <w:webHidden/>
              </w:rPr>
              <w:tab/>
            </w:r>
            <w:r w:rsidR="006917AB">
              <w:rPr>
                <w:noProof/>
                <w:webHidden/>
              </w:rPr>
              <w:fldChar w:fldCharType="begin"/>
            </w:r>
            <w:r w:rsidR="006917AB">
              <w:rPr>
                <w:noProof/>
                <w:webHidden/>
              </w:rPr>
              <w:instrText xml:space="preserve"> PAGEREF _Toc46398101 \h </w:instrText>
            </w:r>
            <w:r w:rsidR="006917AB">
              <w:rPr>
                <w:noProof/>
                <w:webHidden/>
              </w:rPr>
            </w:r>
            <w:r w:rsidR="006917AB">
              <w:rPr>
                <w:noProof/>
                <w:webHidden/>
              </w:rPr>
              <w:fldChar w:fldCharType="separate"/>
            </w:r>
            <w:r w:rsidR="00E13A7C">
              <w:rPr>
                <w:noProof/>
                <w:webHidden/>
              </w:rPr>
              <w:t>4046</w:t>
            </w:r>
            <w:r w:rsidR="006917AB">
              <w:rPr>
                <w:noProof/>
                <w:webHidden/>
              </w:rPr>
              <w:fldChar w:fldCharType="end"/>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102" w:history="1">
            <w:r w:rsidR="006917AB" w:rsidRPr="002D486C">
              <w:rPr>
                <w:rStyle w:val="Hyperlink"/>
                <w:noProof/>
              </w:rPr>
              <w:t>Planning, Development and Infrastructure Act 2016</w:t>
            </w:r>
            <w:r w:rsidR="006917AB">
              <w:rPr>
                <w:noProof/>
                <w:webHidden/>
              </w:rPr>
              <w:tab/>
            </w:r>
            <w:r w:rsidR="006917AB">
              <w:rPr>
                <w:noProof/>
                <w:webHidden/>
              </w:rPr>
              <w:fldChar w:fldCharType="begin"/>
            </w:r>
            <w:r w:rsidR="006917AB">
              <w:rPr>
                <w:noProof/>
                <w:webHidden/>
              </w:rPr>
              <w:instrText xml:space="preserve"> PAGEREF _Toc46398102 \h </w:instrText>
            </w:r>
            <w:r w:rsidR="006917AB">
              <w:rPr>
                <w:noProof/>
                <w:webHidden/>
              </w:rPr>
            </w:r>
            <w:r w:rsidR="006917AB">
              <w:rPr>
                <w:noProof/>
                <w:webHidden/>
              </w:rPr>
              <w:fldChar w:fldCharType="separate"/>
            </w:r>
            <w:r w:rsidR="00E13A7C">
              <w:rPr>
                <w:noProof/>
                <w:webHidden/>
              </w:rPr>
              <w:t>4047</w:t>
            </w:r>
            <w:r w:rsidR="006917AB">
              <w:rPr>
                <w:noProof/>
                <w:webHidden/>
              </w:rPr>
              <w:fldChar w:fldCharType="end"/>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103" w:history="1">
            <w:r w:rsidR="006917AB" w:rsidRPr="002D486C">
              <w:rPr>
                <w:rStyle w:val="Hyperlink"/>
                <w:noProof/>
              </w:rPr>
              <w:t>Public Sector Act 2009</w:t>
            </w:r>
            <w:r w:rsidR="006917AB">
              <w:rPr>
                <w:noProof/>
                <w:webHidden/>
              </w:rPr>
              <w:tab/>
            </w:r>
            <w:r w:rsidR="006917AB">
              <w:rPr>
                <w:noProof/>
                <w:webHidden/>
              </w:rPr>
              <w:fldChar w:fldCharType="begin"/>
            </w:r>
            <w:r w:rsidR="006917AB">
              <w:rPr>
                <w:noProof/>
                <w:webHidden/>
              </w:rPr>
              <w:instrText xml:space="preserve"> PAGEREF _Toc46398103 \h </w:instrText>
            </w:r>
            <w:r w:rsidR="006917AB">
              <w:rPr>
                <w:noProof/>
                <w:webHidden/>
              </w:rPr>
            </w:r>
            <w:r w:rsidR="006917AB">
              <w:rPr>
                <w:noProof/>
                <w:webHidden/>
              </w:rPr>
              <w:fldChar w:fldCharType="separate"/>
            </w:r>
            <w:r w:rsidR="00E13A7C">
              <w:rPr>
                <w:noProof/>
                <w:webHidden/>
              </w:rPr>
              <w:t>4070</w:t>
            </w:r>
            <w:r w:rsidR="006917AB">
              <w:rPr>
                <w:noProof/>
                <w:webHidden/>
              </w:rPr>
              <w:fldChar w:fldCharType="end"/>
            </w:r>
          </w:hyperlink>
        </w:p>
        <w:p w:rsidR="006917AB" w:rsidRDefault="00123FDA" w:rsidP="00391385">
          <w:pPr>
            <w:pStyle w:val="TOC1"/>
            <w:rPr>
              <w:rFonts w:asciiTheme="minorHAnsi" w:eastAsiaTheme="minorEastAsia" w:hAnsiTheme="minorHAnsi" w:cstheme="minorBidi"/>
              <w:noProof/>
              <w:color w:val="auto"/>
              <w:sz w:val="22"/>
              <w:szCs w:val="22"/>
            </w:rPr>
          </w:pPr>
          <w:hyperlink w:anchor="_Toc46398104" w:history="1">
            <w:r w:rsidR="006917AB" w:rsidRPr="003D3E30">
              <w:rPr>
                <w:rStyle w:val="Heading5Char"/>
                <w:noProof/>
              </w:rPr>
              <w:t>Local Government Instruments</w:t>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105" w:history="1">
            <w:r w:rsidR="006917AB" w:rsidRPr="002D486C">
              <w:rPr>
                <w:rStyle w:val="Hyperlink"/>
                <w:noProof/>
              </w:rPr>
              <w:t>Campbelltown City Council</w:t>
            </w:r>
            <w:r w:rsidR="006917AB">
              <w:rPr>
                <w:noProof/>
                <w:webHidden/>
              </w:rPr>
              <w:tab/>
            </w:r>
            <w:r w:rsidR="006917AB">
              <w:rPr>
                <w:noProof/>
                <w:webHidden/>
              </w:rPr>
              <w:fldChar w:fldCharType="begin"/>
            </w:r>
            <w:r w:rsidR="006917AB">
              <w:rPr>
                <w:noProof/>
                <w:webHidden/>
              </w:rPr>
              <w:instrText xml:space="preserve"> PAGEREF _Toc46398105 \h </w:instrText>
            </w:r>
            <w:r w:rsidR="006917AB">
              <w:rPr>
                <w:noProof/>
                <w:webHidden/>
              </w:rPr>
            </w:r>
            <w:r w:rsidR="006917AB">
              <w:rPr>
                <w:noProof/>
                <w:webHidden/>
              </w:rPr>
              <w:fldChar w:fldCharType="separate"/>
            </w:r>
            <w:r w:rsidR="00E13A7C">
              <w:rPr>
                <w:noProof/>
                <w:webHidden/>
              </w:rPr>
              <w:t>4075</w:t>
            </w:r>
            <w:r w:rsidR="006917AB">
              <w:rPr>
                <w:noProof/>
                <w:webHidden/>
              </w:rPr>
              <w:fldChar w:fldCharType="end"/>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106" w:history="1">
            <w:r w:rsidR="006917AB" w:rsidRPr="002D486C">
              <w:rPr>
                <w:rStyle w:val="Hyperlink"/>
                <w:noProof/>
              </w:rPr>
              <w:t>City of Onkaparinga</w:t>
            </w:r>
            <w:r w:rsidR="006917AB">
              <w:rPr>
                <w:noProof/>
                <w:webHidden/>
              </w:rPr>
              <w:tab/>
            </w:r>
            <w:r w:rsidR="006917AB">
              <w:rPr>
                <w:noProof/>
                <w:webHidden/>
              </w:rPr>
              <w:fldChar w:fldCharType="begin"/>
            </w:r>
            <w:r w:rsidR="006917AB">
              <w:rPr>
                <w:noProof/>
                <w:webHidden/>
              </w:rPr>
              <w:instrText xml:space="preserve"> PAGEREF _Toc46398106 \h </w:instrText>
            </w:r>
            <w:r w:rsidR="006917AB">
              <w:rPr>
                <w:noProof/>
                <w:webHidden/>
              </w:rPr>
            </w:r>
            <w:r w:rsidR="006917AB">
              <w:rPr>
                <w:noProof/>
                <w:webHidden/>
              </w:rPr>
              <w:fldChar w:fldCharType="separate"/>
            </w:r>
            <w:r w:rsidR="00E13A7C">
              <w:rPr>
                <w:noProof/>
                <w:webHidden/>
              </w:rPr>
              <w:t>4075</w:t>
            </w:r>
            <w:r w:rsidR="006917AB">
              <w:rPr>
                <w:noProof/>
                <w:webHidden/>
              </w:rPr>
              <w:fldChar w:fldCharType="end"/>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107" w:history="1">
            <w:r w:rsidR="006917AB" w:rsidRPr="002D486C">
              <w:rPr>
                <w:rStyle w:val="Hyperlink"/>
                <w:noProof/>
              </w:rPr>
              <w:t>City of Tea Tree Gully</w:t>
            </w:r>
            <w:r w:rsidR="006917AB">
              <w:rPr>
                <w:noProof/>
                <w:webHidden/>
              </w:rPr>
              <w:tab/>
            </w:r>
            <w:r w:rsidR="006917AB">
              <w:rPr>
                <w:noProof/>
                <w:webHidden/>
              </w:rPr>
              <w:fldChar w:fldCharType="begin"/>
            </w:r>
            <w:r w:rsidR="006917AB">
              <w:rPr>
                <w:noProof/>
                <w:webHidden/>
              </w:rPr>
              <w:instrText xml:space="preserve"> PAGEREF _Toc46398107 \h </w:instrText>
            </w:r>
            <w:r w:rsidR="006917AB">
              <w:rPr>
                <w:noProof/>
                <w:webHidden/>
              </w:rPr>
            </w:r>
            <w:r w:rsidR="006917AB">
              <w:rPr>
                <w:noProof/>
                <w:webHidden/>
              </w:rPr>
              <w:fldChar w:fldCharType="separate"/>
            </w:r>
            <w:r w:rsidR="00E13A7C">
              <w:rPr>
                <w:noProof/>
                <w:webHidden/>
              </w:rPr>
              <w:t>4076</w:t>
            </w:r>
            <w:r w:rsidR="006917AB">
              <w:rPr>
                <w:noProof/>
                <w:webHidden/>
              </w:rPr>
              <w:fldChar w:fldCharType="end"/>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108" w:history="1">
            <w:r w:rsidR="006917AB" w:rsidRPr="002D486C">
              <w:rPr>
                <w:rStyle w:val="Hyperlink"/>
                <w:noProof/>
              </w:rPr>
              <w:t>Adelaide Plains Council</w:t>
            </w:r>
            <w:r w:rsidR="006917AB">
              <w:rPr>
                <w:noProof/>
                <w:webHidden/>
              </w:rPr>
              <w:tab/>
            </w:r>
            <w:r w:rsidR="006917AB">
              <w:rPr>
                <w:noProof/>
                <w:webHidden/>
              </w:rPr>
              <w:fldChar w:fldCharType="begin"/>
            </w:r>
            <w:r w:rsidR="006917AB">
              <w:rPr>
                <w:noProof/>
                <w:webHidden/>
              </w:rPr>
              <w:instrText xml:space="preserve"> PAGEREF _Toc46398108 \h </w:instrText>
            </w:r>
            <w:r w:rsidR="006917AB">
              <w:rPr>
                <w:noProof/>
                <w:webHidden/>
              </w:rPr>
            </w:r>
            <w:r w:rsidR="006917AB">
              <w:rPr>
                <w:noProof/>
                <w:webHidden/>
              </w:rPr>
              <w:fldChar w:fldCharType="separate"/>
            </w:r>
            <w:r w:rsidR="00E13A7C">
              <w:rPr>
                <w:noProof/>
                <w:webHidden/>
              </w:rPr>
              <w:t>4076</w:t>
            </w:r>
            <w:r w:rsidR="006917AB">
              <w:rPr>
                <w:noProof/>
                <w:webHidden/>
              </w:rPr>
              <w:fldChar w:fldCharType="end"/>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109" w:history="1">
            <w:r w:rsidR="006917AB" w:rsidRPr="002D486C">
              <w:rPr>
                <w:rStyle w:val="Hyperlink"/>
                <w:noProof/>
              </w:rPr>
              <w:t>District Council of Lower Eyre Peninsula</w:t>
            </w:r>
            <w:r w:rsidR="006917AB">
              <w:rPr>
                <w:noProof/>
                <w:webHidden/>
              </w:rPr>
              <w:tab/>
            </w:r>
            <w:r w:rsidR="006917AB">
              <w:rPr>
                <w:noProof/>
                <w:webHidden/>
              </w:rPr>
              <w:fldChar w:fldCharType="begin"/>
            </w:r>
            <w:r w:rsidR="006917AB">
              <w:rPr>
                <w:noProof/>
                <w:webHidden/>
              </w:rPr>
              <w:instrText xml:space="preserve"> PAGEREF _Toc46398109 \h </w:instrText>
            </w:r>
            <w:r w:rsidR="006917AB">
              <w:rPr>
                <w:noProof/>
                <w:webHidden/>
              </w:rPr>
            </w:r>
            <w:r w:rsidR="006917AB">
              <w:rPr>
                <w:noProof/>
                <w:webHidden/>
              </w:rPr>
              <w:fldChar w:fldCharType="separate"/>
            </w:r>
            <w:r w:rsidR="00E13A7C">
              <w:rPr>
                <w:noProof/>
                <w:webHidden/>
              </w:rPr>
              <w:t>4077</w:t>
            </w:r>
            <w:r w:rsidR="006917AB">
              <w:rPr>
                <w:noProof/>
                <w:webHidden/>
              </w:rPr>
              <w:fldChar w:fldCharType="end"/>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110" w:history="1">
            <w:r w:rsidR="006917AB" w:rsidRPr="002D486C">
              <w:rPr>
                <w:rStyle w:val="Hyperlink"/>
                <w:noProof/>
              </w:rPr>
              <w:t>District Council of Mount Remarkable</w:t>
            </w:r>
            <w:r w:rsidR="006917AB">
              <w:rPr>
                <w:noProof/>
                <w:webHidden/>
              </w:rPr>
              <w:tab/>
            </w:r>
            <w:r w:rsidR="006917AB">
              <w:rPr>
                <w:noProof/>
                <w:webHidden/>
              </w:rPr>
              <w:fldChar w:fldCharType="begin"/>
            </w:r>
            <w:r w:rsidR="006917AB">
              <w:rPr>
                <w:noProof/>
                <w:webHidden/>
              </w:rPr>
              <w:instrText xml:space="preserve"> PAGEREF _Toc46398110 \h </w:instrText>
            </w:r>
            <w:r w:rsidR="006917AB">
              <w:rPr>
                <w:noProof/>
                <w:webHidden/>
              </w:rPr>
            </w:r>
            <w:r w:rsidR="006917AB">
              <w:rPr>
                <w:noProof/>
                <w:webHidden/>
              </w:rPr>
              <w:fldChar w:fldCharType="separate"/>
            </w:r>
            <w:r w:rsidR="00E13A7C">
              <w:rPr>
                <w:noProof/>
                <w:webHidden/>
              </w:rPr>
              <w:t>4077</w:t>
            </w:r>
            <w:r w:rsidR="006917AB">
              <w:rPr>
                <w:noProof/>
                <w:webHidden/>
              </w:rPr>
              <w:fldChar w:fldCharType="end"/>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111" w:history="1">
            <w:r w:rsidR="006917AB" w:rsidRPr="002D486C">
              <w:rPr>
                <w:rStyle w:val="Hyperlink"/>
                <w:noProof/>
              </w:rPr>
              <w:t>District Council of Tumby Bay</w:t>
            </w:r>
            <w:r w:rsidR="006917AB">
              <w:rPr>
                <w:noProof/>
                <w:webHidden/>
              </w:rPr>
              <w:tab/>
            </w:r>
            <w:r w:rsidR="006917AB">
              <w:rPr>
                <w:noProof/>
                <w:webHidden/>
              </w:rPr>
              <w:fldChar w:fldCharType="begin"/>
            </w:r>
            <w:r w:rsidR="006917AB">
              <w:rPr>
                <w:noProof/>
                <w:webHidden/>
              </w:rPr>
              <w:instrText xml:space="preserve"> PAGEREF _Toc46398111 \h </w:instrText>
            </w:r>
            <w:r w:rsidR="006917AB">
              <w:rPr>
                <w:noProof/>
                <w:webHidden/>
              </w:rPr>
            </w:r>
            <w:r w:rsidR="006917AB">
              <w:rPr>
                <w:noProof/>
                <w:webHidden/>
              </w:rPr>
              <w:fldChar w:fldCharType="separate"/>
            </w:r>
            <w:r w:rsidR="00E13A7C">
              <w:rPr>
                <w:noProof/>
                <w:webHidden/>
              </w:rPr>
              <w:t>4078</w:t>
            </w:r>
            <w:r w:rsidR="006917AB">
              <w:rPr>
                <w:noProof/>
                <w:webHidden/>
              </w:rPr>
              <w:fldChar w:fldCharType="end"/>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112" w:history="1">
            <w:r w:rsidR="006917AB" w:rsidRPr="002D486C">
              <w:rPr>
                <w:rStyle w:val="Hyperlink"/>
                <w:noProof/>
              </w:rPr>
              <w:t>District Council of Streaky Bay</w:t>
            </w:r>
            <w:r w:rsidR="006917AB">
              <w:rPr>
                <w:noProof/>
                <w:webHidden/>
              </w:rPr>
              <w:tab/>
            </w:r>
            <w:r w:rsidR="006917AB">
              <w:rPr>
                <w:noProof/>
                <w:webHidden/>
              </w:rPr>
              <w:fldChar w:fldCharType="begin"/>
            </w:r>
            <w:r w:rsidR="006917AB">
              <w:rPr>
                <w:noProof/>
                <w:webHidden/>
              </w:rPr>
              <w:instrText xml:space="preserve"> PAGEREF _Toc46398112 \h </w:instrText>
            </w:r>
            <w:r w:rsidR="006917AB">
              <w:rPr>
                <w:noProof/>
                <w:webHidden/>
              </w:rPr>
            </w:r>
            <w:r w:rsidR="006917AB">
              <w:rPr>
                <w:noProof/>
                <w:webHidden/>
              </w:rPr>
              <w:fldChar w:fldCharType="separate"/>
            </w:r>
            <w:r w:rsidR="00E13A7C">
              <w:rPr>
                <w:noProof/>
                <w:webHidden/>
              </w:rPr>
              <w:t>4079</w:t>
            </w:r>
            <w:r w:rsidR="006917AB">
              <w:rPr>
                <w:noProof/>
                <w:webHidden/>
              </w:rPr>
              <w:fldChar w:fldCharType="end"/>
            </w:r>
          </w:hyperlink>
        </w:p>
        <w:p w:rsidR="006917AB" w:rsidRDefault="00123FDA" w:rsidP="00391385">
          <w:pPr>
            <w:pStyle w:val="TOC1"/>
            <w:rPr>
              <w:rFonts w:asciiTheme="minorHAnsi" w:eastAsiaTheme="minorEastAsia" w:hAnsiTheme="minorHAnsi" w:cstheme="minorBidi"/>
              <w:noProof/>
              <w:color w:val="auto"/>
              <w:sz w:val="22"/>
              <w:szCs w:val="22"/>
            </w:rPr>
          </w:pPr>
          <w:hyperlink w:anchor="_Toc46398113" w:history="1">
            <w:r w:rsidR="006917AB" w:rsidRPr="003D3E30">
              <w:rPr>
                <w:rStyle w:val="Heading5Char"/>
                <w:noProof/>
              </w:rPr>
              <w:t>Public Notices</w:t>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114" w:history="1">
            <w:r w:rsidR="006917AB" w:rsidRPr="002D486C">
              <w:rPr>
                <w:rStyle w:val="Hyperlink"/>
                <w:noProof/>
              </w:rPr>
              <w:t>Trustee Act 1936</w:t>
            </w:r>
            <w:r w:rsidR="006917AB">
              <w:rPr>
                <w:noProof/>
                <w:webHidden/>
              </w:rPr>
              <w:tab/>
            </w:r>
            <w:r w:rsidR="006917AB">
              <w:rPr>
                <w:noProof/>
                <w:webHidden/>
              </w:rPr>
              <w:fldChar w:fldCharType="begin"/>
            </w:r>
            <w:r w:rsidR="006917AB">
              <w:rPr>
                <w:noProof/>
                <w:webHidden/>
              </w:rPr>
              <w:instrText xml:space="preserve"> PAGEREF _Toc46398114 \h </w:instrText>
            </w:r>
            <w:r w:rsidR="006917AB">
              <w:rPr>
                <w:noProof/>
                <w:webHidden/>
              </w:rPr>
            </w:r>
            <w:r w:rsidR="006917AB">
              <w:rPr>
                <w:noProof/>
                <w:webHidden/>
              </w:rPr>
              <w:fldChar w:fldCharType="separate"/>
            </w:r>
            <w:r w:rsidR="00E13A7C">
              <w:rPr>
                <w:noProof/>
                <w:webHidden/>
              </w:rPr>
              <w:t>4080</w:t>
            </w:r>
            <w:r w:rsidR="006917AB">
              <w:rPr>
                <w:noProof/>
                <w:webHidden/>
              </w:rPr>
              <w:fldChar w:fldCharType="end"/>
            </w:r>
          </w:hyperlink>
        </w:p>
        <w:p w:rsidR="006917AB" w:rsidRDefault="00123FDA" w:rsidP="00911A8A">
          <w:pPr>
            <w:pStyle w:val="TOC2"/>
            <w:tabs>
              <w:tab w:val="right" w:leader="dot" w:pos="4550"/>
            </w:tabs>
            <w:rPr>
              <w:rFonts w:asciiTheme="minorHAnsi" w:eastAsiaTheme="minorEastAsia" w:hAnsiTheme="minorHAnsi" w:cstheme="minorBidi"/>
              <w:noProof/>
              <w:color w:val="auto"/>
              <w:sz w:val="22"/>
              <w:szCs w:val="22"/>
            </w:rPr>
          </w:pPr>
          <w:hyperlink w:anchor="_Toc46398115" w:history="1">
            <w:r w:rsidR="006917AB" w:rsidRPr="002D486C">
              <w:rPr>
                <w:rStyle w:val="Hyperlink"/>
                <w:noProof/>
              </w:rPr>
              <w:t>Parafield Airport</w:t>
            </w:r>
            <w:r w:rsidR="006917AB">
              <w:rPr>
                <w:noProof/>
                <w:webHidden/>
              </w:rPr>
              <w:tab/>
            </w:r>
            <w:r w:rsidR="006917AB">
              <w:rPr>
                <w:noProof/>
                <w:webHidden/>
              </w:rPr>
              <w:fldChar w:fldCharType="begin"/>
            </w:r>
            <w:r w:rsidR="006917AB">
              <w:rPr>
                <w:noProof/>
                <w:webHidden/>
              </w:rPr>
              <w:instrText xml:space="preserve"> PAGEREF _Toc46398115 \h </w:instrText>
            </w:r>
            <w:r w:rsidR="006917AB">
              <w:rPr>
                <w:noProof/>
                <w:webHidden/>
              </w:rPr>
            </w:r>
            <w:r w:rsidR="006917AB">
              <w:rPr>
                <w:noProof/>
                <w:webHidden/>
              </w:rPr>
              <w:fldChar w:fldCharType="separate"/>
            </w:r>
            <w:r w:rsidR="00E13A7C">
              <w:rPr>
                <w:noProof/>
                <w:webHidden/>
              </w:rPr>
              <w:t>4080</w:t>
            </w:r>
            <w:r w:rsidR="006917AB">
              <w:rPr>
                <w:noProof/>
                <w:webHidden/>
              </w:rPr>
              <w:fldChar w:fldCharType="end"/>
            </w:r>
          </w:hyperlink>
        </w:p>
        <w:p w:rsidR="00E51E17" w:rsidRDefault="00E51E17">
          <w:r>
            <w:rPr>
              <w:b/>
              <w:bCs/>
              <w:noProof/>
            </w:rPr>
            <w:fldChar w:fldCharType="end"/>
          </w:r>
        </w:p>
      </w:sdtContent>
    </w:sdt>
    <w:p w:rsidR="001B7138" w:rsidRDefault="001B7138" w:rsidP="001B7138">
      <w:pPr>
        <w:spacing w:after="0"/>
        <w:rPr>
          <w:smallCaps/>
          <w:szCs w:val="17"/>
        </w:rPr>
      </w:pPr>
    </w:p>
    <w:p w:rsidR="00DA30CF" w:rsidRPr="00612978" w:rsidRDefault="00DA30CF" w:rsidP="0087395E">
      <w:pPr>
        <w:spacing w:after="0"/>
        <w:rPr>
          <w:smallCaps/>
          <w:szCs w:val="17"/>
        </w:rPr>
        <w:sectPr w:rsidR="00DA30CF" w:rsidRPr="00612978" w:rsidSect="00F12687">
          <w:headerReference w:type="even" r:id="rId14"/>
          <w:headerReference w:type="default" r:id="rId15"/>
          <w:footerReference w:type="default" r:id="rId16"/>
          <w:footerReference w:type="first" r:id="rId17"/>
          <w:type w:val="continuous"/>
          <w:pgSz w:w="11906" w:h="16838"/>
          <w:pgMar w:top="1134" w:right="1256" w:bottom="1134" w:left="1290" w:header="708" w:footer="708" w:gutter="0"/>
          <w:cols w:num="2" w:space="240"/>
          <w:docGrid w:linePitch="360"/>
        </w:sectPr>
      </w:pPr>
    </w:p>
    <w:p w:rsidR="009D1E2E" w:rsidRPr="00C32E4F" w:rsidRDefault="009D1E2E" w:rsidP="00F80EF5">
      <w:pPr>
        <w:pStyle w:val="Heading1"/>
      </w:pPr>
      <w:bookmarkStart w:id="1" w:name="_Toc33707977"/>
      <w:bookmarkStart w:id="2" w:name="_Toc33708148"/>
      <w:bookmarkStart w:id="3" w:name="_Toc46398084"/>
      <w:r w:rsidRPr="009D1E2E">
        <w:lastRenderedPageBreak/>
        <w:t>Governor’s Instruments</w:t>
      </w:r>
      <w:bookmarkEnd w:id="1"/>
      <w:bookmarkEnd w:id="2"/>
      <w:bookmarkEnd w:id="3"/>
    </w:p>
    <w:p w:rsidR="00064C75" w:rsidRDefault="009562D8" w:rsidP="009562D8">
      <w:pPr>
        <w:pStyle w:val="Heading2"/>
      </w:pPr>
      <w:bookmarkStart w:id="4" w:name="_Toc33707978"/>
      <w:bookmarkStart w:id="5" w:name="_Toc33708149"/>
      <w:bookmarkStart w:id="6" w:name="_Toc46398085"/>
      <w:r>
        <w:t>Appointments</w:t>
      </w:r>
      <w:bookmarkEnd w:id="4"/>
      <w:bookmarkEnd w:id="5"/>
      <w:bookmarkEnd w:id="6"/>
    </w:p>
    <w:p w:rsidR="004015EE" w:rsidRPr="004015EE" w:rsidRDefault="004015EE" w:rsidP="004015EE">
      <w:pPr>
        <w:spacing w:after="0"/>
        <w:jc w:val="right"/>
        <w:rPr>
          <w:rFonts w:eastAsia="Times New Roman"/>
          <w:szCs w:val="17"/>
        </w:rPr>
      </w:pPr>
      <w:r w:rsidRPr="004015EE">
        <w:rPr>
          <w:rFonts w:eastAsia="Times New Roman"/>
          <w:szCs w:val="17"/>
        </w:rPr>
        <w:t>Department of the Premier and Cabinet</w:t>
      </w:r>
    </w:p>
    <w:p w:rsidR="004015EE" w:rsidRPr="004015EE" w:rsidRDefault="004015EE" w:rsidP="004015EE">
      <w:pPr>
        <w:jc w:val="right"/>
        <w:rPr>
          <w:rFonts w:eastAsia="Times New Roman"/>
          <w:szCs w:val="17"/>
        </w:rPr>
      </w:pPr>
      <w:r w:rsidRPr="004015EE">
        <w:rPr>
          <w:rFonts w:eastAsia="Times New Roman"/>
          <w:szCs w:val="17"/>
        </w:rPr>
        <w:t>Adelaide, 23 July 2020</w:t>
      </w:r>
    </w:p>
    <w:p w:rsidR="004015EE" w:rsidRPr="004015EE" w:rsidRDefault="004015EE" w:rsidP="004015EE">
      <w:pPr>
        <w:rPr>
          <w:rFonts w:eastAsia="Times New Roman"/>
          <w:szCs w:val="17"/>
        </w:rPr>
      </w:pPr>
      <w:r w:rsidRPr="004015EE">
        <w:rPr>
          <w:rFonts w:eastAsia="Times New Roman"/>
          <w:szCs w:val="17"/>
        </w:rPr>
        <w:t>His Excellency the Governor in Executive Council has been pleased to appoint the undermentioned to the Training Centre Review Board, pursuant to the provisions of the Young Offenders Act 1993:</w:t>
      </w:r>
    </w:p>
    <w:p w:rsidR="004015EE" w:rsidRPr="004015EE" w:rsidRDefault="004015EE" w:rsidP="004015EE">
      <w:pPr>
        <w:spacing w:after="0"/>
        <w:ind w:left="142"/>
        <w:jc w:val="left"/>
        <w:rPr>
          <w:szCs w:val="17"/>
        </w:rPr>
      </w:pPr>
      <w:r w:rsidRPr="004015EE">
        <w:rPr>
          <w:szCs w:val="17"/>
        </w:rPr>
        <w:t>Member: from 23 July 2020 until 22 July 2022</w:t>
      </w:r>
    </w:p>
    <w:p w:rsidR="004015EE" w:rsidRPr="004015EE" w:rsidRDefault="004015EE" w:rsidP="004015EE">
      <w:pPr>
        <w:ind w:left="284"/>
        <w:rPr>
          <w:szCs w:val="17"/>
        </w:rPr>
      </w:pPr>
      <w:r w:rsidRPr="004015EE">
        <w:rPr>
          <w:szCs w:val="17"/>
        </w:rPr>
        <w:t>Constantinos David Kyriacou</w:t>
      </w:r>
    </w:p>
    <w:p w:rsidR="004015EE" w:rsidRPr="004015EE" w:rsidRDefault="004015EE" w:rsidP="004015EE">
      <w:pPr>
        <w:spacing w:after="0"/>
        <w:ind w:left="142"/>
        <w:jc w:val="left"/>
        <w:rPr>
          <w:szCs w:val="17"/>
        </w:rPr>
      </w:pPr>
      <w:r w:rsidRPr="004015EE">
        <w:rPr>
          <w:szCs w:val="17"/>
        </w:rPr>
        <w:t>Deputy Member: from 23 July 2020 until 22 July 2022</w:t>
      </w:r>
    </w:p>
    <w:p w:rsidR="004015EE" w:rsidRPr="004015EE" w:rsidRDefault="004015EE" w:rsidP="004015EE">
      <w:pPr>
        <w:ind w:left="284"/>
        <w:rPr>
          <w:szCs w:val="17"/>
        </w:rPr>
      </w:pPr>
      <w:r w:rsidRPr="004015EE">
        <w:rPr>
          <w:szCs w:val="17"/>
        </w:rPr>
        <w:t>Karmen Leisa Conway (Deputy to Kyriacou)</w:t>
      </w:r>
    </w:p>
    <w:p w:rsidR="004015EE" w:rsidRPr="004015EE" w:rsidRDefault="004015EE" w:rsidP="004015EE">
      <w:pPr>
        <w:spacing w:after="0"/>
        <w:jc w:val="center"/>
        <w:rPr>
          <w:szCs w:val="17"/>
        </w:rPr>
      </w:pPr>
      <w:r w:rsidRPr="004015EE">
        <w:rPr>
          <w:szCs w:val="17"/>
        </w:rPr>
        <w:t>By command,</w:t>
      </w:r>
    </w:p>
    <w:p w:rsidR="004015EE" w:rsidRPr="004015EE" w:rsidRDefault="004015EE" w:rsidP="004015EE">
      <w:pPr>
        <w:spacing w:after="0"/>
        <w:jc w:val="right"/>
        <w:rPr>
          <w:smallCaps/>
          <w:szCs w:val="17"/>
        </w:rPr>
      </w:pPr>
      <w:r w:rsidRPr="004015EE">
        <w:rPr>
          <w:smallCaps/>
          <w:szCs w:val="17"/>
        </w:rPr>
        <w:t>Steven Spence Marshall</w:t>
      </w:r>
    </w:p>
    <w:p w:rsidR="004015EE" w:rsidRPr="004015EE" w:rsidRDefault="004015EE" w:rsidP="004015EE">
      <w:pPr>
        <w:spacing w:after="0"/>
        <w:jc w:val="right"/>
        <w:rPr>
          <w:szCs w:val="17"/>
        </w:rPr>
      </w:pPr>
      <w:r w:rsidRPr="004015EE">
        <w:rPr>
          <w:szCs w:val="17"/>
        </w:rPr>
        <w:t>Premier</w:t>
      </w:r>
    </w:p>
    <w:p w:rsidR="004015EE" w:rsidRPr="004015EE" w:rsidRDefault="004015EE" w:rsidP="004015EE">
      <w:pPr>
        <w:spacing w:after="0"/>
        <w:jc w:val="left"/>
        <w:rPr>
          <w:szCs w:val="17"/>
        </w:rPr>
      </w:pPr>
      <w:r w:rsidRPr="004015EE">
        <w:rPr>
          <w:szCs w:val="17"/>
        </w:rPr>
        <w:t>AGO0110-20CS</w:t>
      </w:r>
    </w:p>
    <w:p w:rsidR="004015EE" w:rsidRPr="004015EE" w:rsidRDefault="004015EE" w:rsidP="004015EE">
      <w:pPr>
        <w:pBdr>
          <w:top w:val="single" w:sz="4" w:space="1" w:color="auto"/>
        </w:pBdr>
        <w:spacing w:before="100" w:after="0" w:line="14" w:lineRule="exact"/>
        <w:jc w:val="center"/>
        <w:rPr>
          <w:rFonts w:ascii="Segoe UI Light" w:hAnsi="Segoe UI Light"/>
          <w:sz w:val="22"/>
        </w:rPr>
      </w:pPr>
    </w:p>
    <w:p w:rsidR="004015EE" w:rsidRPr="004015EE" w:rsidRDefault="004015EE" w:rsidP="004015EE">
      <w:pPr>
        <w:spacing w:after="0"/>
        <w:jc w:val="right"/>
        <w:rPr>
          <w:rFonts w:eastAsia="Times New Roman"/>
          <w:szCs w:val="17"/>
        </w:rPr>
      </w:pPr>
    </w:p>
    <w:p w:rsidR="004015EE" w:rsidRPr="004015EE" w:rsidRDefault="004015EE" w:rsidP="004015EE">
      <w:pPr>
        <w:spacing w:after="0"/>
        <w:jc w:val="right"/>
        <w:rPr>
          <w:rFonts w:eastAsia="Times New Roman"/>
          <w:szCs w:val="17"/>
        </w:rPr>
      </w:pPr>
      <w:r w:rsidRPr="004015EE">
        <w:rPr>
          <w:rFonts w:eastAsia="Times New Roman"/>
          <w:szCs w:val="17"/>
        </w:rPr>
        <w:t>Department of the Premier and Cabinet</w:t>
      </w:r>
    </w:p>
    <w:p w:rsidR="004015EE" w:rsidRPr="004015EE" w:rsidRDefault="004015EE" w:rsidP="004015EE">
      <w:pPr>
        <w:jc w:val="right"/>
        <w:rPr>
          <w:rFonts w:eastAsia="Times New Roman"/>
          <w:szCs w:val="17"/>
        </w:rPr>
      </w:pPr>
      <w:r w:rsidRPr="004015EE">
        <w:rPr>
          <w:rFonts w:eastAsia="Times New Roman"/>
          <w:szCs w:val="17"/>
        </w:rPr>
        <w:t>Adelaide, 23 July 2020</w:t>
      </w:r>
    </w:p>
    <w:p w:rsidR="004015EE" w:rsidRPr="004015EE" w:rsidRDefault="004015EE" w:rsidP="004015EE">
      <w:pPr>
        <w:rPr>
          <w:rFonts w:eastAsia="Times New Roman"/>
          <w:szCs w:val="17"/>
        </w:rPr>
      </w:pPr>
      <w:r w:rsidRPr="004015EE">
        <w:rPr>
          <w:rFonts w:eastAsia="Times New Roman"/>
          <w:szCs w:val="17"/>
        </w:rPr>
        <w:t>His Excellency the Governor in Executive Council has been pleased to appoint the undermentioned to the Teachers Registration Board of South Australia, pursuant to the provisions of the Teachers Registration and Standards Act 2004:</w:t>
      </w:r>
    </w:p>
    <w:p w:rsidR="004015EE" w:rsidRPr="004015EE" w:rsidRDefault="004015EE" w:rsidP="004015EE">
      <w:pPr>
        <w:spacing w:after="0"/>
        <w:ind w:left="142"/>
        <w:jc w:val="left"/>
        <w:rPr>
          <w:szCs w:val="17"/>
        </w:rPr>
      </w:pPr>
      <w:r w:rsidRPr="004015EE">
        <w:rPr>
          <w:szCs w:val="17"/>
        </w:rPr>
        <w:t>Member: from 23 July 2020 until 30 March 2021</w:t>
      </w:r>
    </w:p>
    <w:p w:rsidR="004015EE" w:rsidRPr="004015EE" w:rsidRDefault="004015EE" w:rsidP="004015EE">
      <w:pPr>
        <w:ind w:left="284"/>
        <w:rPr>
          <w:szCs w:val="17"/>
        </w:rPr>
      </w:pPr>
      <w:r w:rsidRPr="004015EE">
        <w:rPr>
          <w:szCs w:val="17"/>
        </w:rPr>
        <w:t>Melissa Jane White</w:t>
      </w:r>
    </w:p>
    <w:p w:rsidR="004015EE" w:rsidRPr="004015EE" w:rsidRDefault="004015EE" w:rsidP="004015EE">
      <w:pPr>
        <w:spacing w:after="0"/>
        <w:ind w:left="142"/>
        <w:jc w:val="left"/>
        <w:rPr>
          <w:szCs w:val="17"/>
        </w:rPr>
      </w:pPr>
      <w:r w:rsidRPr="004015EE">
        <w:rPr>
          <w:szCs w:val="17"/>
        </w:rPr>
        <w:t>Deputy Member: from 23 July 2020 until 30 March 2021</w:t>
      </w:r>
    </w:p>
    <w:p w:rsidR="004015EE" w:rsidRPr="004015EE" w:rsidRDefault="004015EE" w:rsidP="004015EE">
      <w:pPr>
        <w:ind w:left="284"/>
        <w:rPr>
          <w:szCs w:val="17"/>
        </w:rPr>
      </w:pPr>
      <w:r w:rsidRPr="004015EE">
        <w:rPr>
          <w:szCs w:val="17"/>
        </w:rPr>
        <w:t>Christine Dianne Harford (Deputy to White)</w:t>
      </w:r>
    </w:p>
    <w:p w:rsidR="004015EE" w:rsidRPr="004015EE" w:rsidRDefault="004015EE" w:rsidP="004015EE">
      <w:pPr>
        <w:spacing w:after="0"/>
        <w:jc w:val="center"/>
        <w:rPr>
          <w:szCs w:val="17"/>
        </w:rPr>
      </w:pPr>
      <w:r w:rsidRPr="004015EE">
        <w:rPr>
          <w:szCs w:val="17"/>
        </w:rPr>
        <w:t>By command,</w:t>
      </w:r>
    </w:p>
    <w:p w:rsidR="004015EE" w:rsidRPr="004015EE" w:rsidRDefault="004015EE" w:rsidP="004015EE">
      <w:pPr>
        <w:spacing w:after="0"/>
        <w:jc w:val="right"/>
        <w:rPr>
          <w:smallCaps/>
          <w:szCs w:val="17"/>
        </w:rPr>
      </w:pPr>
      <w:r w:rsidRPr="004015EE">
        <w:rPr>
          <w:smallCaps/>
          <w:szCs w:val="17"/>
        </w:rPr>
        <w:t>Steven Spence Marshall</w:t>
      </w:r>
    </w:p>
    <w:p w:rsidR="004015EE" w:rsidRPr="004015EE" w:rsidRDefault="004015EE" w:rsidP="004015EE">
      <w:pPr>
        <w:spacing w:after="0"/>
        <w:jc w:val="right"/>
        <w:rPr>
          <w:szCs w:val="17"/>
        </w:rPr>
      </w:pPr>
      <w:r w:rsidRPr="004015EE">
        <w:rPr>
          <w:szCs w:val="17"/>
        </w:rPr>
        <w:t>Premier</w:t>
      </w:r>
    </w:p>
    <w:p w:rsidR="004015EE" w:rsidRPr="004015EE" w:rsidRDefault="004015EE" w:rsidP="004015EE">
      <w:pPr>
        <w:spacing w:after="0"/>
        <w:jc w:val="left"/>
        <w:rPr>
          <w:szCs w:val="17"/>
        </w:rPr>
      </w:pPr>
      <w:r w:rsidRPr="004015EE">
        <w:rPr>
          <w:szCs w:val="17"/>
        </w:rPr>
        <w:t>ME20/039</w:t>
      </w:r>
    </w:p>
    <w:p w:rsidR="004015EE" w:rsidRPr="004015EE" w:rsidRDefault="004015EE" w:rsidP="004015EE">
      <w:pPr>
        <w:pBdr>
          <w:top w:val="single" w:sz="4" w:space="1" w:color="auto"/>
        </w:pBdr>
        <w:spacing w:before="100" w:after="0" w:line="14" w:lineRule="exact"/>
        <w:jc w:val="center"/>
        <w:rPr>
          <w:rFonts w:ascii="Segoe UI Light" w:hAnsi="Segoe UI Light"/>
          <w:sz w:val="22"/>
        </w:rPr>
      </w:pPr>
    </w:p>
    <w:p w:rsidR="004015EE" w:rsidRPr="004015EE" w:rsidRDefault="004015EE" w:rsidP="004015EE">
      <w:pPr>
        <w:spacing w:after="0"/>
        <w:jc w:val="right"/>
        <w:rPr>
          <w:rFonts w:eastAsia="Times New Roman"/>
          <w:szCs w:val="17"/>
        </w:rPr>
      </w:pPr>
    </w:p>
    <w:p w:rsidR="004015EE" w:rsidRPr="004015EE" w:rsidRDefault="004015EE" w:rsidP="004015EE">
      <w:pPr>
        <w:spacing w:after="0"/>
        <w:jc w:val="right"/>
        <w:rPr>
          <w:szCs w:val="17"/>
        </w:rPr>
      </w:pPr>
      <w:r w:rsidRPr="004015EE">
        <w:rPr>
          <w:szCs w:val="17"/>
        </w:rPr>
        <w:t>Department of the Premier and Cabinet</w:t>
      </w:r>
    </w:p>
    <w:p w:rsidR="004015EE" w:rsidRPr="004015EE" w:rsidRDefault="004015EE" w:rsidP="004015EE">
      <w:pPr>
        <w:jc w:val="right"/>
        <w:rPr>
          <w:szCs w:val="17"/>
        </w:rPr>
      </w:pPr>
      <w:r w:rsidRPr="004015EE">
        <w:rPr>
          <w:szCs w:val="17"/>
        </w:rPr>
        <w:t>Adelaide, 23 July 2020</w:t>
      </w:r>
    </w:p>
    <w:p w:rsidR="004015EE" w:rsidRPr="004015EE" w:rsidRDefault="004015EE" w:rsidP="004015EE">
      <w:pPr>
        <w:rPr>
          <w:rFonts w:eastAsia="Times New Roman"/>
          <w:szCs w:val="17"/>
        </w:rPr>
      </w:pPr>
      <w:r w:rsidRPr="004015EE">
        <w:rPr>
          <w:rFonts w:eastAsia="Times New Roman"/>
          <w:szCs w:val="17"/>
        </w:rPr>
        <w:t>His Excellency the Governor in Executive Council has been pleased to appoint the Honourable Robert Ivan Lucas, MLC, Treasurer to be also Acting Deputy Premier and Acting Attorney-General for the period from 28 July 2020 to 2 August 2020 inclusive, during the absence of the Honourable Vickie Ann Chapman, MP.</w:t>
      </w:r>
    </w:p>
    <w:p w:rsidR="004015EE" w:rsidRPr="004015EE" w:rsidRDefault="004015EE" w:rsidP="004015EE">
      <w:pPr>
        <w:jc w:val="center"/>
        <w:rPr>
          <w:rFonts w:eastAsia="Times New Roman"/>
          <w:szCs w:val="17"/>
        </w:rPr>
      </w:pPr>
      <w:r w:rsidRPr="004015EE">
        <w:rPr>
          <w:rFonts w:eastAsia="Times New Roman"/>
          <w:szCs w:val="17"/>
        </w:rPr>
        <w:t>By command,</w:t>
      </w:r>
    </w:p>
    <w:p w:rsidR="004015EE" w:rsidRPr="004015EE" w:rsidRDefault="004015EE" w:rsidP="004015EE">
      <w:pPr>
        <w:spacing w:after="0"/>
        <w:jc w:val="right"/>
        <w:rPr>
          <w:smallCaps/>
          <w:szCs w:val="17"/>
        </w:rPr>
      </w:pPr>
      <w:r w:rsidRPr="004015EE">
        <w:rPr>
          <w:smallCaps/>
          <w:szCs w:val="17"/>
        </w:rPr>
        <w:t>Steven Spence Marshall</w:t>
      </w:r>
    </w:p>
    <w:p w:rsidR="004015EE" w:rsidRPr="004015EE" w:rsidRDefault="004015EE" w:rsidP="004015EE">
      <w:pPr>
        <w:spacing w:after="0"/>
        <w:jc w:val="right"/>
        <w:rPr>
          <w:szCs w:val="17"/>
        </w:rPr>
      </w:pPr>
      <w:r w:rsidRPr="004015EE">
        <w:rPr>
          <w:szCs w:val="17"/>
        </w:rPr>
        <w:t>Premier</w:t>
      </w:r>
    </w:p>
    <w:p w:rsidR="004015EE" w:rsidRPr="004015EE" w:rsidRDefault="004015EE" w:rsidP="004015EE">
      <w:pPr>
        <w:spacing w:after="0"/>
        <w:jc w:val="left"/>
        <w:rPr>
          <w:szCs w:val="17"/>
        </w:rPr>
      </w:pPr>
      <w:r w:rsidRPr="004015EE">
        <w:rPr>
          <w:szCs w:val="17"/>
        </w:rPr>
        <w:t>AGO0118-20CS</w:t>
      </w:r>
    </w:p>
    <w:p w:rsidR="004015EE" w:rsidRPr="004015EE" w:rsidRDefault="004015EE" w:rsidP="004015EE">
      <w:pPr>
        <w:pBdr>
          <w:top w:val="single" w:sz="4" w:space="1" w:color="auto"/>
        </w:pBdr>
        <w:spacing w:before="100" w:after="0" w:line="14" w:lineRule="exact"/>
        <w:jc w:val="center"/>
        <w:rPr>
          <w:rFonts w:ascii="Segoe UI Light" w:hAnsi="Segoe UI Light"/>
          <w:sz w:val="22"/>
        </w:rPr>
      </w:pPr>
    </w:p>
    <w:p w:rsidR="004015EE" w:rsidRPr="004015EE" w:rsidRDefault="004015EE" w:rsidP="004015EE">
      <w:pPr>
        <w:spacing w:after="0"/>
        <w:jc w:val="right"/>
        <w:rPr>
          <w:rFonts w:eastAsia="Times New Roman"/>
          <w:szCs w:val="17"/>
        </w:rPr>
      </w:pPr>
    </w:p>
    <w:p w:rsidR="004015EE" w:rsidRPr="004015EE" w:rsidRDefault="004015EE" w:rsidP="004015EE">
      <w:pPr>
        <w:spacing w:after="0"/>
        <w:jc w:val="right"/>
        <w:rPr>
          <w:szCs w:val="17"/>
        </w:rPr>
      </w:pPr>
      <w:r w:rsidRPr="004015EE">
        <w:rPr>
          <w:szCs w:val="17"/>
        </w:rPr>
        <w:t>Department of the Premier and Cabinet</w:t>
      </w:r>
    </w:p>
    <w:p w:rsidR="004015EE" w:rsidRPr="004015EE" w:rsidRDefault="004015EE" w:rsidP="004015EE">
      <w:pPr>
        <w:jc w:val="right"/>
        <w:rPr>
          <w:szCs w:val="17"/>
        </w:rPr>
      </w:pPr>
      <w:r w:rsidRPr="004015EE">
        <w:rPr>
          <w:szCs w:val="17"/>
        </w:rPr>
        <w:t>Adelaide, 23 July 2020</w:t>
      </w:r>
    </w:p>
    <w:p w:rsidR="004015EE" w:rsidRPr="004015EE" w:rsidRDefault="004015EE" w:rsidP="004015EE">
      <w:pPr>
        <w:rPr>
          <w:rFonts w:eastAsia="Times New Roman"/>
          <w:szCs w:val="17"/>
        </w:rPr>
      </w:pPr>
      <w:r w:rsidRPr="004015EE">
        <w:rPr>
          <w:rFonts w:eastAsia="Times New Roman"/>
          <w:szCs w:val="17"/>
        </w:rPr>
        <w:t>His Excellency the Governor in Executive Council has been pleased to appoint Mark Steven Semmens as a Magistrate commencing on 27 July 2020 - pursuant to the provisions of the Magistrates Act 1983.</w:t>
      </w:r>
    </w:p>
    <w:p w:rsidR="004015EE" w:rsidRPr="004015EE" w:rsidRDefault="004015EE" w:rsidP="004015EE">
      <w:pPr>
        <w:jc w:val="center"/>
        <w:rPr>
          <w:rFonts w:eastAsia="Times New Roman"/>
          <w:szCs w:val="17"/>
        </w:rPr>
      </w:pPr>
      <w:r w:rsidRPr="004015EE">
        <w:rPr>
          <w:rFonts w:eastAsia="Times New Roman"/>
          <w:szCs w:val="17"/>
        </w:rPr>
        <w:t>By command,</w:t>
      </w:r>
    </w:p>
    <w:p w:rsidR="004015EE" w:rsidRPr="004015EE" w:rsidRDefault="004015EE" w:rsidP="004015EE">
      <w:pPr>
        <w:spacing w:after="0"/>
        <w:jc w:val="right"/>
        <w:rPr>
          <w:smallCaps/>
          <w:szCs w:val="17"/>
        </w:rPr>
      </w:pPr>
      <w:r w:rsidRPr="004015EE">
        <w:rPr>
          <w:smallCaps/>
          <w:szCs w:val="17"/>
        </w:rPr>
        <w:t>Steven Spence Marshall</w:t>
      </w:r>
    </w:p>
    <w:p w:rsidR="004015EE" w:rsidRPr="004015EE" w:rsidRDefault="004015EE" w:rsidP="004015EE">
      <w:pPr>
        <w:spacing w:after="0"/>
        <w:jc w:val="right"/>
        <w:rPr>
          <w:szCs w:val="17"/>
        </w:rPr>
      </w:pPr>
      <w:r w:rsidRPr="004015EE">
        <w:rPr>
          <w:szCs w:val="17"/>
        </w:rPr>
        <w:t>Premier</w:t>
      </w:r>
    </w:p>
    <w:p w:rsidR="004015EE" w:rsidRPr="004015EE" w:rsidRDefault="004015EE" w:rsidP="004015EE">
      <w:pPr>
        <w:spacing w:after="0"/>
        <w:jc w:val="left"/>
        <w:rPr>
          <w:szCs w:val="17"/>
        </w:rPr>
      </w:pPr>
      <w:r w:rsidRPr="004015EE">
        <w:rPr>
          <w:szCs w:val="17"/>
        </w:rPr>
        <w:t>AGO0119-20CS</w:t>
      </w:r>
    </w:p>
    <w:p w:rsidR="004015EE" w:rsidRPr="004015EE" w:rsidRDefault="004015EE" w:rsidP="004015EE">
      <w:pPr>
        <w:pBdr>
          <w:top w:val="single" w:sz="4" w:space="1" w:color="auto"/>
        </w:pBdr>
        <w:spacing w:before="100" w:after="0" w:line="14" w:lineRule="exact"/>
        <w:jc w:val="center"/>
        <w:rPr>
          <w:rFonts w:ascii="Segoe UI Light" w:hAnsi="Segoe UI Light"/>
          <w:sz w:val="22"/>
        </w:rPr>
      </w:pPr>
    </w:p>
    <w:p w:rsidR="004015EE" w:rsidRPr="004015EE" w:rsidRDefault="004015EE" w:rsidP="004015EE">
      <w:pPr>
        <w:spacing w:after="0"/>
        <w:jc w:val="right"/>
        <w:rPr>
          <w:rFonts w:eastAsia="Times New Roman"/>
          <w:szCs w:val="17"/>
        </w:rPr>
      </w:pPr>
    </w:p>
    <w:p w:rsidR="004015EE" w:rsidRPr="004015EE" w:rsidRDefault="004015EE" w:rsidP="004015EE">
      <w:pPr>
        <w:spacing w:after="0"/>
        <w:jc w:val="right"/>
        <w:rPr>
          <w:szCs w:val="17"/>
        </w:rPr>
      </w:pPr>
      <w:r w:rsidRPr="004015EE">
        <w:rPr>
          <w:szCs w:val="17"/>
        </w:rPr>
        <w:t>Department of the Premier and Cabinet</w:t>
      </w:r>
    </w:p>
    <w:p w:rsidR="004015EE" w:rsidRPr="004015EE" w:rsidRDefault="004015EE" w:rsidP="004015EE">
      <w:pPr>
        <w:jc w:val="right"/>
        <w:rPr>
          <w:szCs w:val="17"/>
        </w:rPr>
      </w:pPr>
      <w:r w:rsidRPr="004015EE">
        <w:rPr>
          <w:szCs w:val="17"/>
        </w:rPr>
        <w:t>Adelaide, 23 July 2020</w:t>
      </w:r>
    </w:p>
    <w:p w:rsidR="004015EE" w:rsidRPr="004015EE" w:rsidRDefault="004015EE" w:rsidP="004015EE">
      <w:pPr>
        <w:rPr>
          <w:rFonts w:eastAsia="Times New Roman"/>
          <w:szCs w:val="17"/>
        </w:rPr>
      </w:pPr>
      <w:r w:rsidRPr="004015EE">
        <w:rPr>
          <w:rFonts w:eastAsia="Times New Roman"/>
          <w:szCs w:val="17"/>
        </w:rPr>
        <w:t>His Excellency the Governor in Executive Council has been pleased to appoint Helen Ward as a sessional Commissioner of the South Australian Employment Tribunal for a term of two years commencing on 23 August 2020 and expiring on 22 August 2022 - pursuant to the provisions of the South Australian Employment Tribunal Act 2014.</w:t>
      </w:r>
    </w:p>
    <w:p w:rsidR="004015EE" w:rsidRPr="004015EE" w:rsidRDefault="004015EE" w:rsidP="004015EE">
      <w:pPr>
        <w:jc w:val="center"/>
        <w:rPr>
          <w:rFonts w:eastAsia="Times New Roman"/>
          <w:szCs w:val="17"/>
        </w:rPr>
      </w:pPr>
      <w:r w:rsidRPr="004015EE">
        <w:rPr>
          <w:rFonts w:eastAsia="Times New Roman"/>
          <w:szCs w:val="17"/>
        </w:rPr>
        <w:t>By command,</w:t>
      </w:r>
    </w:p>
    <w:p w:rsidR="004015EE" w:rsidRPr="004015EE" w:rsidRDefault="004015EE" w:rsidP="004015EE">
      <w:pPr>
        <w:spacing w:after="0"/>
        <w:jc w:val="right"/>
        <w:rPr>
          <w:smallCaps/>
          <w:szCs w:val="17"/>
        </w:rPr>
      </w:pPr>
      <w:r w:rsidRPr="004015EE">
        <w:rPr>
          <w:smallCaps/>
          <w:szCs w:val="17"/>
        </w:rPr>
        <w:t>Steven Spence Marshall</w:t>
      </w:r>
    </w:p>
    <w:p w:rsidR="004015EE" w:rsidRPr="004015EE" w:rsidRDefault="004015EE" w:rsidP="004015EE">
      <w:pPr>
        <w:spacing w:after="0"/>
        <w:jc w:val="right"/>
        <w:rPr>
          <w:szCs w:val="17"/>
        </w:rPr>
      </w:pPr>
      <w:r w:rsidRPr="004015EE">
        <w:rPr>
          <w:szCs w:val="17"/>
        </w:rPr>
        <w:t>Premier</w:t>
      </w:r>
    </w:p>
    <w:p w:rsidR="004015EE" w:rsidRPr="004015EE" w:rsidRDefault="004015EE" w:rsidP="004015EE">
      <w:pPr>
        <w:spacing w:after="0"/>
        <w:jc w:val="left"/>
        <w:rPr>
          <w:szCs w:val="17"/>
        </w:rPr>
      </w:pPr>
      <w:r w:rsidRPr="004015EE">
        <w:rPr>
          <w:szCs w:val="17"/>
        </w:rPr>
        <w:t>T&amp;F20/060CS</w:t>
      </w:r>
    </w:p>
    <w:p w:rsidR="004015EE" w:rsidRPr="004015EE" w:rsidRDefault="004015EE" w:rsidP="004015EE">
      <w:pPr>
        <w:pBdr>
          <w:top w:val="single" w:sz="4" w:space="1" w:color="auto"/>
        </w:pBdr>
        <w:spacing w:before="100" w:after="0" w:line="14" w:lineRule="exact"/>
        <w:jc w:val="center"/>
        <w:rPr>
          <w:rFonts w:ascii="Segoe UI Light" w:hAnsi="Segoe UI Light"/>
          <w:sz w:val="22"/>
        </w:rPr>
      </w:pPr>
    </w:p>
    <w:p w:rsidR="004015EE" w:rsidRPr="004015EE" w:rsidRDefault="004015EE" w:rsidP="004015EE">
      <w:pPr>
        <w:spacing w:after="0"/>
        <w:jc w:val="right"/>
        <w:rPr>
          <w:rFonts w:eastAsia="Times New Roman"/>
          <w:szCs w:val="17"/>
        </w:rPr>
      </w:pPr>
    </w:p>
    <w:p w:rsidR="004015EE" w:rsidRPr="004015EE" w:rsidRDefault="004015EE" w:rsidP="004015EE">
      <w:pPr>
        <w:spacing w:after="0" w:line="240" w:lineRule="auto"/>
        <w:jc w:val="left"/>
        <w:rPr>
          <w:szCs w:val="17"/>
        </w:rPr>
      </w:pPr>
      <w:r w:rsidRPr="004015EE">
        <w:rPr>
          <w:szCs w:val="17"/>
        </w:rPr>
        <w:br w:type="page"/>
      </w:r>
    </w:p>
    <w:p w:rsidR="004015EE" w:rsidRPr="004015EE" w:rsidRDefault="004015EE" w:rsidP="004015EE">
      <w:pPr>
        <w:spacing w:after="0"/>
        <w:jc w:val="right"/>
        <w:rPr>
          <w:szCs w:val="17"/>
        </w:rPr>
      </w:pPr>
      <w:r w:rsidRPr="004015EE">
        <w:rPr>
          <w:szCs w:val="17"/>
        </w:rPr>
        <w:lastRenderedPageBreak/>
        <w:t>Department of the Premier and Cabinet</w:t>
      </w:r>
    </w:p>
    <w:p w:rsidR="004015EE" w:rsidRPr="004015EE" w:rsidRDefault="004015EE" w:rsidP="004015EE">
      <w:pPr>
        <w:jc w:val="right"/>
        <w:rPr>
          <w:szCs w:val="17"/>
        </w:rPr>
      </w:pPr>
      <w:r w:rsidRPr="004015EE">
        <w:rPr>
          <w:szCs w:val="17"/>
        </w:rPr>
        <w:t>Adelaide, 23 July 2020</w:t>
      </w:r>
    </w:p>
    <w:p w:rsidR="004015EE" w:rsidRPr="004015EE" w:rsidRDefault="004015EE" w:rsidP="004015EE">
      <w:pPr>
        <w:rPr>
          <w:rFonts w:eastAsia="Times New Roman"/>
          <w:spacing w:val="-2"/>
          <w:szCs w:val="17"/>
        </w:rPr>
      </w:pPr>
      <w:r w:rsidRPr="004015EE">
        <w:rPr>
          <w:rFonts w:eastAsia="Times New Roman"/>
          <w:spacing w:val="-2"/>
          <w:szCs w:val="17"/>
        </w:rPr>
        <w:t>His Excellency the Governor in Executive Council has revoked the appointment of the former SafeWork SA employees listed below, as Inspectors for the purposes of the Shop Trading Hours Act 1977, effective from 23 July 2020 - pursuant to the Shop Trading Hours Act 1977 and section 36 of the Acts Interpretation Act 1915.</w:t>
      </w:r>
    </w:p>
    <w:p w:rsidR="004015EE" w:rsidRPr="004015EE" w:rsidRDefault="004015EE" w:rsidP="004015EE">
      <w:pPr>
        <w:ind w:left="425"/>
        <w:jc w:val="left"/>
        <w:rPr>
          <w:szCs w:val="17"/>
        </w:rPr>
      </w:pPr>
      <w:r w:rsidRPr="004015EE">
        <w:rPr>
          <w:szCs w:val="17"/>
        </w:rPr>
        <w:t>Ruth Byrnes</w:t>
      </w:r>
    </w:p>
    <w:p w:rsidR="004015EE" w:rsidRPr="004015EE" w:rsidRDefault="004015EE" w:rsidP="004015EE">
      <w:pPr>
        <w:ind w:left="425"/>
        <w:jc w:val="left"/>
        <w:rPr>
          <w:szCs w:val="17"/>
        </w:rPr>
      </w:pPr>
      <w:r w:rsidRPr="004015EE">
        <w:rPr>
          <w:szCs w:val="17"/>
        </w:rPr>
        <w:t>Gary James Clark</w:t>
      </w:r>
    </w:p>
    <w:p w:rsidR="004015EE" w:rsidRPr="004015EE" w:rsidRDefault="004015EE" w:rsidP="004015EE">
      <w:pPr>
        <w:ind w:left="425"/>
        <w:jc w:val="left"/>
        <w:rPr>
          <w:szCs w:val="17"/>
        </w:rPr>
      </w:pPr>
      <w:r w:rsidRPr="004015EE">
        <w:rPr>
          <w:szCs w:val="17"/>
        </w:rPr>
        <w:t>Pauline Sylvia Cleghorn</w:t>
      </w:r>
    </w:p>
    <w:p w:rsidR="004015EE" w:rsidRPr="004015EE" w:rsidRDefault="004015EE" w:rsidP="004015EE">
      <w:pPr>
        <w:ind w:left="425"/>
        <w:jc w:val="left"/>
        <w:rPr>
          <w:szCs w:val="17"/>
        </w:rPr>
      </w:pPr>
      <w:r w:rsidRPr="004015EE">
        <w:rPr>
          <w:szCs w:val="17"/>
        </w:rPr>
        <w:t>Kristina Teresa Constantopoulos</w:t>
      </w:r>
    </w:p>
    <w:p w:rsidR="004015EE" w:rsidRPr="004015EE" w:rsidRDefault="004015EE" w:rsidP="004015EE">
      <w:pPr>
        <w:ind w:left="425"/>
        <w:jc w:val="left"/>
        <w:rPr>
          <w:szCs w:val="17"/>
        </w:rPr>
      </w:pPr>
      <w:r w:rsidRPr="004015EE">
        <w:rPr>
          <w:szCs w:val="17"/>
        </w:rPr>
        <w:t>Catherine Ann Croci</w:t>
      </w:r>
    </w:p>
    <w:p w:rsidR="004015EE" w:rsidRPr="004015EE" w:rsidRDefault="004015EE" w:rsidP="004015EE">
      <w:pPr>
        <w:ind w:left="425"/>
        <w:jc w:val="left"/>
        <w:rPr>
          <w:szCs w:val="17"/>
        </w:rPr>
      </w:pPr>
      <w:r w:rsidRPr="004015EE">
        <w:rPr>
          <w:szCs w:val="17"/>
        </w:rPr>
        <w:t>Nicole Georgette Dyer</w:t>
      </w:r>
    </w:p>
    <w:p w:rsidR="004015EE" w:rsidRPr="004015EE" w:rsidRDefault="004015EE" w:rsidP="004015EE">
      <w:pPr>
        <w:ind w:left="425"/>
        <w:jc w:val="left"/>
        <w:rPr>
          <w:szCs w:val="17"/>
        </w:rPr>
      </w:pPr>
      <w:r w:rsidRPr="004015EE">
        <w:rPr>
          <w:szCs w:val="17"/>
        </w:rPr>
        <w:t>Christopher James Embery</w:t>
      </w:r>
    </w:p>
    <w:p w:rsidR="004015EE" w:rsidRPr="004015EE" w:rsidRDefault="004015EE" w:rsidP="004015EE">
      <w:pPr>
        <w:ind w:left="425"/>
        <w:jc w:val="left"/>
        <w:rPr>
          <w:szCs w:val="17"/>
        </w:rPr>
      </w:pPr>
      <w:r w:rsidRPr="004015EE">
        <w:rPr>
          <w:szCs w:val="17"/>
        </w:rPr>
        <w:t>Harry Gelzinis</w:t>
      </w:r>
    </w:p>
    <w:p w:rsidR="004015EE" w:rsidRPr="004015EE" w:rsidRDefault="004015EE" w:rsidP="004015EE">
      <w:pPr>
        <w:ind w:left="425"/>
        <w:jc w:val="left"/>
        <w:rPr>
          <w:szCs w:val="17"/>
        </w:rPr>
      </w:pPr>
      <w:r w:rsidRPr="004015EE">
        <w:rPr>
          <w:szCs w:val="17"/>
        </w:rPr>
        <w:t>Shirley Anne Higgins</w:t>
      </w:r>
    </w:p>
    <w:p w:rsidR="004015EE" w:rsidRPr="004015EE" w:rsidRDefault="004015EE" w:rsidP="004015EE">
      <w:pPr>
        <w:ind w:left="425"/>
        <w:jc w:val="left"/>
        <w:rPr>
          <w:szCs w:val="17"/>
        </w:rPr>
      </w:pPr>
      <w:r w:rsidRPr="004015EE">
        <w:rPr>
          <w:szCs w:val="17"/>
        </w:rPr>
        <w:t>Angela Beth Hill</w:t>
      </w:r>
    </w:p>
    <w:p w:rsidR="004015EE" w:rsidRPr="004015EE" w:rsidRDefault="004015EE" w:rsidP="004015EE">
      <w:pPr>
        <w:ind w:left="425"/>
        <w:jc w:val="left"/>
        <w:rPr>
          <w:szCs w:val="17"/>
        </w:rPr>
      </w:pPr>
      <w:r w:rsidRPr="004015EE">
        <w:rPr>
          <w:szCs w:val="17"/>
        </w:rPr>
        <w:t>Ewa Jadwiga Jaruzelski</w:t>
      </w:r>
    </w:p>
    <w:p w:rsidR="004015EE" w:rsidRPr="004015EE" w:rsidRDefault="004015EE" w:rsidP="004015EE">
      <w:pPr>
        <w:ind w:left="425"/>
        <w:jc w:val="left"/>
        <w:rPr>
          <w:szCs w:val="17"/>
        </w:rPr>
      </w:pPr>
      <w:r w:rsidRPr="004015EE">
        <w:rPr>
          <w:szCs w:val="17"/>
        </w:rPr>
        <w:t>Hendricus Johannus Antonius Jordans</w:t>
      </w:r>
    </w:p>
    <w:p w:rsidR="004015EE" w:rsidRPr="004015EE" w:rsidRDefault="004015EE" w:rsidP="004015EE">
      <w:pPr>
        <w:ind w:left="425"/>
        <w:jc w:val="left"/>
        <w:rPr>
          <w:szCs w:val="17"/>
        </w:rPr>
      </w:pPr>
      <w:r w:rsidRPr="004015EE">
        <w:rPr>
          <w:szCs w:val="17"/>
        </w:rPr>
        <w:t>Stephen John Kain</w:t>
      </w:r>
    </w:p>
    <w:p w:rsidR="004015EE" w:rsidRPr="004015EE" w:rsidRDefault="004015EE" w:rsidP="004015EE">
      <w:pPr>
        <w:ind w:left="425"/>
        <w:jc w:val="left"/>
        <w:rPr>
          <w:szCs w:val="17"/>
        </w:rPr>
      </w:pPr>
      <w:r w:rsidRPr="004015EE">
        <w:rPr>
          <w:szCs w:val="17"/>
        </w:rPr>
        <w:t>Amanda Jane Kay</w:t>
      </w:r>
    </w:p>
    <w:p w:rsidR="004015EE" w:rsidRPr="004015EE" w:rsidRDefault="004015EE" w:rsidP="004015EE">
      <w:pPr>
        <w:ind w:left="425"/>
        <w:jc w:val="left"/>
        <w:rPr>
          <w:szCs w:val="17"/>
        </w:rPr>
      </w:pPr>
      <w:r w:rsidRPr="004015EE">
        <w:rPr>
          <w:szCs w:val="17"/>
        </w:rPr>
        <w:t>Phillip Edward Miles</w:t>
      </w:r>
    </w:p>
    <w:p w:rsidR="004015EE" w:rsidRPr="004015EE" w:rsidRDefault="004015EE" w:rsidP="004015EE">
      <w:pPr>
        <w:ind w:left="425"/>
        <w:jc w:val="left"/>
        <w:rPr>
          <w:szCs w:val="17"/>
        </w:rPr>
      </w:pPr>
      <w:r w:rsidRPr="004015EE">
        <w:rPr>
          <w:szCs w:val="17"/>
        </w:rPr>
        <w:t>Kym Michael Miller</w:t>
      </w:r>
    </w:p>
    <w:p w:rsidR="004015EE" w:rsidRPr="004015EE" w:rsidRDefault="004015EE" w:rsidP="004015EE">
      <w:pPr>
        <w:ind w:left="425"/>
        <w:jc w:val="left"/>
        <w:rPr>
          <w:szCs w:val="17"/>
        </w:rPr>
      </w:pPr>
      <w:r w:rsidRPr="004015EE">
        <w:rPr>
          <w:szCs w:val="17"/>
        </w:rPr>
        <w:t>David Osborne</w:t>
      </w:r>
    </w:p>
    <w:p w:rsidR="004015EE" w:rsidRPr="004015EE" w:rsidRDefault="004015EE" w:rsidP="004015EE">
      <w:pPr>
        <w:ind w:left="425"/>
        <w:jc w:val="left"/>
        <w:rPr>
          <w:szCs w:val="17"/>
        </w:rPr>
      </w:pPr>
      <w:r w:rsidRPr="004015EE">
        <w:rPr>
          <w:szCs w:val="17"/>
        </w:rPr>
        <w:t>Anthony William Parletta</w:t>
      </w:r>
    </w:p>
    <w:p w:rsidR="004015EE" w:rsidRPr="004015EE" w:rsidRDefault="004015EE" w:rsidP="004015EE">
      <w:pPr>
        <w:ind w:left="425"/>
        <w:jc w:val="left"/>
        <w:rPr>
          <w:szCs w:val="17"/>
        </w:rPr>
      </w:pPr>
      <w:r w:rsidRPr="004015EE">
        <w:rPr>
          <w:szCs w:val="17"/>
        </w:rPr>
        <w:t>Matthew Antony Pearce</w:t>
      </w:r>
    </w:p>
    <w:p w:rsidR="004015EE" w:rsidRPr="004015EE" w:rsidRDefault="004015EE" w:rsidP="004015EE">
      <w:pPr>
        <w:ind w:left="425"/>
        <w:jc w:val="left"/>
        <w:rPr>
          <w:szCs w:val="17"/>
        </w:rPr>
      </w:pPr>
      <w:r w:rsidRPr="004015EE">
        <w:rPr>
          <w:szCs w:val="17"/>
        </w:rPr>
        <w:t>Paula Jayne Reid</w:t>
      </w:r>
    </w:p>
    <w:p w:rsidR="004015EE" w:rsidRPr="004015EE" w:rsidRDefault="004015EE" w:rsidP="004015EE">
      <w:pPr>
        <w:ind w:left="425"/>
        <w:jc w:val="left"/>
        <w:rPr>
          <w:szCs w:val="17"/>
        </w:rPr>
      </w:pPr>
      <w:r w:rsidRPr="004015EE">
        <w:rPr>
          <w:szCs w:val="17"/>
        </w:rPr>
        <w:t>Simon Bradshaw Ridings</w:t>
      </w:r>
    </w:p>
    <w:p w:rsidR="004015EE" w:rsidRPr="004015EE" w:rsidRDefault="004015EE" w:rsidP="004015EE">
      <w:pPr>
        <w:ind w:left="425"/>
        <w:jc w:val="left"/>
        <w:rPr>
          <w:szCs w:val="17"/>
        </w:rPr>
      </w:pPr>
      <w:r w:rsidRPr="004015EE">
        <w:rPr>
          <w:szCs w:val="17"/>
        </w:rPr>
        <w:t>Michael Kenneth Scrutton</w:t>
      </w:r>
    </w:p>
    <w:p w:rsidR="004015EE" w:rsidRPr="004015EE" w:rsidRDefault="004015EE" w:rsidP="004015EE">
      <w:pPr>
        <w:ind w:left="425"/>
        <w:jc w:val="left"/>
        <w:rPr>
          <w:szCs w:val="17"/>
        </w:rPr>
      </w:pPr>
      <w:r w:rsidRPr="004015EE">
        <w:rPr>
          <w:szCs w:val="17"/>
        </w:rPr>
        <w:t>Murray Reginald Slee</w:t>
      </w:r>
    </w:p>
    <w:p w:rsidR="004015EE" w:rsidRPr="004015EE" w:rsidRDefault="004015EE" w:rsidP="004015EE">
      <w:pPr>
        <w:ind w:left="425"/>
        <w:jc w:val="left"/>
        <w:rPr>
          <w:szCs w:val="17"/>
        </w:rPr>
      </w:pPr>
      <w:r w:rsidRPr="004015EE">
        <w:rPr>
          <w:szCs w:val="17"/>
        </w:rPr>
        <w:t>Shaun Ross Matson Smith</w:t>
      </w:r>
    </w:p>
    <w:p w:rsidR="004015EE" w:rsidRPr="004015EE" w:rsidRDefault="004015EE" w:rsidP="004015EE">
      <w:pPr>
        <w:ind w:left="425"/>
        <w:jc w:val="left"/>
        <w:rPr>
          <w:szCs w:val="17"/>
        </w:rPr>
      </w:pPr>
      <w:r w:rsidRPr="004015EE">
        <w:rPr>
          <w:szCs w:val="17"/>
        </w:rPr>
        <w:t>David James Symons</w:t>
      </w:r>
    </w:p>
    <w:p w:rsidR="004015EE" w:rsidRPr="004015EE" w:rsidRDefault="004015EE" w:rsidP="004015EE">
      <w:pPr>
        <w:ind w:left="425"/>
        <w:jc w:val="left"/>
        <w:rPr>
          <w:szCs w:val="17"/>
        </w:rPr>
      </w:pPr>
      <w:r w:rsidRPr="004015EE">
        <w:rPr>
          <w:szCs w:val="17"/>
        </w:rPr>
        <w:t>Madeline Clare Thompson</w:t>
      </w:r>
    </w:p>
    <w:p w:rsidR="004015EE" w:rsidRPr="004015EE" w:rsidRDefault="004015EE" w:rsidP="004015EE">
      <w:pPr>
        <w:ind w:left="425"/>
        <w:jc w:val="left"/>
        <w:rPr>
          <w:szCs w:val="17"/>
        </w:rPr>
      </w:pPr>
      <w:r w:rsidRPr="004015EE">
        <w:rPr>
          <w:szCs w:val="17"/>
        </w:rPr>
        <w:t>Peter VanKruyssen</w:t>
      </w:r>
    </w:p>
    <w:p w:rsidR="004015EE" w:rsidRPr="004015EE" w:rsidRDefault="004015EE" w:rsidP="004015EE">
      <w:pPr>
        <w:ind w:left="425"/>
        <w:jc w:val="left"/>
        <w:rPr>
          <w:szCs w:val="17"/>
        </w:rPr>
      </w:pPr>
      <w:r w:rsidRPr="004015EE">
        <w:rPr>
          <w:szCs w:val="17"/>
        </w:rPr>
        <w:t>Graham Henderson Warren</w:t>
      </w:r>
    </w:p>
    <w:p w:rsidR="004015EE" w:rsidRPr="004015EE" w:rsidRDefault="004015EE" w:rsidP="004015EE">
      <w:pPr>
        <w:ind w:left="425"/>
        <w:jc w:val="left"/>
        <w:rPr>
          <w:szCs w:val="17"/>
        </w:rPr>
      </w:pPr>
      <w:r w:rsidRPr="004015EE">
        <w:rPr>
          <w:szCs w:val="17"/>
        </w:rPr>
        <w:t>Chor Shoon Wong</w:t>
      </w:r>
    </w:p>
    <w:p w:rsidR="004015EE" w:rsidRPr="004015EE" w:rsidRDefault="004015EE" w:rsidP="004015EE">
      <w:pPr>
        <w:jc w:val="center"/>
        <w:rPr>
          <w:rFonts w:eastAsia="Times New Roman"/>
          <w:szCs w:val="17"/>
        </w:rPr>
      </w:pPr>
      <w:r w:rsidRPr="004015EE">
        <w:rPr>
          <w:rFonts w:eastAsia="Times New Roman"/>
          <w:szCs w:val="17"/>
        </w:rPr>
        <w:t>By command,</w:t>
      </w:r>
    </w:p>
    <w:p w:rsidR="004015EE" w:rsidRPr="004015EE" w:rsidRDefault="004015EE" w:rsidP="004015EE">
      <w:pPr>
        <w:spacing w:after="0"/>
        <w:jc w:val="right"/>
        <w:rPr>
          <w:smallCaps/>
          <w:szCs w:val="17"/>
        </w:rPr>
      </w:pPr>
      <w:r w:rsidRPr="004015EE">
        <w:rPr>
          <w:smallCaps/>
          <w:szCs w:val="17"/>
        </w:rPr>
        <w:t>Steven Spence Marshall</w:t>
      </w:r>
    </w:p>
    <w:p w:rsidR="004015EE" w:rsidRPr="004015EE" w:rsidRDefault="004015EE" w:rsidP="004015EE">
      <w:pPr>
        <w:spacing w:after="0"/>
        <w:jc w:val="right"/>
        <w:rPr>
          <w:szCs w:val="17"/>
        </w:rPr>
      </w:pPr>
      <w:r w:rsidRPr="004015EE">
        <w:rPr>
          <w:szCs w:val="17"/>
        </w:rPr>
        <w:t>Premier</w:t>
      </w:r>
    </w:p>
    <w:p w:rsidR="004015EE" w:rsidRPr="004015EE" w:rsidRDefault="004015EE" w:rsidP="004015EE">
      <w:pPr>
        <w:spacing w:after="0"/>
        <w:jc w:val="left"/>
        <w:rPr>
          <w:szCs w:val="17"/>
        </w:rPr>
      </w:pPr>
      <w:r w:rsidRPr="004015EE">
        <w:rPr>
          <w:szCs w:val="17"/>
        </w:rPr>
        <w:t>T&amp;F20/059CS</w:t>
      </w:r>
    </w:p>
    <w:p w:rsidR="004015EE" w:rsidRPr="004015EE" w:rsidRDefault="004015EE" w:rsidP="004015EE">
      <w:pPr>
        <w:pBdr>
          <w:bottom w:val="single" w:sz="4" w:space="1" w:color="auto"/>
        </w:pBdr>
        <w:spacing w:after="0" w:line="52" w:lineRule="exact"/>
        <w:jc w:val="center"/>
        <w:rPr>
          <w:rFonts w:eastAsia="Times New Roman"/>
          <w:szCs w:val="17"/>
        </w:rPr>
      </w:pPr>
    </w:p>
    <w:p w:rsidR="004015EE" w:rsidRPr="004015EE" w:rsidRDefault="004015EE" w:rsidP="004015EE">
      <w:pPr>
        <w:pBdr>
          <w:top w:val="single" w:sz="4" w:space="1" w:color="auto"/>
        </w:pBdr>
        <w:spacing w:before="34" w:after="0" w:line="14" w:lineRule="exact"/>
        <w:jc w:val="center"/>
        <w:rPr>
          <w:rFonts w:eastAsia="Times New Roman"/>
          <w:szCs w:val="17"/>
        </w:rPr>
      </w:pPr>
    </w:p>
    <w:p w:rsidR="004015EE" w:rsidRPr="004015EE" w:rsidRDefault="004015EE" w:rsidP="004015EE">
      <w:pPr>
        <w:spacing w:after="0"/>
        <w:rPr>
          <w:rFonts w:eastAsia="Times New Roman"/>
          <w:szCs w:val="17"/>
        </w:rPr>
      </w:pPr>
    </w:p>
    <w:p w:rsidR="00854427" w:rsidRPr="00854427" w:rsidRDefault="00AC5F52" w:rsidP="00AC5F52">
      <w:pPr>
        <w:pStyle w:val="Heading2"/>
      </w:pPr>
      <w:bookmarkStart w:id="7" w:name="_Toc46398086"/>
      <w:r w:rsidRPr="00854427">
        <w:t>Emergency Management Act 2004</w:t>
      </w:r>
      <w:bookmarkEnd w:id="7"/>
    </w:p>
    <w:p w:rsidR="00854427" w:rsidRPr="00854427" w:rsidRDefault="00854427" w:rsidP="00854427">
      <w:pPr>
        <w:jc w:val="center"/>
        <w:rPr>
          <w:smallCaps/>
          <w:szCs w:val="17"/>
        </w:rPr>
      </w:pPr>
      <w:r w:rsidRPr="00854427">
        <w:rPr>
          <w:smallCaps/>
          <w:szCs w:val="17"/>
        </w:rPr>
        <w:t>Approval of Extension of a Major Emergency Declaration Under Section 23</w:t>
      </w:r>
    </w:p>
    <w:p w:rsidR="00854427" w:rsidRPr="00854427" w:rsidRDefault="00854427" w:rsidP="00854427">
      <w:pPr>
        <w:jc w:val="center"/>
        <w:rPr>
          <w:i/>
          <w:szCs w:val="17"/>
        </w:rPr>
      </w:pPr>
      <w:r w:rsidRPr="00854427">
        <w:rPr>
          <w:i/>
          <w:szCs w:val="17"/>
        </w:rPr>
        <w:t>Approval of the Governor</w:t>
      </w:r>
    </w:p>
    <w:p w:rsidR="00854427" w:rsidRPr="00854427" w:rsidRDefault="00854427" w:rsidP="00854427">
      <w:pPr>
        <w:rPr>
          <w:rFonts w:eastAsia="Times New Roman"/>
          <w:i/>
          <w:szCs w:val="17"/>
        </w:rPr>
      </w:pPr>
      <w:r w:rsidRPr="00854427">
        <w:rPr>
          <w:rFonts w:eastAsia="Times New Roman"/>
          <w:i/>
          <w:szCs w:val="17"/>
        </w:rPr>
        <w:t>Recital</w:t>
      </w:r>
    </w:p>
    <w:p w:rsidR="00854427" w:rsidRPr="00854427" w:rsidRDefault="00854427" w:rsidP="00854427">
      <w:pPr>
        <w:rPr>
          <w:rFonts w:eastAsia="Times New Roman"/>
          <w:szCs w:val="17"/>
        </w:rPr>
      </w:pPr>
      <w:r w:rsidRPr="00854427">
        <w:rPr>
          <w:rFonts w:eastAsia="Times New Roman"/>
          <w:szCs w:val="17"/>
        </w:rPr>
        <w:t xml:space="preserve">The State Co-ordinator declared a Major Emergency on 22 March 2020 under section 23(1) of the </w:t>
      </w:r>
      <w:r w:rsidRPr="00854427">
        <w:rPr>
          <w:rFonts w:eastAsia="Times New Roman"/>
          <w:i/>
          <w:szCs w:val="17"/>
        </w:rPr>
        <w:t>Emergency Management Act 2004</w:t>
      </w:r>
      <w:r w:rsidRPr="00854427">
        <w:rPr>
          <w:rFonts w:eastAsia="Times New Roman"/>
          <w:szCs w:val="17"/>
        </w:rPr>
        <w:t xml:space="preserve"> (</w:t>
      </w:r>
      <w:r w:rsidRPr="00854427">
        <w:rPr>
          <w:rFonts w:eastAsia="Times New Roman"/>
          <w:b/>
          <w:szCs w:val="17"/>
        </w:rPr>
        <w:t>the Act</w:t>
      </w:r>
      <w:r w:rsidRPr="00854427">
        <w:rPr>
          <w:rFonts w:eastAsia="Times New Roman"/>
          <w:szCs w:val="17"/>
        </w:rPr>
        <w:t>) in respect of the outbreak of the human disease named COVID-19 within South Australia (</w:t>
      </w:r>
      <w:r w:rsidRPr="00854427">
        <w:rPr>
          <w:rFonts w:eastAsia="Times New Roman"/>
          <w:b/>
          <w:szCs w:val="17"/>
        </w:rPr>
        <w:t>the Declaration</w:t>
      </w:r>
      <w:r w:rsidRPr="00854427">
        <w:rPr>
          <w:rFonts w:eastAsia="Times New Roman"/>
          <w:szCs w:val="17"/>
        </w:rPr>
        <w:t>).</w:t>
      </w:r>
    </w:p>
    <w:p w:rsidR="00854427" w:rsidRPr="00854427" w:rsidRDefault="00854427" w:rsidP="00854427">
      <w:pPr>
        <w:rPr>
          <w:rFonts w:eastAsia="Times New Roman"/>
          <w:szCs w:val="17"/>
        </w:rPr>
      </w:pPr>
      <w:r w:rsidRPr="00854427">
        <w:rPr>
          <w:rFonts w:eastAsia="Times New Roman"/>
          <w:szCs w:val="17"/>
        </w:rPr>
        <w:t>With the advice and consent of the Executive Council and pursuant to section 23(2) of the Act, on the days and for the periods set out in the Schedule to this Approval, I approved an extension of the Declaration.</w:t>
      </w:r>
    </w:p>
    <w:p w:rsidR="00854427" w:rsidRPr="00854427" w:rsidRDefault="00854427" w:rsidP="00854427">
      <w:pPr>
        <w:rPr>
          <w:rFonts w:eastAsia="Times New Roman"/>
          <w:szCs w:val="17"/>
        </w:rPr>
      </w:pPr>
      <w:r w:rsidRPr="00854427">
        <w:rPr>
          <w:rFonts w:eastAsia="Times New Roman"/>
          <w:szCs w:val="17"/>
        </w:rPr>
        <w:t>PURSUANT to section 23(2) of the Act and with the advice and consent of the Executive Council, I NOW approve a further extension of the Declaration for a period of 28 days commencing on 25 July 2020.</w:t>
      </w:r>
    </w:p>
    <w:p w:rsidR="00854427" w:rsidRPr="00854427" w:rsidRDefault="00854427" w:rsidP="00854427">
      <w:pPr>
        <w:jc w:val="center"/>
        <w:rPr>
          <w:smallCaps/>
          <w:szCs w:val="17"/>
        </w:rPr>
      </w:pPr>
      <w:r w:rsidRPr="00854427">
        <w:rPr>
          <w:smallCaps/>
          <w:szCs w:val="17"/>
        </w:rPr>
        <w:t>Schedule</w:t>
      </w:r>
    </w:p>
    <w:p w:rsidR="00854427" w:rsidRPr="00854427" w:rsidRDefault="00854427" w:rsidP="00854427">
      <w:pPr>
        <w:ind w:left="284"/>
        <w:rPr>
          <w:rFonts w:eastAsia="Times New Roman"/>
          <w:szCs w:val="17"/>
        </w:rPr>
      </w:pPr>
      <w:r w:rsidRPr="00854427">
        <w:rPr>
          <w:rFonts w:eastAsia="Times New Roman"/>
          <w:szCs w:val="17"/>
        </w:rPr>
        <w:t>•</w:t>
      </w:r>
      <w:r w:rsidRPr="00854427">
        <w:rPr>
          <w:rFonts w:eastAsia="Times New Roman"/>
          <w:szCs w:val="17"/>
        </w:rPr>
        <w:tab/>
        <w:t>On 2 April 2020, for a period of 28 days to commence on 4 April 2020.</w:t>
      </w:r>
    </w:p>
    <w:p w:rsidR="00854427" w:rsidRPr="00854427" w:rsidRDefault="00854427" w:rsidP="00854427">
      <w:pPr>
        <w:ind w:left="284"/>
        <w:rPr>
          <w:rFonts w:eastAsia="Times New Roman"/>
          <w:szCs w:val="17"/>
        </w:rPr>
      </w:pPr>
      <w:r w:rsidRPr="00854427">
        <w:rPr>
          <w:rFonts w:eastAsia="Times New Roman"/>
          <w:szCs w:val="17"/>
        </w:rPr>
        <w:t>•</w:t>
      </w:r>
      <w:r w:rsidRPr="00854427">
        <w:rPr>
          <w:rFonts w:eastAsia="Times New Roman"/>
          <w:szCs w:val="17"/>
        </w:rPr>
        <w:tab/>
        <w:t>On 30 April 2020 for a period of 28 days to commence on 2 May 2020.</w:t>
      </w:r>
    </w:p>
    <w:p w:rsidR="00854427" w:rsidRPr="00854427" w:rsidRDefault="00854427" w:rsidP="00854427">
      <w:pPr>
        <w:ind w:left="284"/>
        <w:rPr>
          <w:rFonts w:eastAsia="Times New Roman"/>
          <w:szCs w:val="17"/>
        </w:rPr>
      </w:pPr>
      <w:r w:rsidRPr="00854427">
        <w:rPr>
          <w:rFonts w:eastAsia="Times New Roman"/>
          <w:szCs w:val="17"/>
        </w:rPr>
        <w:t>•</w:t>
      </w:r>
      <w:r w:rsidRPr="00854427">
        <w:rPr>
          <w:rFonts w:eastAsia="Times New Roman"/>
          <w:szCs w:val="17"/>
        </w:rPr>
        <w:tab/>
        <w:t>On 28 May 2020 for a period of 28 days to commence on 30 May 2020.</w:t>
      </w:r>
    </w:p>
    <w:p w:rsidR="00854427" w:rsidRPr="00854427" w:rsidRDefault="00854427" w:rsidP="00854427">
      <w:pPr>
        <w:ind w:left="284"/>
        <w:rPr>
          <w:rFonts w:eastAsia="Times New Roman"/>
          <w:szCs w:val="17"/>
        </w:rPr>
      </w:pPr>
      <w:r w:rsidRPr="00854427">
        <w:rPr>
          <w:rFonts w:eastAsia="Times New Roman"/>
          <w:szCs w:val="17"/>
        </w:rPr>
        <w:t>•</w:t>
      </w:r>
      <w:r w:rsidRPr="00854427">
        <w:rPr>
          <w:rFonts w:eastAsia="Times New Roman"/>
          <w:szCs w:val="17"/>
        </w:rPr>
        <w:tab/>
        <w:t>On 27 June 2020 for a period of 28 days to commence on 27 June 2020.</w:t>
      </w:r>
    </w:p>
    <w:p w:rsidR="00854427" w:rsidRPr="00854427" w:rsidRDefault="00854427" w:rsidP="00854427">
      <w:pPr>
        <w:rPr>
          <w:rFonts w:eastAsia="Times New Roman"/>
          <w:szCs w:val="17"/>
        </w:rPr>
      </w:pPr>
      <w:r w:rsidRPr="00854427">
        <w:rPr>
          <w:rFonts w:eastAsia="Times New Roman"/>
          <w:szCs w:val="17"/>
        </w:rPr>
        <w:t>Given under my hand and the Public Seal of South Australia at Adelaide on Thursday, 23 July 2020.</w:t>
      </w:r>
    </w:p>
    <w:p w:rsidR="00854427" w:rsidRPr="00854427" w:rsidRDefault="00854427" w:rsidP="00854427">
      <w:pPr>
        <w:spacing w:after="0"/>
        <w:jc w:val="right"/>
        <w:rPr>
          <w:rFonts w:eastAsia="Times New Roman"/>
          <w:smallCaps/>
          <w:szCs w:val="20"/>
        </w:rPr>
      </w:pPr>
      <w:r w:rsidRPr="00854427">
        <w:rPr>
          <w:rFonts w:eastAsia="Times New Roman"/>
          <w:smallCaps/>
          <w:szCs w:val="20"/>
        </w:rPr>
        <w:t>Hieu Van Le</w:t>
      </w:r>
    </w:p>
    <w:p w:rsidR="00854427" w:rsidRPr="00854427" w:rsidRDefault="00854427" w:rsidP="00854427">
      <w:pPr>
        <w:spacing w:after="0"/>
        <w:jc w:val="right"/>
        <w:rPr>
          <w:rFonts w:eastAsia="Times New Roman"/>
          <w:szCs w:val="17"/>
        </w:rPr>
      </w:pPr>
      <w:r w:rsidRPr="00854427">
        <w:rPr>
          <w:rFonts w:eastAsia="Times New Roman"/>
          <w:szCs w:val="17"/>
        </w:rPr>
        <w:t>Governor</w:t>
      </w:r>
    </w:p>
    <w:p w:rsidR="00854427" w:rsidRPr="00854427" w:rsidRDefault="00854427" w:rsidP="00854427">
      <w:pPr>
        <w:pBdr>
          <w:bottom w:val="single" w:sz="4" w:space="1" w:color="auto"/>
        </w:pBdr>
        <w:spacing w:after="0" w:line="52" w:lineRule="exact"/>
        <w:jc w:val="center"/>
        <w:rPr>
          <w:rFonts w:eastAsia="Times New Roman"/>
          <w:smallCaps/>
          <w:szCs w:val="17"/>
        </w:rPr>
      </w:pPr>
    </w:p>
    <w:p w:rsidR="00854427" w:rsidRPr="00854427" w:rsidRDefault="00854427" w:rsidP="00854427">
      <w:pPr>
        <w:pBdr>
          <w:top w:val="single" w:sz="4" w:space="1" w:color="auto"/>
        </w:pBdr>
        <w:spacing w:before="34" w:after="0" w:line="14" w:lineRule="exact"/>
        <w:jc w:val="center"/>
        <w:rPr>
          <w:rFonts w:eastAsia="Times New Roman"/>
          <w:smallCaps/>
          <w:szCs w:val="17"/>
        </w:rPr>
      </w:pPr>
    </w:p>
    <w:p w:rsidR="00854427" w:rsidRPr="00854427" w:rsidRDefault="00854427" w:rsidP="0085442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mallCaps/>
          <w:szCs w:val="17"/>
        </w:rPr>
      </w:pPr>
    </w:p>
    <w:p w:rsidR="00753AB4" w:rsidRDefault="000249AC" w:rsidP="00854427">
      <w:pPr>
        <w:pStyle w:val="Heading2"/>
        <w:jc w:val="both"/>
      </w:pPr>
      <w:r>
        <w:br w:type="page"/>
      </w:r>
      <w:bookmarkStart w:id="8" w:name="_Toc33707980"/>
      <w:bookmarkStart w:id="9" w:name="_Toc33708151"/>
    </w:p>
    <w:p w:rsidR="00694D0A" w:rsidRDefault="00694D0A" w:rsidP="00694D0A">
      <w:pPr>
        <w:pStyle w:val="Heading2"/>
      </w:pPr>
      <w:bookmarkStart w:id="10" w:name="_Toc46398087"/>
      <w:r>
        <w:lastRenderedPageBreak/>
        <w:t>Regulations</w:t>
      </w:r>
      <w:bookmarkEnd w:id="8"/>
      <w:bookmarkEnd w:id="9"/>
      <w:bookmarkEnd w:id="10"/>
    </w:p>
    <w:p w:rsidR="00B11463" w:rsidRPr="00B11463" w:rsidRDefault="00B11463" w:rsidP="00B11463">
      <w:pPr>
        <w:keepLines/>
        <w:autoSpaceDE w:val="0"/>
        <w:autoSpaceDN w:val="0"/>
        <w:adjustRightInd w:val="0"/>
        <w:spacing w:before="240" w:after="0" w:line="240" w:lineRule="auto"/>
        <w:jc w:val="left"/>
        <w:rPr>
          <w:rFonts w:eastAsiaTheme="minorEastAsia"/>
          <w:color w:val="000000"/>
          <w:sz w:val="28"/>
          <w:szCs w:val="28"/>
          <w:lang w:eastAsia="en-AU"/>
        </w:rPr>
      </w:pPr>
      <w:r w:rsidRPr="00B11463">
        <w:rPr>
          <w:rFonts w:eastAsiaTheme="minorEastAsia"/>
          <w:color w:val="000000"/>
          <w:sz w:val="28"/>
          <w:szCs w:val="28"/>
          <w:lang w:eastAsia="en-AU"/>
        </w:rPr>
        <w:t>South Australia</w:t>
      </w:r>
    </w:p>
    <w:p w:rsidR="00B11463" w:rsidRPr="00B11463" w:rsidRDefault="00B11463" w:rsidP="000E5D9D">
      <w:pPr>
        <w:pStyle w:val="Heading3"/>
        <w:rPr>
          <w:lang w:eastAsia="en-AU"/>
        </w:rPr>
      </w:pPr>
      <w:bookmarkStart w:id="11" w:name="_Toc46398088"/>
      <w:r w:rsidRPr="00B11463">
        <w:rPr>
          <w:lang w:eastAsia="en-AU"/>
        </w:rPr>
        <w:t>Valuation of Land Regulations 2020</w:t>
      </w:r>
      <w:bookmarkEnd w:id="11"/>
    </w:p>
    <w:p w:rsidR="00B11463" w:rsidRPr="00B11463" w:rsidRDefault="00B11463" w:rsidP="00B11463">
      <w:pPr>
        <w:keepLines/>
        <w:autoSpaceDE w:val="0"/>
        <w:autoSpaceDN w:val="0"/>
        <w:adjustRightInd w:val="0"/>
        <w:spacing w:before="80" w:after="240" w:line="240" w:lineRule="auto"/>
        <w:jc w:val="left"/>
        <w:rPr>
          <w:rFonts w:eastAsiaTheme="minorEastAsia"/>
          <w:color w:val="000000"/>
          <w:sz w:val="24"/>
          <w:szCs w:val="24"/>
          <w:lang w:eastAsia="en-AU"/>
        </w:rPr>
      </w:pPr>
      <w:r w:rsidRPr="00B11463">
        <w:rPr>
          <w:rFonts w:eastAsiaTheme="minorEastAsia"/>
          <w:color w:val="000000"/>
          <w:sz w:val="24"/>
          <w:szCs w:val="24"/>
          <w:lang w:eastAsia="en-AU"/>
        </w:rPr>
        <w:t xml:space="preserve">under the </w:t>
      </w:r>
      <w:r w:rsidRPr="00B11463">
        <w:rPr>
          <w:rFonts w:eastAsiaTheme="minorEastAsia"/>
          <w:i/>
          <w:iCs/>
          <w:color w:val="000000"/>
          <w:sz w:val="24"/>
          <w:szCs w:val="24"/>
          <w:lang w:eastAsia="en-AU"/>
        </w:rPr>
        <w:t>Valuation of Land Act 1971</w:t>
      </w:r>
    </w:p>
    <w:p w:rsidR="00B11463" w:rsidRPr="00B11463" w:rsidRDefault="00B11463" w:rsidP="00B11463">
      <w:pPr>
        <w:keepLines/>
        <w:pBdr>
          <w:top w:val="single" w:sz="4" w:space="0" w:color="auto"/>
        </w:pBdr>
        <w:autoSpaceDE w:val="0"/>
        <w:autoSpaceDN w:val="0"/>
        <w:adjustRightInd w:val="0"/>
        <w:spacing w:before="120" w:after="120" w:line="240" w:lineRule="auto"/>
        <w:jc w:val="left"/>
        <w:rPr>
          <w:rFonts w:eastAsiaTheme="minorEastAsia"/>
          <w:color w:val="000000"/>
          <w:sz w:val="2"/>
          <w:szCs w:val="2"/>
          <w:lang w:eastAsia="en-AU"/>
        </w:rPr>
      </w:pPr>
    </w:p>
    <w:p w:rsidR="00B11463" w:rsidRPr="00B11463" w:rsidRDefault="00B11463" w:rsidP="00B11463">
      <w:pPr>
        <w:keepLines/>
        <w:autoSpaceDE w:val="0"/>
        <w:autoSpaceDN w:val="0"/>
        <w:adjustRightInd w:val="0"/>
        <w:spacing w:before="120" w:after="0" w:line="240" w:lineRule="auto"/>
        <w:jc w:val="left"/>
        <w:rPr>
          <w:rFonts w:eastAsiaTheme="minorEastAsia"/>
          <w:b/>
          <w:bCs/>
          <w:color w:val="000000"/>
          <w:sz w:val="32"/>
          <w:szCs w:val="32"/>
          <w:lang w:eastAsia="en-AU"/>
        </w:rPr>
      </w:pPr>
      <w:r w:rsidRPr="00B11463">
        <w:rPr>
          <w:rFonts w:eastAsiaTheme="minorEastAsia"/>
          <w:b/>
          <w:bCs/>
          <w:color w:val="000000"/>
          <w:sz w:val="32"/>
          <w:szCs w:val="32"/>
          <w:lang w:eastAsia="en-AU"/>
        </w:rPr>
        <w:t>Contents</w:t>
      </w:r>
    </w:p>
    <w:p w:rsidR="00B11463" w:rsidRPr="00B11463" w:rsidRDefault="00123FDA" w:rsidP="00B11463">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1" w:history="1">
        <w:r w:rsidR="00B11463" w:rsidRPr="00B11463">
          <w:rPr>
            <w:rFonts w:eastAsiaTheme="minorEastAsia"/>
            <w:color w:val="000000"/>
            <w:sz w:val="22"/>
            <w:lang w:eastAsia="en-AU"/>
          </w:rPr>
          <w:t>1</w:t>
        </w:r>
        <w:r w:rsidR="00B11463" w:rsidRPr="00B11463">
          <w:rPr>
            <w:rFonts w:eastAsiaTheme="minorEastAsia"/>
            <w:color w:val="000000"/>
            <w:sz w:val="22"/>
            <w:lang w:eastAsia="en-AU"/>
          </w:rPr>
          <w:tab/>
          <w:t>Short title</w:t>
        </w:r>
      </w:hyperlink>
    </w:p>
    <w:p w:rsidR="00B11463" w:rsidRPr="00B11463" w:rsidRDefault="00123FDA" w:rsidP="00B11463">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2" w:history="1">
        <w:r w:rsidR="00B11463" w:rsidRPr="00B11463">
          <w:rPr>
            <w:rFonts w:eastAsiaTheme="minorEastAsia"/>
            <w:color w:val="000000"/>
            <w:sz w:val="22"/>
            <w:lang w:eastAsia="en-AU"/>
          </w:rPr>
          <w:t>2</w:t>
        </w:r>
        <w:r w:rsidR="00B11463" w:rsidRPr="00B11463">
          <w:rPr>
            <w:rFonts w:eastAsiaTheme="minorEastAsia"/>
            <w:color w:val="000000"/>
            <w:sz w:val="22"/>
            <w:lang w:eastAsia="en-AU"/>
          </w:rPr>
          <w:tab/>
          <w:t>Commencement</w:t>
        </w:r>
      </w:hyperlink>
    </w:p>
    <w:p w:rsidR="00B11463" w:rsidRPr="00B11463" w:rsidRDefault="00123FDA" w:rsidP="00B11463">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3" w:history="1">
        <w:r w:rsidR="00B11463" w:rsidRPr="00B11463">
          <w:rPr>
            <w:rFonts w:eastAsiaTheme="minorEastAsia"/>
            <w:color w:val="000000"/>
            <w:sz w:val="22"/>
            <w:lang w:eastAsia="en-AU"/>
          </w:rPr>
          <w:t>3</w:t>
        </w:r>
        <w:r w:rsidR="00B11463" w:rsidRPr="00B11463">
          <w:rPr>
            <w:rFonts w:eastAsiaTheme="minorEastAsia"/>
            <w:color w:val="000000"/>
            <w:sz w:val="22"/>
            <w:lang w:eastAsia="en-AU"/>
          </w:rPr>
          <w:tab/>
          <w:t>Interpretation</w:t>
        </w:r>
      </w:hyperlink>
    </w:p>
    <w:p w:rsidR="00B11463" w:rsidRPr="00B11463" w:rsidRDefault="00123FDA" w:rsidP="00B11463">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4" w:history="1">
        <w:r w:rsidR="00B11463" w:rsidRPr="00B11463">
          <w:rPr>
            <w:rFonts w:eastAsiaTheme="minorEastAsia"/>
            <w:color w:val="000000"/>
            <w:sz w:val="22"/>
            <w:lang w:eastAsia="en-AU"/>
          </w:rPr>
          <w:t>4</w:t>
        </w:r>
        <w:r w:rsidR="00B11463" w:rsidRPr="00B11463">
          <w:rPr>
            <w:rFonts w:eastAsiaTheme="minorEastAsia"/>
            <w:color w:val="000000"/>
            <w:sz w:val="22"/>
            <w:lang w:eastAsia="en-AU"/>
          </w:rPr>
          <w:tab/>
          <w:t>Definition of annual value</w:t>
        </w:r>
      </w:hyperlink>
    </w:p>
    <w:p w:rsidR="00B11463" w:rsidRPr="00B11463" w:rsidRDefault="00123FDA" w:rsidP="00B11463">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5" w:history="1">
        <w:r w:rsidR="00B11463" w:rsidRPr="00B11463">
          <w:rPr>
            <w:rFonts w:eastAsiaTheme="minorEastAsia"/>
            <w:color w:val="000000"/>
            <w:sz w:val="22"/>
            <w:lang w:eastAsia="en-AU"/>
          </w:rPr>
          <w:t>5</w:t>
        </w:r>
        <w:r w:rsidR="00B11463" w:rsidRPr="00B11463">
          <w:rPr>
            <w:rFonts w:eastAsiaTheme="minorEastAsia"/>
            <w:color w:val="000000"/>
            <w:sz w:val="22"/>
            <w:lang w:eastAsia="en-AU"/>
          </w:rPr>
          <w:tab/>
          <w:t>Certain notices not to constitute notice of valuation unless objection period specified</w:t>
        </w:r>
      </w:hyperlink>
    </w:p>
    <w:p w:rsidR="00B11463" w:rsidRPr="00B11463" w:rsidRDefault="00123FDA" w:rsidP="00B11463">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6" w:history="1">
        <w:r w:rsidR="00B11463" w:rsidRPr="00B11463">
          <w:rPr>
            <w:rFonts w:eastAsiaTheme="minorEastAsia"/>
            <w:color w:val="000000"/>
            <w:sz w:val="22"/>
            <w:lang w:eastAsia="en-AU"/>
          </w:rPr>
          <w:t>6</w:t>
        </w:r>
        <w:r w:rsidR="00B11463" w:rsidRPr="00B11463">
          <w:rPr>
            <w:rFonts w:eastAsiaTheme="minorEastAsia"/>
            <w:color w:val="000000"/>
            <w:sz w:val="22"/>
            <w:lang w:eastAsia="en-AU"/>
          </w:rPr>
          <w:tab/>
          <w:t>Panels of land valuers—manner and form of nomination for appointment</w:t>
        </w:r>
      </w:hyperlink>
    </w:p>
    <w:p w:rsidR="00B11463" w:rsidRPr="00B11463" w:rsidRDefault="00123FDA" w:rsidP="00B11463">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7" w:history="1">
        <w:r w:rsidR="00B11463" w:rsidRPr="00B11463">
          <w:rPr>
            <w:rFonts w:eastAsiaTheme="minorEastAsia"/>
            <w:color w:val="000000"/>
            <w:sz w:val="22"/>
            <w:lang w:eastAsia="en-AU"/>
          </w:rPr>
          <w:t>7</w:t>
        </w:r>
        <w:r w:rsidR="00B11463" w:rsidRPr="00B11463">
          <w:rPr>
            <w:rFonts w:eastAsiaTheme="minorEastAsia"/>
            <w:color w:val="000000"/>
            <w:sz w:val="22"/>
            <w:lang w:eastAsia="en-AU"/>
          </w:rPr>
          <w:tab/>
          <w:t>Review of valuation—manner and form of application</w:t>
        </w:r>
      </w:hyperlink>
    </w:p>
    <w:p w:rsidR="00B11463" w:rsidRPr="00B11463" w:rsidRDefault="00123FDA" w:rsidP="00B11463">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8" w:history="1">
        <w:r w:rsidR="00B11463" w:rsidRPr="00B11463">
          <w:rPr>
            <w:rFonts w:eastAsiaTheme="minorEastAsia"/>
            <w:color w:val="000000"/>
            <w:sz w:val="22"/>
            <w:lang w:eastAsia="en-AU"/>
          </w:rPr>
          <w:t>8</w:t>
        </w:r>
        <w:r w:rsidR="00B11463" w:rsidRPr="00B11463">
          <w:rPr>
            <w:rFonts w:eastAsiaTheme="minorEastAsia"/>
            <w:color w:val="000000"/>
            <w:sz w:val="22"/>
            <w:lang w:eastAsia="en-AU"/>
          </w:rPr>
          <w:tab/>
          <w:t>Review of valuation—selection of valuer to conduct review</w:t>
        </w:r>
      </w:hyperlink>
    </w:p>
    <w:p w:rsidR="00B11463" w:rsidRPr="00B11463" w:rsidRDefault="00123FDA" w:rsidP="00B11463">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9" w:history="1">
        <w:r w:rsidR="00B11463" w:rsidRPr="00B11463">
          <w:rPr>
            <w:rFonts w:eastAsiaTheme="minorEastAsia"/>
            <w:color w:val="000000"/>
            <w:sz w:val="22"/>
            <w:lang w:eastAsia="en-AU"/>
          </w:rPr>
          <w:t>9</w:t>
        </w:r>
        <w:r w:rsidR="00B11463" w:rsidRPr="00B11463">
          <w:rPr>
            <w:rFonts w:eastAsiaTheme="minorEastAsia"/>
            <w:color w:val="000000"/>
            <w:sz w:val="22"/>
            <w:lang w:eastAsia="en-AU"/>
          </w:rPr>
          <w:tab/>
          <w:t>Notice of sale or transfer of title to land—particulars and form</w:t>
        </w:r>
      </w:hyperlink>
    </w:p>
    <w:p w:rsidR="00B11463" w:rsidRPr="00B11463" w:rsidRDefault="00123FDA" w:rsidP="00B11463">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10" w:history="1">
        <w:r w:rsidR="00B11463" w:rsidRPr="00B11463">
          <w:rPr>
            <w:rFonts w:eastAsiaTheme="minorEastAsia"/>
            <w:color w:val="000000"/>
            <w:sz w:val="22"/>
            <w:lang w:eastAsia="en-AU"/>
          </w:rPr>
          <w:t>10</w:t>
        </w:r>
        <w:r w:rsidR="00B11463" w:rsidRPr="00B11463">
          <w:rPr>
            <w:rFonts w:eastAsiaTheme="minorEastAsia"/>
            <w:color w:val="000000"/>
            <w:sz w:val="22"/>
            <w:lang w:eastAsia="en-AU"/>
          </w:rPr>
          <w:tab/>
          <w:t>Fixtures and improvements not to be included in valuations</w:t>
        </w:r>
      </w:hyperlink>
    </w:p>
    <w:p w:rsidR="00B11463" w:rsidRPr="00B11463" w:rsidRDefault="00123FDA" w:rsidP="00B11463">
      <w:pPr>
        <w:keepLines/>
        <w:autoSpaceDE w:val="0"/>
        <w:autoSpaceDN w:val="0"/>
        <w:adjustRightInd w:val="0"/>
        <w:spacing w:before="120" w:after="120" w:line="240" w:lineRule="auto"/>
        <w:jc w:val="left"/>
        <w:rPr>
          <w:rFonts w:eastAsiaTheme="minorEastAsia"/>
          <w:color w:val="000000"/>
          <w:sz w:val="28"/>
          <w:szCs w:val="28"/>
          <w:lang w:eastAsia="en-AU"/>
        </w:rPr>
      </w:pPr>
      <w:hyperlink w:anchor="id3f657ae3_e98b_4bb4_9870_9594f3bfa9" w:history="1">
        <w:r w:rsidR="00B11463" w:rsidRPr="00B11463">
          <w:rPr>
            <w:rFonts w:eastAsiaTheme="minorEastAsia"/>
            <w:color w:val="000000"/>
            <w:sz w:val="28"/>
            <w:szCs w:val="28"/>
            <w:lang w:eastAsia="en-AU"/>
          </w:rPr>
          <w:t>Schedule 1—Forms</w:t>
        </w:r>
      </w:hyperlink>
    </w:p>
    <w:p w:rsidR="00B11463" w:rsidRPr="00B11463" w:rsidRDefault="00123FDA" w:rsidP="00B11463">
      <w:pPr>
        <w:keepLines/>
        <w:autoSpaceDE w:val="0"/>
        <w:autoSpaceDN w:val="0"/>
        <w:adjustRightInd w:val="0"/>
        <w:spacing w:before="120" w:after="120" w:line="240" w:lineRule="auto"/>
        <w:jc w:val="left"/>
        <w:rPr>
          <w:rFonts w:eastAsiaTheme="minorEastAsia"/>
          <w:color w:val="000000"/>
          <w:sz w:val="28"/>
          <w:szCs w:val="28"/>
          <w:lang w:eastAsia="en-AU"/>
        </w:rPr>
      </w:pPr>
      <w:hyperlink w:anchor="Elkera_Print_BK13" w:history="1">
        <w:r w:rsidR="00B11463" w:rsidRPr="00B11463">
          <w:rPr>
            <w:rFonts w:eastAsiaTheme="minorEastAsia"/>
            <w:color w:val="000000"/>
            <w:sz w:val="28"/>
            <w:szCs w:val="28"/>
            <w:lang w:eastAsia="en-AU"/>
          </w:rPr>
          <w:t>Schedule 2—Revocation and transitional provisions</w:t>
        </w:r>
      </w:hyperlink>
    </w:p>
    <w:p w:rsidR="00B11463" w:rsidRPr="00B11463" w:rsidRDefault="00123FDA" w:rsidP="00B11463">
      <w:pPr>
        <w:keepNext/>
        <w:keepLines/>
        <w:autoSpaceDE w:val="0"/>
        <w:autoSpaceDN w:val="0"/>
        <w:adjustRightInd w:val="0"/>
        <w:spacing w:before="120" w:after="120" w:line="240" w:lineRule="auto"/>
        <w:jc w:val="left"/>
        <w:rPr>
          <w:rFonts w:eastAsiaTheme="minorEastAsia"/>
          <w:color w:val="000000"/>
          <w:sz w:val="28"/>
          <w:szCs w:val="28"/>
          <w:lang w:eastAsia="en-AU"/>
        </w:rPr>
      </w:pPr>
      <w:hyperlink w:anchor="Elkera_Print_BK14" w:history="1">
        <w:r w:rsidR="00B11463" w:rsidRPr="00B11463">
          <w:rPr>
            <w:rFonts w:eastAsiaTheme="minorEastAsia"/>
            <w:color w:val="000000"/>
            <w:sz w:val="28"/>
            <w:szCs w:val="28"/>
            <w:lang w:eastAsia="en-AU"/>
          </w:rPr>
          <w:t>Part 1—Preliminary</w:t>
        </w:r>
      </w:hyperlink>
    </w:p>
    <w:p w:rsidR="00B11463" w:rsidRPr="00B11463" w:rsidRDefault="00123FDA" w:rsidP="00B11463">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15" w:history="1">
        <w:r w:rsidR="00B11463" w:rsidRPr="00B11463">
          <w:rPr>
            <w:rFonts w:eastAsiaTheme="minorEastAsia"/>
            <w:color w:val="000000"/>
            <w:sz w:val="22"/>
            <w:lang w:eastAsia="en-AU"/>
          </w:rPr>
          <w:t>1</w:t>
        </w:r>
        <w:r w:rsidR="00B11463" w:rsidRPr="00B11463">
          <w:rPr>
            <w:rFonts w:eastAsiaTheme="minorEastAsia"/>
            <w:color w:val="000000"/>
            <w:sz w:val="22"/>
            <w:lang w:eastAsia="en-AU"/>
          </w:rPr>
          <w:tab/>
          <w:t>Interpretation</w:t>
        </w:r>
      </w:hyperlink>
    </w:p>
    <w:p w:rsidR="00B11463" w:rsidRPr="00B11463" w:rsidRDefault="00123FDA" w:rsidP="00B11463">
      <w:pPr>
        <w:keepNext/>
        <w:keepLines/>
        <w:autoSpaceDE w:val="0"/>
        <w:autoSpaceDN w:val="0"/>
        <w:adjustRightInd w:val="0"/>
        <w:spacing w:before="120" w:after="120" w:line="240" w:lineRule="auto"/>
        <w:jc w:val="left"/>
        <w:rPr>
          <w:rFonts w:eastAsiaTheme="minorEastAsia"/>
          <w:color w:val="000000"/>
          <w:sz w:val="28"/>
          <w:szCs w:val="28"/>
          <w:lang w:eastAsia="en-AU"/>
        </w:rPr>
      </w:pPr>
      <w:hyperlink w:anchor="Elkera_Print_BK16" w:history="1">
        <w:r w:rsidR="00B11463" w:rsidRPr="00B11463">
          <w:rPr>
            <w:rFonts w:eastAsiaTheme="minorEastAsia"/>
            <w:color w:val="000000"/>
            <w:sz w:val="28"/>
            <w:szCs w:val="28"/>
            <w:lang w:eastAsia="en-AU"/>
          </w:rPr>
          <w:t xml:space="preserve">Part 2—Revocation of </w:t>
        </w:r>
        <w:r w:rsidR="00B11463" w:rsidRPr="00B11463">
          <w:rPr>
            <w:rFonts w:eastAsiaTheme="minorEastAsia"/>
            <w:i/>
            <w:iCs/>
            <w:color w:val="000000"/>
            <w:sz w:val="28"/>
            <w:szCs w:val="28"/>
            <w:lang w:eastAsia="en-AU"/>
          </w:rPr>
          <w:t>Valuation of Land Regulations 2005</w:t>
        </w:r>
      </w:hyperlink>
    </w:p>
    <w:p w:rsidR="00B11463" w:rsidRPr="00B11463" w:rsidRDefault="00123FDA" w:rsidP="00B11463">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17" w:history="1">
        <w:r w:rsidR="00B11463" w:rsidRPr="00B11463">
          <w:rPr>
            <w:rFonts w:eastAsiaTheme="minorEastAsia"/>
            <w:color w:val="000000"/>
            <w:sz w:val="22"/>
            <w:lang w:eastAsia="en-AU"/>
          </w:rPr>
          <w:t>2</w:t>
        </w:r>
        <w:r w:rsidR="00B11463" w:rsidRPr="00B11463">
          <w:rPr>
            <w:rFonts w:eastAsiaTheme="minorEastAsia"/>
            <w:color w:val="000000"/>
            <w:sz w:val="22"/>
            <w:lang w:eastAsia="en-AU"/>
          </w:rPr>
          <w:tab/>
          <w:t xml:space="preserve">Revocation of </w:t>
        </w:r>
        <w:r w:rsidR="00B11463" w:rsidRPr="00B11463">
          <w:rPr>
            <w:rFonts w:eastAsiaTheme="minorEastAsia"/>
            <w:i/>
            <w:iCs/>
            <w:color w:val="000000"/>
            <w:sz w:val="22"/>
            <w:lang w:eastAsia="en-AU"/>
          </w:rPr>
          <w:t>Valuation of Land Regulations 2005</w:t>
        </w:r>
      </w:hyperlink>
    </w:p>
    <w:p w:rsidR="00B11463" w:rsidRPr="00B11463" w:rsidRDefault="00123FDA" w:rsidP="00B11463">
      <w:pPr>
        <w:keepNext/>
        <w:keepLines/>
        <w:autoSpaceDE w:val="0"/>
        <w:autoSpaceDN w:val="0"/>
        <w:adjustRightInd w:val="0"/>
        <w:spacing w:before="120" w:after="120" w:line="240" w:lineRule="auto"/>
        <w:jc w:val="left"/>
        <w:rPr>
          <w:rFonts w:eastAsiaTheme="minorEastAsia"/>
          <w:color w:val="000000"/>
          <w:sz w:val="28"/>
          <w:szCs w:val="28"/>
          <w:lang w:eastAsia="en-AU"/>
        </w:rPr>
      </w:pPr>
      <w:hyperlink w:anchor="Elkera_Print_BK18" w:history="1">
        <w:r w:rsidR="00B11463" w:rsidRPr="00B11463">
          <w:rPr>
            <w:rFonts w:eastAsiaTheme="minorEastAsia"/>
            <w:color w:val="000000"/>
            <w:sz w:val="28"/>
            <w:szCs w:val="28"/>
            <w:lang w:eastAsia="en-AU"/>
          </w:rPr>
          <w:t>Part 3—Transitional provisions</w:t>
        </w:r>
      </w:hyperlink>
    </w:p>
    <w:p w:rsidR="00B11463" w:rsidRPr="00B11463" w:rsidRDefault="00123FDA" w:rsidP="00B11463">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19" w:history="1">
        <w:r w:rsidR="00B11463" w:rsidRPr="00B11463">
          <w:rPr>
            <w:rFonts w:eastAsiaTheme="minorEastAsia"/>
            <w:color w:val="000000"/>
            <w:sz w:val="22"/>
            <w:lang w:eastAsia="en-AU"/>
          </w:rPr>
          <w:t>3</w:t>
        </w:r>
        <w:r w:rsidR="00B11463" w:rsidRPr="00B11463">
          <w:rPr>
            <w:rFonts w:eastAsiaTheme="minorEastAsia"/>
            <w:color w:val="000000"/>
            <w:sz w:val="22"/>
            <w:lang w:eastAsia="en-AU"/>
          </w:rPr>
          <w:tab/>
          <w:t>Applications, nominations or notices made or given under the revoked regulations</w:t>
        </w:r>
      </w:hyperlink>
    </w:p>
    <w:p w:rsidR="00B11463" w:rsidRPr="00B11463" w:rsidRDefault="00B11463" w:rsidP="00B11463">
      <w:pPr>
        <w:keepLines/>
        <w:pBdr>
          <w:top w:val="single" w:sz="4" w:space="0" w:color="auto"/>
        </w:pBdr>
        <w:autoSpaceDE w:val="0"/>
        <w:autoSpaceDN w:val="0"/>
        <w:adjustRightInd w:val="0"/>
        <w:spacing w:before="120" w:after="120" w:line="240" w:lineRule="auto"/>
        <w:jc w:val="left"/>
        <w:rPr>
          <w:rFonts w:eastAsiaTheme="minorEastAsia"/>
          <w:color w:val="000000"/>
          <w:sz w:val="2"/>
          <w:szCs w:val="2"/>
          <w:lang w:eastAsia="en-AU"/>
        </w:rPr>
      </w:pPr>
    </w:p>
    <w:p w:rsidR="00B11463" w:rsidRPr="00B11463" w:rsidRDefault="00B11463" w:rsidP="00B11463">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12" w:name="Elkera_Print_TOC1"/>
      <w:bookmarkStart w:id="13" w:name="Elkera_Print_BK1"/>
      <w:r w:rsidRPr="00B11463">
        <w:rPr>
          <w:rFonts w:eastAsiaTheme="minorEastAsia"/>
          <w:b/>
          <w:bCs/>
          <w:color w:val="000000"/>
          <w:sz w:val="26"/>
          <w:szCs w:val="26"/>
          <w:lang w:eastAsia="en-AU"/>
        </w:rPr>
        <w:t>1—Short title</w:t>
      </w:r>
      <w:bookmarkEnd w:id="12"/>
      <w:bookmarkEnd w:id="13"/>
    </w:p>
    <w:p w:rsidR="00B11463" w:rsidRPr="00B11463" w:rsidRDefault="00B11463" w:rsidP="00B11463">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B11463">
        <w:rPr>
          <w:rFonts w:eastAsiaTheme="minorEastAsia"/>
          <w:color w:val="000000"/>
          <w:sz w:val="23"/>
          <w:szCs w:val="23"/>
          <w:lang w:eastAsia="en-AU"/>
        </w:rPr>
        <w:t xml:space="preserve">These regulations may be cited as the </w:t>
      </w:r>
      <w:r w:rsidRPr="00B11463">
        <w:rPr>
          <w:rFonts w:eastAsiaTheme="minorEastAsia"/>
          <w:i/>
          <w:iCs/>
          <w:color w:val="000000"/>
          <w:sz w:val="23"/>
          <w:szCs w:val="23"/>
          <w:lang w:eastAsia="en-AU"/>
        </w:rPr>
        <w:t>Valuation of Land Regulations 2020</w:t>
      </w:r>
      <w:r w:rsidRPr="00B11463">
        <w:rPr>
          <w:rFonts w:eastAsiaTheme="minorEastAsia"/>
          <w:color w:val="000000"/>
          <w:sz w:val="23"/>
          <w:szCs w:val="23"/>
          <w:lang w:eastAsia="en-AU"/>
        </w:rPr>
        <w:t>.</w:t>
      </w:r>
    </w:p>
    <w:p w:rsidR="00B11463" w:rsidRPr="00B11463" w:rsidRDefault="00B11463" w:rsidP="00B11463">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14" w:name="Elkera_Print_TOC2"/>
      <w:bookmarkStart w:id="15" w:name="Elkera_Print_BK2"/>
      <w:r w:rsidRPr="00B11463">
        <w:rPr>
          <w:rFonts w:eastAsiaTheme="minorEastAsia"/>
          <w:b/>
          <w:bCs/>
          <w:color w:val="000000"/>
          <w:sz w:val="26"/>
          <w:szCs w:val="26"/>
          <w:lang w:eastAsia="en-AU"/>
        </w:rPr>
        <w:t>2—Commencement</w:t>
      </w:r>
      <w:bookmarkEnd w:id="14"/>
      <w:bookmarkEnd w:id="15"/>
    </w:p>
    <w:p w:rsidR="00B11463" w:rsidRPr="00B11463" w:rsidRDefault="00B11463" w:rsidP="00B11463">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B11463">
        <w:rPr>
          <w:rFonts w:eastAsiaTheme="minorEastAsia"/>
          <w:color w:val="000000"/>
          <w:sz w:val="23"/>
          <w:szCs w:val="23"/>
          <w:lang w:eastAsia="en-AU"/>
        </w:rPr>
        <w:t>These regulations come into operation on 24 August 2020.</w:t>
      </w:r>
    </w:p>
    <w:p w:rsidR="00B11463" w:rsidRPr="00B11463" w:rsidRDefault="00B11463" w:rsidP="00B11463">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16" w:name="Elkera_Print_TOC3"/>
      <w:bookmarkStart w:id="17" w:name="Elkera_Print_BK3"/>
      <w:r w:rsidRPr="00B11463">
        <w:rPr>
          <w:rFonts w:eastAsiaTheme="minorEastAsia"/>
          <w:b/>
          <w:bCs/>
          <w:color w:val="000000"/>
          <w:sz w:val="26"/>
          <w:szCs w:val="26"/>
          <w:lang w:eastAsia="en-AU"/>
        </w:rPr>
        <w:t>3—Interpretation</w:t>
      </w:r>
      <w:bookmarkEnd w:id="16"/>
      <w:bookmarkEnd w:id="17"/>
    </w:p>
    <w:p w:rsidR="00B11463" w:rsidRPr="00B11463" w:rsidRDefault="00B11463" w:rsidP="00B11463">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B11463">
        <w:rPr>
          <w:rFonts w:eastAsiaTheme="minorEastAsia"/>
          <w:color w:val="000000"/>
          <w:sz w:val="23"/>
          <w:szCs w:val="23"/>
          <w:lang w:eastAsia="en-AU"/>
        </w:rPr>
        <w:t>In these regulations, unless the contrary intention appears—</w:t>
      </w:r>
    </w:p>
    <w:p w:rsidR="00B11463" w:rsidRPr="00B11463" w:rsidRDefault="00B11463" w:rsidP="00B11463">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B11463">
        <w:rPr>
          <w:rFonts w:eastAsiaTheme="minorEastAsia"/>
          <w:b/>
          <w:bCs/>
          <w:i/>
          <w:iCs/>
          <w:color w:val="000000"/>
          <w:sz w:val="23"/>
          <w:szCs w:val="23"/>
          <w:lang w:eastAsia="en-AU"/>
        </w:rPr>
        <w:t>Act</w:t>
      </w:r>
      <w:r w:rsidRPr="00B11463">
        <w:rPr>
          <w:rFonts w:eastAsiaTheme="minorEastAsia"/>
          <w:color w:val="000000"/>
          <w:sz w:val="23"/>
          <w:szCs w:val="23"/>
          <w:lang w:eastAsia="en-AU"/>
        </w:rPr>
        <w:t xml:space="preserve"> means the </w:t>
      </w:r>
      <w:hyperlink r:id="rId18" w:history="1">
        <w:r w:rsidRPr="00B11463">
          <w:rPr>
            <w:rFonts w:eastAsiaTheme="minorEastAsia"/>
            <w:i/>
            <w:iCs/>
            <w:color w:val="000000"/>
            <w:sz w:val="23"/>
            <w:szCs w:val="23"/>
            <w:lang w:eastAsia="en-AU"/>
          </w:rPr>
          <w:t>Valuation of Land Act 1971</w:t>
        </w:r>
      </w:hyperlink>
      <w:r w:rsidRPr="00B11463">
        <w:rPr>
          <w:rFonts w:eastAsiaTheme="minorEastAsia"/>
          <w:color w:val="000000"/>
          <w:sz w:val="23"/>
          <w:szCs w:val="23"/>
          <w:lang w:eastAsia="en-AU"/>
        </w:rPr>
        <w:t>;</w:t>
      </w:r>
    </w:p>
    <w:p w:rsidR="00B11463" w:rsidRPr="00B11463" w:rsidRDefault="00B11463" w:rsidP="00B11463">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B11463">
        <w:rPr>
          <w:rFonts w:eastAsiaTheme="minorEastAsia"/>
          <w:b/>
          <w:bCs/>
          <w:i/>
          <w:iCs/>
          <w:color w:val="000000"/>
          <w:sz w:val="23"/>
          <w:szCs w:val="23"/>
          <w:lang w:eastAsia="en-AU"/>
        </w:rPr>
        <w:t>premises</w:t>
      </w:r>
      <w:r w:rsidRPr="00B11463">
        <w:rPr>
          <w:rFonts w:eastAsiaTheme="minorEastAsia"/>
          <w:color w:val="000000"/>
          <w:sz w:val="23"/>
          <w:szCs w:val="23"/>
          <w:lang w:eastAsia="en-AU"/>
        </w:rPr>
        <w:t xml:space="preserve"> includes a part of premises.</w:t>
      </w:r>
    </w:p>
    <w:p w:rsidR="0073429D" w:rsidRDefault="0073429D">
      <w:pPr>
        <w:spacing w:after="0" w:line="240" w:lineRule="auto"/>
        <w:jc w:val="left"/>
        <w:rPr>
          <w:rFonts w:eastAsiaTheme="minorEastAsia"/>
          <w:b/>
          <w:bCs/>
          <w:color w:val="000000"/>
          <w:sz w:val="26"/>
          <w:szCs w:val="26"/>
          <w:lang w:eastAsia="en-AU"/>
        </w:rPr>
      </w:pPr>
      <w:bookmarkStart w:id="18" w:name="Elkera_Print_TOC4"/>
      <w:bookmarkStart w:id="19" w:name="Elkera_Print_BK4"/>
      <w:r>
        <w:rPr>
          <w:rFonts w:eastAsiaTheme="minorEastAsia"/>
          <w:b/>
          <w:bCs/>
          <w:color w:val="000000"/>
          <w:sz w:val="26"/>
          <w:szCs w:val="26"/>
          <w:lang w:eastAsia="en-AU"/>
        </w:rPr>
        <w:br w:type="page"/>
      </w:r>
    </w:p>
    <w:p w:rsidR="0073429D" w:rsidRPr="0073429D" w:rsidRDefault="0073429D" w:rsidP="0073429D">
      <w:pPr>
        <w:keepNext/>
        <w:keepLines/>
        <w:autoSpaceDE w:val="0"/>
        <w:autoSpaceDN w:val="0"/>
        <w:adjustRightInd w:val="0"/>
        <w:spacing w:after="0" w:line="20" w:lineRule="exact"/>
        <w:ind w:left="567" w:hanging="567"/>
        <w:jc w:val="left"/>
        <w:rPr>
          <w:rFonts w:eastAsiaTheme="minorEastAsia"/>
          <w:b/>
          <w:bCs/>
          <w:color w:val="000000"/>
          <w:szCs w:val="17"/>
          <w:lang w:eastAsia="en-AU"/>
        </w:rPr>
      </w:pPr>
    </w:p>
    <w:p w:rsidR="00B11463" w:rsidRPr="00B11463" w:rsidRDefault="00B11463" w:rsidP="00B11463">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B11463">
        <w:rPr>
          <w:rFonts w:eastAsiaTheme="minorEastAsia"/>
          <w:b/>
          <w:bCs/>
          <w:color w:val="000000"/>
          <w:sz w:val="26"/>
          <w:szCs w:val="26"/>
          <w:lang w:eastAsia="en-AU"/>
        </w:rPr>
        <w:t>4—Definition of annual value</w:t>
      </w:r>
      <w:bookmarkEnd w:id="18"/>
      <w:bookmarkEnd w:id="19"/>
    </w:p>
    <w:p w:rsidR="00B11463" w:rsidRPr="00B11463" w:rsidRDefault="00B11463" w:rsidP="00B11463">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B11463">
        <w:rPr>
          <w:rFonts w:eastAsiaTheme="minorEastAsia"/>
          <w:color w:val="000000"/>
          <w:sz w:val="23"/>
          <w:szCs w:val="23"/>
          <w:lang w:eastAsia="en-AU"/>
        </w:rPr>
        <w:t xml:space="preserve">For the purposes of paragraph (c) of the definition of </w:t>
      </w:r>
      <w:r w:rsidRPr="00B11463">
        <w:rPr>
          <w:rFonts w:eastAsiaTheme="minorEastAsia"/>
          <w:b/>
          <w:bCs/>
          <w:i/>
          <w:iCs/>
          <w:color w:val="000000"/>
          <w:sz w:val="23"/>
          <w:szCs w:val="23"/>
          <w:lang w:eastAsia="en-AU"/>
        </w:rPr>
        <w:t>annual value</w:t>
      </w:r>
      <w:r w:rsidRPr="00B11463">
        <w:rPr>
          <w:rFonts w:eastAsiaTheme="minorEastAsia"/>
          <w:color w:val="000000"/>
          <w:sz w:val="23"/>
          <w:szCs w:val="23"/>
          <w:lang w:eastAsia="en-AU"/>
        </w:rPr>
        <w:t xml:space="preserve"> in section 5(1) of the Act, the following machinery, plant and equipment are prescribed:</w:t>
      </w:r>
    </w:p>
    <w:p w:rsidR="00B11463" w:rsidRPr="00B11463" w:rsidRDefault="00B11463" w:rsidP="00B11463">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B11463">
        <w:rPr>
          <w:rFonts w:eastAsiaTheme="minorEastAsia"/>
          <w:color w:val="000000"/>
          <w:sz w:val="23"/>
          <w:szCs w:val="23"/>
          <w:lang w:eastAsia="en-AU"/>
        </w:rPr>
        <w:tab/>
        <w:t>(a)</w:t>
      </w:r>
      <w:r w:rsidRPr="00B11463">
        <w:rPr>
          <w:rFonts w:eastAsiaTheme="minorEastAsia"/>
          <w:color w:val="000000"/>
          <w:sz w:val="23"/>
          <w:szCs w:val="23"/>
          <w:lang w:eastAsia="en-AU"/>
        </w:rPr>
        <w:tab/>
        <w:t>all machinery, plant and equipment used exclusively or mainly for the heating, cooling or ventilating of premises or for protecting premises from fire;</w:t>
      </w:r>
    </w:p>
    <w:p w:rsidR="00B11463" w:rsidRPr="00B11463" w:rsidRDefault="00B11463" w:rsidP="00B11463">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B11463">
        <w:rPr>
          <w:rFonts w:eastAsiaTheme="minorEastAsia"/>
          <w:color w:val="000000"/>
          <w:sz w:val="23"/>
          <w:szCs w:val="23"/>
          <w:lang w:eastAsia="en-AU"/>
        </w:rPr>
        <w:tab/>
        <w:t>(b)</w:t>
      </w:r>
      <w:r w:rsidRPr="00B11463">
        <w:rPr>
          <w:rFonts w:eastAsiaTheme="minorEastAsia"/>
          <w:color w:val="000000"/>
          <w:sz w:val="23"/>
          <w:szCs w:val="23"/>
          <w:lang w:eastAsia="en-AU"/>
        </w:rPr>
        <w:tab/>
        <w:t>all elevators, lifts and escalators that are mainly or usually used in premises for the carrying of passengers and are fixed to the premises in such a manner as to be incapable of being removed without structural damage (other than minor or trivial structural damage) to the premises.</w:t>
      </w:r>
    </w:p>
    <w:p w:rsidR="00B11463" w:rsidRPr="00B11463" w:rsidRDefault="00B11463" w:rsidP="00B11463">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20" w:name="Elkera_Print_TOC5"/>
      <w:bookmarkStart w:id="21" w:name="Elkera_Print_BK5"/>
      <w:r w:rsidRPr="00B11463">
        <w:rPr>
          <w:rFonts w:eastAsiaTheme="minorEastAsia"/>
          <w:b/>
          <w:bCs/>
          <w:color w:val="000000"/>
          <w:sz w:val="26"/>
          <w:szCs w:val="26"/>
          <w:lang w:eastAsia="en-AU"/>
        </w:rPr>
        <w:t>5—Certain notices not to constitute notice of valuation unless objection period specified</w:t>
      </w:r>
      <w:bookmarkEnd w:id="20"/>
      <w:bookmarkEnd w:id="21"/>
    </w:p>
    <w:p w:rsidR="00B11463" w:rsidRPr="00B11463" w:rsidRDefault="00B11463" w:rsidP="00B11463">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B11463">
        <w:rPr>
          <w:rFonts w:eastAsiaTheme="minorEastAsia"/>
          <w:color w:val="000000"/>
          <w:sz w:val="23"/>
          <w:szCs w:val="23"/>
          <w:lang w:eastAsia="en-AU"/>
        </w:rPr>
        <w:t>Pursuant to section 23(2) of the Act, an account, assessment or notice for rates, land tax or some other impost that contains particulars of a valuation does not constitute notice of the valuation for the purposes of section 23(1) unless the document contains the following statement:</w:t>
      </w:r>
    </w:p>
    <w:p w:rsidR="00B11463" w:rsidRPr="00B11463" w:rsidRDefault="00B11463" w:rsidP="00B11463">
      <w:pPr>
        <w:keepLines/>
        <w:autoSpaceDE w:val="0"/>
        <w:autoSpaceDN w:val="0"/>
        <w:adjustRightInd w:val="0"/>
        <w:spacing w:before="120" w:after="0" w:line="240" w:lineRule="auto"/>
        <w:ind w:left="1361"/>
        <w:jc w:val="left"/>
        <w:rPr>
          <w:rFonts w:eastAsiaTheme="minorEastAsia"/>
          <w:color w:val="000000"/>
          <w:sz w:val="23"/>
          <w:szCs w:val="23"/>
          <w:lang w:eastAsia="en-AU"/>
        </w:rPr>
      </w:pPr>
      <w:r w:rsidRPr="00B11463">
        <w:rPr>
          <w:rFonts w:eastAsiaTheme="minorEastAsia"/>
          <w:color w:val="000000"/>
          <w:sz w:val="23"/>
          <w:szCs w:val="23"/>
          <w:lang w:eastAsia="en-AU"/>
        </w:rPr>
        <w:t>You may object to the valuation referred to in this notice by writing served personally or by post on the Valuer</w:t>
      </w:r>
      <w:r w:rsidRPr="00B11463">
        <w:rPr>
          <w:rFonts w:eastAsiaTheme="minorEastAsia"/>
          <w:color w:val="000000"/>
          <w:sz w:val="23"/>
          <w:szCs w:val="23"/>
          <w:lang w:eastAsia="en-AU"/>
        </w:rPr>
        <w:noBreakHyphen/>
        <w:t>General within 60 days after the date of service of this notice.</w:t>
      </w:r>
    </w:p>
    <w:p w:rsidR="00B11463" w:rsidRPr="00B11463" w:rsidRDefault="00B11463" w:rsidP="00B11463">
      <w:pPr>
        <w:keepNext/>
        <w:keepLines/>
        <w:autoSpaceDE w:val="0"/>
        <w:autoSpaceDN w:val="0"/>
        <w:adjustRightInd w:val="0"/>
        <w:spacing w:before="120" w:after="0" w:line="240" w:lineRule="auto"/>
        <w:ind w:left="1361"/>
        <w:jc w:val="left"/>
        <w:rPr>
          <w:rFonts w:eastAsiaTheme="minorEastAsia"/>
          <w:color w:val="000000"/>
          <w:sz w:val="23"/>
          <w:szCs w:val="23"/>
          <w:lang w:eastAsia="en-AU"/>
        </w:rPr>
      </w:pPr>
      <w:r w:rsidRPr="00B11463">
        <w:rPr>
          <w:rFonts w:eastAsiaTheme="minorEastAsia"/>
          <w:b/>
          <w:bCs/>
          <w:color w:val="000000"/>
          <w:sz w:val="23"/>
          <w:szCs w:val="23"/>
          <w:lang w:eastAsia="en-AU"/>
        </w:rPr>
        <w:t>BUT NOTE:</w:t>
      </w:r>
    </w:p>
    <w:p w:rsidR="00B11463" w:rsidRPr="00B11463" w:rsidRDefault="00B11463" w:rsidP="00B11463">
      <w:pPr>
        <w:keepLines/>
        <w:tabs>
          <w:tab w:val="center" w:pos="1758"/>
          <w:tab w:val="left" w:pos="2155"/>
        </w:tabs>
        <w:autoSpaceDE w:val="0"/>
        <w:autoSpaceDN w:val="0"/>
        <w:adjustRightInd w:val="0"/>
        <w:spacing w:before="120" w:after="0" w:line="240" w:lineRule="auto"/>
        <w:ind w:left="2155" w:hanging="794"/>
        <w:jc w:val="left"/>
        <w:rPr>
          <w:rFonts w:eastAsiaTheme="minorEastAsia"/>
          <w:color w:val="000000"/>
          <w:sz w:val="23"/>
          <w:szCs w:val="23"/>
          <w:lang w:eastAsia="en-AU"/>
        </w:rPr>
      </w:pPr>
      <w:r w:rsidRPr="00B11463">
        <w:rPr>
          <w:rFonts w:eastAsiaTheme="minorEastAsia"/>
          <w:color w:val="000000"/>
          <w:sz w:val="23"/>
          <w:szCs w:val="23"/>
          <w:lang w:eastAsia="en-AU"/>
        </w:rPr>
        <w:tab/>
        <w:t>(a)</w:t>
      </w:r>
      <w:r w:rsidRPr="00B11463">
        <w:rPr>
          <w:rFonts w:eastAsiaTheme="minorEastAsia"/>
          <w:color w:val="000000"/>
          <w:sz w:val="23"/>
          <w:szCs w:val="23"/>
          <w:lang w:eastAsia="en-AU"/>
        </w:rPr>
        <w:tab/>
        <w:t>if you have previously received a notice or notices under the [</w:t>
      </w:r>
      <w:r w:rsidRPr="00B11463">
        <w:rPr>
          <w:rFonts w:eastAsiaTheme="minorEastAsia"/>
          <w:i/>
          <w:iCs/>
          <w:color w:val="000000"/>
          <w:sz w:val="23"/>
          <w:szCs w:val="23"/>
          <w:lang w:eastAsia="en-AU"/>
        </w:rPr>
        <w:t>here state the Act or Acts under which this account, assessment or notice is served</w:t>
      </w:r>
      <w:r w:rsidRPr="00B11463">
        <w:rPr>
          <w:rFonts w:eastAsiaTheme="minorEastAsia"/>
          <w:color w:val="000000"/>
          <w:sz w:val="23"/>
          <w:szCs w:val="23"/>
          <w:lang w:eastAsia="en-AU"/>
        </w:rPr>
        <w:t>] referring to the valuation and informing you of a 60</w:t>
      </w:r>
      <w:r w:rsidRPr="00B11463">
        <w:rPr>
          <w:rFonts w:eastAsiaTheme="minorEastAsia"/>
          <w:color w:val="000000"/>
          <w:sz w:val="23"/>
          <w:szCs w:val="23"/>
          <w:lang w:eastAsia="en-AU"/>
        </w:rPr>
        <w:noBreakHyphen/>
        <w:t xml:space="preserve">day objection period, the objection period is 60 days </w:t>
      </w:r>
      <w:r w:rsidRPr="00B11463">
        <w:rPr>
          <w:rFonts w:eastAsiaTheme="minorEastAsia"/>
          <w:color w:val="000000"/>
          <w:sz w:val="23"/>
          <w:szCs w:val="23"/>
          <w:u w:val="single"/>
          <w:lang w:eastAsia="en-AU"/>
        </w:rPr>
        <w:t>after service of the first such notice</w:t>
      </w:r>
      <w:r w:rsidRPr="00B11463">
        <w:rPr>
          <w:rFonts w:eastAsiaTheme="minorEastAsia"/>
          <w:color w:val="000000"/>
          <w:sz w:val="23"/>
          <w:szCs w:val="23"/>
          <w:lang w:eastAsia="en-AU"/>
        </w:rPr>
        <w:t>;</w:t>
      </w:r>
    </w:p>
    <w:p w:rsidR="00B11463" w:rsidRPr="00B11463" w:rsidRDefault="00B11463" w:rsidP="00B11463">
      <w:pPr>
        <w:keepLines/>
        <w:tabs>
          <w:tab w:val="center" w:pos="1758"/>
          <w:tab w:val="left" w:pos="2155"/>
        </w:tabs>
        <w:autoSpaceDE w:val="0"/>
        <w:autoSpaceDN w:val="0"/>
        <w:adjustRightInd w:val="0"/>
        <w:spacing w:before="120" w:after="0" w:line="240" w:lineRule="auto"/>
        <w:ind w:left="2155" w:hanging="794"/>
        <w:jc w:val="left"/>
        <w:rPr>
          <w:rFonts w:eastAsiaTheme="minorEastAsia"/>
          <w:color w:val="000000"/>
          <w:sz w:val="23"/>
          <w:szCs w:val="23"/>
          <w:lang w:eastAsia="en-AU"/>
        </w:rPr>
      </w:pPr>
      <w:r w:rsidRPr="00B11463">
        <w:rPr>
          <w:rFonts w:eastAsiaTheme="minorEastAsia"/>
          <w:color w:val="000000"/>
          <w:sz w:val="23"/>
          <w:szCs w:val="23"/>
          <w:lang w:eastAsia="en-AU"/>
        </w:rPr>
        <w:tab/>
        <w:t>(b)</w:t>
      </w:r>
      <w:r w:rsidRPr="00B11463">
        <w:rPr>
          <w:rFonts w:eastAsiaTheme="minorEastAsia"/>
          <w:color w:val="000000"/>
          <w:sz w:val="23"/>
          <w:szCs w:val="23"/>
          <w:lang w:eastAsia="en-AU"/>
        </w:rPr>
        <w:tab/>
        <w:t>you may not object to the valuation if the Valuer</w:t>
      </w:r>
      <w:r w:rsidRPr="00B11463">
        <w:rPr>
          <w:rFonts w:eastAsiaTheme="minorEastAsia"/>
          <w:color w:val="000000"/>
          <w:sz w:val="23"/>
          <w:szCs w:val="23"/>
          <w:lang w:eastAsia="en-AU"/>
        </w:rPr>
        <w:noBreakHyphen/>
        <w:t>General has already considered an objection by you to that valuation.</w:t>
      </w:r>
    </w:p>
    <w:p w:rsidR="00B11463" w:rsidRPr="00B11463" w:rsidRDefault="00B11463" w:rsidP="00B11463">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22" w:name="Elkera_Print_TOC6"/>
      <w:bookmarkStart w:id="23" w:name="Elkera_Print_BK6"/>
      <w:r w:rsidRPr="00B11463">
        <w:rPr>
          <w:rFonts w:eastAsiaTheme="minorEastAsia"/>
          <w:b/>
          <w:bCs/>
          <w:color w:val="000000"/>
          <w:sz w:val="26"/>
          <w:szCs w:val="26"/>
          <w:lang w:eastAsia="en-AU"/>
        </w:rPr>
        <w:t>6—Panels of land valuers—manner and form of nomination for appointment</w:t>
      </w:r>
      <w:bookmarkEnd w:id="22"/>
      <w:bookmarkEnd w:id="23"/>
    </w:p>
    <w:p w:rsidR="00B11463" w:rsidRPr="00B11463" w:rsidRDefault="00B11463" w:rsidP="00B11463">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bookmarkStart w:id="24" w:name="id4b34bc2f_6849_407d_968a_d737df811d84_2"/>
      <w:r w:rsidRPr="00B11463">
        <w:rPr>
          <w:rFonts w:eastAsiaTheme="minorEastAsia"/>
          <w:color w:val="000000"/>
          <w:sz w:val="23"/>
          <w:szCs w:val="23"/>
          <w:lang w:eastAsia="en-AU"/>
        </w:rPr>
        <w:tab/>
        <w:t>(1)</w:t>
      </w:r>
      <w:r w:rsidRPr="00B11463">
        <w:rPr>
          <w:rFonts w:eastAsiaTheme="minorEastAsia"/>
          <w:color w:val="000000"/>
          <w:sz w:val="23"/>
          <w:szCs w:val="23"/>
          <w:lang w:eastAsia="en-AU"/>
        </w:rPr>
        <w:tab/>
        <w:t>For the purposes of section 25A(4)(a) of the Act, a nomination for appointment to a panel of land valuers may not be made except on an application to the Real Estate Institute of South Australia Incorporated or the Australian Property Institute Incorporated by the land valuer seeking appointment.</w:t>
      </w:r>
      <w:bookmarkEnd w:id="24"/>
    </w:p>
    <w:p w:rsidR="00B11463" w:rsidRPr="00B11463" w:rsidRDefault="00B11463" w:rsidP="00B11463">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B11463">
        <w:rPr>
          <w:rFonts w:eastAsiaTheme="minorEastAsia"/>
          <w:color w:val="000000"/>
          <w:sz w:val="23"/>
          <w:szCs w:val="23"/>
          <w:lang w:eastAsia="en-AU"/>
        </w:rPr>
        <w:tab/>
        <w:t>(2)</w:t>
      </w:r>
      <w:r w:rsidRPr="00B11463">
        <w:rPr>
          <w:rFonts w:eastAsiaTheme="minorEastAsia"/>
          <w:color w:val="000000"/>
          <w:sz w:val="23"/>
          <w:szCs w:val="23"/>
          <w:lang w:eastAsia="en-AU"/>
        </w:rPr>
        <w:tab/>
        <w:t xml:space="preserve">An application under </w:t>
      </w:r>
      <w:hyperlink w:anchor="id4b34bc2f_6849_407d_968a_d737df811d84_2" w:history="1">
        <w:r w:rsidRPr="00B11463">
          <w:rPr>
            <w:rFonts w:eastAsiaTheme="minorEastAsia"/>
            <w:color w:val="000000"/>
            <w:sz w:val="23"/>
            <w:szCs w:val="23"/>
            <w:lang w:eastAsia="en-AU"/>
          </w:rPr>
          <w:t>subregulation (1)</w:t>
        </w:r>
      </w:hyperlink>
      <w:r w:rsidRPr="00B11463">
        <w:rPr>
          <w:rFonts w:eastAsiaTheme="minorEastAsia"/>
          <w:color w:val="000000"/>
          <w:sz w:val="23"/>
          <w:szCs w:val="23"/>
          <w:lang w:eastAsia="en-AU"/>
        </w:rPr>
        <w:t xml:space="preserve"> must be in writing and must set out—</w:t>
      </w:r>
    </w:p>
    <w:p w:rsidR="00B11463" w:rsidRPr="00B11463" w:rsidRDefault="00B11463" w:rsidP="00B11463">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B11463">
        <w:rPr>
          <w:rFonts w:eastAsiaTheme="minorEastAsia"/>
          <w:color w:val="000000"/>
          <w:sz w:val="23"/>
          <w:szCs w:val="23"/>
          <w:lang w:eastAsia="en-AU"/>
        </w:rPr>
        <w:tab/>
        <w:t>(a)</w:t>
      </w:r>
      <w:r w:rsidRPr="00B11463">
        <w:rPr>
          <w:rFonts w:eastAsiaTheme="minorEastAsia"/>
          <w:color w:val="000000"/>
          <w:sz w:val="23"/>
          <w:szCs w:val="23"/>
          <w:lang w:eastAsia="en-AU"/>
        </w:rPr>
        <w:tab/>
        <w:t>the applicant's full name and business address; and</w:t>
      </w:r>
    </w:p>
    <w:p w:rsidR="00B11463" w:rsidRPr="00B11463" w:rsidRDefault="00B11463" w:rsidP="00B11463">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B11463">
        <w:rPr>
          <w:rFonts w:eastAsiaTheme="minorEastAsia"/>
          <w:color w:val="000000"/>
          <w:sz w:val="23"/>
          <w:szCs w:val="23"/>
          <w:lang w:eastAsia="en-AU"/>
        </w:rPr>
        <w:tab/>
        <w:t>(b)</w:t>
      </w:r>
      <w:r w:rsidRPr="00B11463">
        <w:rPr>
          <w:rFonts w:eastAsiaTheme="minorEastAsia"/>
          <w:color w:val="000000"/>
          <w:sz w:val="23"/>
          <w:szCs w:val="23"/>
          <w:lang w:eastAsia="en-AU"/>
        </w:rPr>
        <w:tab/>
        <w:t>the applicant's qualifications and the applicant's experience generally; and</w:t>
      </w:r>
    </w:p>
    <w:p w:rsidR="00B11463" w:rsidRPr="00B11463" w:rsidRDefault="00B11463" w:rsidP="00B11463">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B11463">
        <w:rPr>
          <w:rFonts w:eastAsiaTheme="minorEastAsia"/>
          <w:color w:val="000000"/>
          <w:sz w:val="23"/>
          <w:szCs w:val="23"/>
          <w:lang w:eastAsia="en-AU"/>
        </w:rPr>
        <w:tab/>
        <w:t>(c)</w:t>
      </w:r>
      <w:r w:rsidRPr="00B11463">
        <w:rPr>
          <w:rFonts w:eastAsiaTheme="minorEastAsia"/>
          <w:color w:val="000000"/>
          <w:sz w:val="23"/>
          <w:szCs w:val="23"/>
          <w:lang w:eastAsia="en-AU"/>
        </w:rPr>
        <w:tab/>
        <w:t>the applicant's experience in valuing land in the region in relation to which the panel to which the applicant is seeking appointment is established.</w:t>
      </w:r>
    </w:p>
    <w:p w:rsidR="00B11463" w:rsidRPr="00B11463" w:rsidRDefault="00B11463" w:rsidP="00B11463">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B11463">
        <w:rPr>
          <w:rFonts w:eastAsiaTheme="minorEastAsia"/>
          <w:color w:val="000000"/>
          <w:sz w:val="23"/>
          <w:szCs w:val="23"/>
          <w:lang w:eastAsia="en-AU"/>
        </w:rPr>
        <w:tab/>
        <w:t>(3)</w:t>
      </w:r>
      <w:r w:rsidRPr="00B11463">
        <w:rPr>
          <w:rFonts w:eastAsiaTheme="minorEastAsia"/>
          <w:color w:val="000000"/>
          <w:sz w:val="23"/>
          <w:szCs w:val="23"/>
          <w:lang w:eastAsia="en-AU"/>
        </w:rPr>
        <w:tab/>
        <w:t xml:space="preserve">A body to which an application for nomination under this regulation is made must, if satisfied that there is no reason why the applicant should not be nominated, nominate the applicant for appointment to the panel by completing the form set out in Form 1 of </w:t>
      </w:r>
      <w:hyperlink w:anchor="id3f657ae3_e98b_4bb4_9870_9594f3bfa9" w:history="1">
        <w:r w:rsidRPr="00B11463">
          <w:rPr>
            <w:rFonts w:eastAsiaTheme="minorEastAsia"/>
            <w:color w:val="000000"/>
            <w:sz w:val="23"/>
            <w:szCs w:val="23"/>
            <w:lang w:eastAsia="en-AU"/>
          </w:rPr>
          <w:t>Schedule 1</w:t>
        </w:r>
      </w:hyperlink>
      <w:r w:rsidRPr="00B11463">
        <w:rPr>
          <w:rFonts w:eastAsiaTheme="minorEastAsia"/>
          <w:color w:val="000000"/>
          <w:sz w:val="23"/>
          <w:szCs w:val="23"/>
          <w:lang w:eastAsia="en-AU"/>
        </w:rPr>
        <w:t xml:space="preserve"> and sending it to the Minister.</w:t>
      </w:r>
    </w:p>
    <w:p w:rsidR="00E47DE6" w:rsidRDefault="00E47DE6">
      <w:pPr>
        <w:spacing w:after="0" w:line="240" w:lineRule="auto"/>
        <w:jc w:val="left"/>
        <w:rPr>
          <w:rFonts w:eastAsiaTheme="minorEastAsia"/>
          <w:b/>
          <w:bCs/>
          <w:color w:val="000000"/>
          <w:sz w:val="26"/>
          <w:szCs w:val="26"/>
          <w:lang w:eastAsia="en-AU"/>
        </w:rPr>
      </w:pPr>
      <w:bookmarkStart w:id="25" w:name="Elkera_Print_TOC7"/>
      <w:bookmarkStart w:id="26" w:name="Elkera_Print_BK7"/>
      <w:r>
        <w:rPr>
          <w:rFonts w:eastAsiaTheme="minorEastAsia"/>
          <w:b/>
          <w:bCs/>
          <w:color w:val="000000"/>
          <w:sz w:val="26"/>
          <w:szCs w:val="26"/>
          <w:lang w:eastAsia="en-AU"/>
        </w:rPr>
        <w:br w:type="page"/>
      </w:r>
    </w:p>
    <w:p w:rsidR="00B11463" w:rsidRPr="00B11463" w:rsidRDefault="00B11463" w:rsidP="00B11463">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r w:rsidRPr="00B11463">
        <w:rPr>
          <w:rFonts w:eastAsiaTheme="minorEastAsia"/>
          <w:b/>
          <w:bCs/>
          <w:color w:val="000000"/>
          <w:sz w:val="26"/>
          <w:szCs w:val="26"/>
          <w:lang w:eastAsia="en-AU"/>
        </w:rPr>
        <w:lastRenderedPageBreak/>
        <w:t>7—Review of valuation—manner and form of application</w:t>
      </w:r>
      <w:bookmarkEnd w:id="25"/>
      <w:bookmarkEnd w:id="26"/>
    </w:p>
    <w:p w:rsidR="00B11463" w:rsidRPr="00B11463" w:rsidRDefault="00B11463" w:rsidP="00B11463">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B11463">
        <w:rPr>
          <w:rFonts w:eastAsiaTheme="minorEastAsia"/>
          <w:color w:val="000000"/>
          <w:sz w:val="23"/>
          <w:szCs w:val="23"/>
          <w:lang w:eastAsia="en-AU"/>
        </w:rPr>
        <w:t xml:space="preserve">For the purposes of section 25B(2)(a) of the Act, an application for review of a valuation must be in the form set out in Form 2 of </w:t>
      </w:r>
      <w:hyperlink w:anchor="id3f657ae3_e98b_4bb4_9870_9594f3bfa9" w:history="1">
        <w:r w:rsidRPr="00B11463">
          <w:rPr>
            <w:rFonts w:eastAsiaTheme="minorEastAsia"/>
            <w:color w:val="000000"/>
            <w:sz w:val="23"/>
            <w:szCs w:val="23"/>
            <w:lang w:eastAsia="en-AU"/>
          </w:rPr>
          <w:t>Schedule 1</w:t>
        </w:r>
      </w:hyperlink>
      <w:r w:rsidRPr="00B11463">
        <w:rPr>
          <w:rFonts w:eastAsiaTheme="minorEastAsia"/>
          <w:color w:val="000000"/>
          <w:sz w:val="23"/>
          <w:szCs w:val="23"/>
          <w:lang w:eastAsia="en-AU"/>
        </w:rPr>
        <w:t>.</w:t>
      </w:r>
    </w:p>
    <w:p w:rsidR="00B11463" w:rsidRPr="00B11463" w:rsidRDefault="00B11463" w:rsidP="00B11463">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27" w:name="Elkera_Print_TOC8"/>
      <w:bookmarkStart w:id="28" w:name="Elkera_Print_BK8"/>
      <w:r w:rsidRPr="00B11463">
        <w:rPr>
          <w:rFonts w:eastAsiaTheme="minorEastAsia"/>
          <w:b/>
          <w:bCs/>
          <w:color w:val="000000"/>
          <w:sz w:val="26"/>
          <w:szCs w:val="26"/>
          <w:lang w:eastAsia="en-AU"/>
        </w:rPr>
        <w:t>8—Review of valuation—selection of valuer to conduct review</w:t>
      </w:r>
      <w:bookmarkEnd w:id="27"/>
      <w:bookmarkEnd w:id="28"/>
    </w:p>
    <w:p w:rsidR="00B11463" w:rsidRPr="00B11463" w:rsidRDefault="00B11463" w:rsidP="00B11463">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bookmarkStart w:id="29" w:name="id28c0ad3d_9cfe_4369_bb9a_5d7d99b3a3c3_2"/>
      <w:r w:rsidRPr="00B11463">
        <w:rPr>
          <w:rFonts w:eastAsiaTheme="minorEastAsia"/>
          <w:color w:val="000000"/>
          <w:sz w:val="23"/>
          <w:szCs w:val="23"/>
          <w:lang w:eastAsia="en-AU"/>
        </w:rPr>
        <w:tab/>
        <w:t>(1)</w:t>
      </w:r>
      <w:r w:rsidRPr="00B11463">
        <w:rPr>
          <w:rFonts w:eastAsiaTheme="minorEastAsia"/>
          <w:color w:val="000000"/>
          <w:sz w:val="23"/>
          <w:szCs w:val="23"/>
          <w:lang w:eastAsia="en-AU"/>
        </w:rPr>
        <w:tab/>
        <w:t>Pursuant to section 25B(4) of the Act, where due application for review of a valuation is made under section 25B of the Act, the valuer to conduct the review will be selected by the owner of the land the valuation of which is subject to the review.</w:t>
      </w:r>
      <w:bookmarkEnd w:id="29"/>
    </w:p>
    <w:p w:rsidR="00B11463" w:rsidRPr="00B11463" w:rsidRDefault="00B11463" w:rsidP="00B11463">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B11463">
        <w:rPr>
          <w:rFonts w:eastAsiaTheme="minorEastAsia"/>
          <w:color w:val="000000"/>
          <w:sz w:val="23"/>
          <w:szCs w:val="23"/>
          <w:lang w:eastAsia="en-AU"/>
        </w:rPr>
        <w:tab/>
        <w:t>(2)</w:t>
      </w:r>
      <w:r w:rsidRPr="00B11463">
        <w:rPr>
          <w:rFonts w:eastAsiaTheme="minorEastAsia"/>
          <w:color w:val="000000"/>
          <w:sz w:val="23"/>
          <w:szCs w:val="23"/>
          <w:lang w:eastAsia="en-AU"/>
        </w:rPr>
        <w:tab/>
        <w:t>The Valuer</w:t>
      </w:r>
      <w:r w:rsidRPr="00B11463">
        <w:rPr>
          <w:rFonts w:eastAsiaTheme="minorEastAsia"/>
          <w:color w:val="000000"/>
          <w:sz w:val="23"/>
          <w:szCs w:val="23"/>
          <w:lang w:eastAsia="en-AU"/>
        </w:rPr>
        <w:noBreakHyphen/>
        <w:t xml:space="preserve">General must, for the purposes of </w:t>
      </w:r>
      <w:hyperlink w:anchor="id28c0ad3d_9cfe_4369_bb9a_5d7d99b3a3c3_2" w:history="1">
        <w:r w:rsidRPr="00B11463">
          <w:rPr>
            <w:rFonts w:eastAsiaTheme="minorEastAsia"/>
            <w:color w:val="000000"/>
            <w:sz w:val="23"/>
            <w:szCs w:val="23"/>
            <w:lang w:eastAsia="en-AU"/>
          </w:rPr>
          <w:t>subregulation (1)</w:t>
        </w:r>
      </w:hyperlink>
      <w:r w:rsidRPr="00B11463">
        <w:rPr>
          <w:rFonts w:eastAsiaTheme="minorEastAsia"/>
          <w:color w:val="000000"/>
          <w:sz w:val="23"/>
          <w:szCs w:val="23"/>
          <w:lang w:eastAsia="en-AU"/>
        </w:rPr>
        <w:t>, supply the owner with a list of the land valuers appointed to the appropriate panel.</w:t>
      </w:r>
    </w:p>
    <w:p w:rsidR="00B11463" w:rsidRPr="00B11463" w:rsidRDefault="00B11463" w:rsidP="00B11463">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B11463">
        <w:rPr>
          <w:rFonts w:eastAsiaTheme="minorEastAsia"/>
          <w:color w:val="000000"/>
          <w:sz w:val="23"/>
          <w:szCs w:val="23"/>
          <w:lang w:eastAsia="en-AU"/>
        </w:rPr>
        <w:tab/>
        <w:t>(3)</w:t>
      </w:r>
      <w:r w:rsidRPr="00B11463">
        <w:rPr>
          <w:rFonts w:eastAsiaTheme="minorEastAsia"/>
          <w:color w:val="000000"/>
          <w:sz w:val="23"/>
          <w:szCs w:val="23"/>
          <w:lang w:eastAsia="en-AU"/>
        </w:rPr>
        <w:tab/>
        <w:t>The owner must advise the Valuer</w:t>
      </w:r>
      <w:r w:rsidRPr="00B11463">
        <w:rPr>
          <w:rFonts w:eastAsiaTheme="minorEastAsia"/>
          <w:color w:val="000000"/>
          <w:sz w:val="23"/>
          <w:szCs w:val="23"/>
          <w:lang w:eastAsia="en-AU"/>
        </w:rPr>
        <w:noBreakHyphen/>
        <w:t>General by notice in writing of the valuer selected by the owner for the purposes of the review.</w:t>
      </w:r>
    </w:p>
    <w:p w:rsidR="00B11463" w:rsidRPr="00B11463" w:rsidRDefault="00B11463" w:rsidP="00B11463">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30" w:name="Elkera_Print_TOC9"/>
      <w:bookmarkStart w:id="31" w:name="Elkera_Print_BK9"/>
      <w:r w:rsidRPr="00B11463">
        <w:rPr>
          <w:rFonts w:eastAsiaTheme="minorEastAsia"/>
          <w:b/>
          <w:bCs/>
          <w:color w:val="000000"/>
          <w:sz w:val="26"/>
          <w:szCs w:val="26"/>
          <w:lang w:eastAsia="en-AU"/>
        </w:rPr>
        <w:t>9—Notice of sale or transfer of title to land—particulars and form</w:t>
      </w:r>
      <w:bookmarkEnd w:id="30"/>
      <w:bookmarkEnd w:id="31"/>
    </w:p>
    <w:p w:rsidR="00B11463" w:rsidRPr="00B11463" w:rsidRDefault="00B11463" w:rsidP="00B11463">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B11463">
        <w:rPr>
          <w:rFonts w:eastAsiaTheme="minorEastAsia"/>
          <w:color w:val="000000"/>
          <w:sz w:val="23"/>
          <w:szCs w:val="23"/>
          <w:lang w:eastAsia="en-AU"/>
        </w:rPr>
        <w:t>For the purposes of section 29(1) of the Act—</w:t>
      </w:r>
    </w:p>
    <w:p w:rsidR="00B11463" w:rsidRPr="00B11463" w:rsidRDefault="00B11463" w:rsidP="00B11463">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B11463">
        <w:rPr>
          <w:rFonts w:eastAsiaTheme="minorEastAsia"/>
          <w:color w:val="000000"/>
          <w:sz w:val="23"/>
          <w:szCs w:val="23"/>
          <w:lang w:eastAsia="en-AU"/>
        </w:rPr>
        <w:tab/>
        <w:t>(a)</w:t>
      </w:r>
      <w:r w:rsidRPr="00B11463">
        <w:rPr>
          <w:rFonts w:eastAsiaTheme="minorEastAsia"/>
          <w:color w:val="000000"/>
          <w:sz w:val="23"/>
          <w:szCs w:val="23"/>
          <w:lang w:eastAsia="en-AU"/>
        </w:rPr>
        <w:tab/>
        <w:t xml:space="preserve">the particulars required in Form 3 of </w:t>
      </w:r>
      <w:hyperlink w:anchor="id3f657ae3_e98b_4bb4_9870_9594f3bfa9" w:history="1">
        <w:r w:rsidRPr="00B11463">
          <w:rPr>
            <w:rFonts w:eastAsiaTheme="minorEastAsia"/>
            <w:color w:val="000000"/>
            <w:sz w:val="23"/>
            <w:szCs w:val="23"/>
            <w:lang w:eastAsia="en-AU"/>
          </w:rPr>
          <w:t>Schedule 1</w:t>
        </w:r>
      </w:hyperlink>
      <w:r w:rsidRPr="00B11463">
        <w:rPr>
          <w:rFonts w:eastAsiaTheme="minorEastAsia"/>
          <w:color w:val="000000"/>
          <w:sz w:val="23"/>
          <w:szCs w:val="23"/>
          <w:lang w:eastAsia="en-AU"/>
        </w:rPr>
        <w:t xml:space="preserve"> are prescribed; and</w:t>
      </w:r>
    </w:p>
    <w:p w:rsidR="00B11463" w:rsidRPr="00B11463" w:rsidRDefault="00B11463" w:rsidP="00B11463">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B11463">
        <w:rPr>
          <w:rFonts w:eastAsiaTheme="minorEastAsia"/>
          <w:color w:val="000000"/>
          <w:sz w:val="23"/>
          <w:szCs w:val="23"/>
          <w:lang w:eastAsia="en-AU"/>
        </w:rPr>
        <w:tab/>
        <w:t>(b)</w:t>
      </w:r>
      <w:r w:rsidRPr="00B11463">
        <w:rPr>
          <w:rFonts w:eastAsiaTheme="minorEastAsia"/>
          <w:color w:val="000000"/>
          <w:sz w:val="23"/>
          <w:szCs w:val="23"/>
          <w:lang w:eastAsia="en-AU"/>
        </w:rPr>
        <w:tab/>
        <w:t>a notice under that section must be in that form.</w:t>
      </w:r>
    </w:p>
    <w:p w:rsidR="00B11463" w:rsidRPr="00B11463" w:rsidRDefault="00B11463" w:rsidP="00B11463">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32" w:name="Elkera_Print_TOC10"/>
      <w:bookmarkStart w:id="33" w:name="Elkera_Print_BK10"/>
      <w:r w:rsidRPr="00B11463">
        <w:rPr>
          <w:rFonts w:eastAsiaTheme="minorEastAsia"/>
          <w:b/>
          <w:bCs/>
          <w:color w:val="000000"/>
          <w:sz w:val="26"/>
          <w:szCs w:val="26"/>
          <w:lang w:eastAsia="en-AU"/>
        </w:rPr>
        <w:t>10—Fixtures and improvements not to be included in valuations</w:t>
      </w:r>
      <w:bookmarkEnd w:id="32"/>
      <w:bookmarkEnd w:id="33"/>
    </w:p>
    <w:p w:rsidR="00B11463" w:rsidRPr="00B11463" w:rsidRDefault="00B11463" w:rsidP="00B11463">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bookmarkStart w:id="34" w:name="id953c7325_9ab6_4b97_9bf3_64d50f21e146_7"/>
      <w:r w:rsidRPr="00B11463">
        <w:rPr>
          <w:rFonts w:eastAsiaTheme="minorEastAsia"/>
          <w:color w:val="000000"/>
          <w:sz w:val="23"/>
          <w:szCs w:val="23"/>
          <w:lang w:eastAsia="en-AU"/>
        </w:rPr>
        <w:tab/>
        <w:t>(1)</w:t>
      </w:r>
      <w:r w:rsidRPr="00B11463">
        <w:rPr>
          <w:rFonts w:eastAsiaTheme="minorEastAsia"/>
          <w:color w:val="000000"/>
          <w:sz w:val="23"/>
          <w:szCs w:val="23"/>
          <w:lang w:eastAsia="en-AU"/>
        </w:rPr>
        <w:tab/>
        <w:t>Pursuant to section 34(ab) of the Act, the following fixtures and improvements must not be taken into account in determining or assessing the annual value or capital value of land where the determination or assessment is to be used for the purpose of raising, levying or imposing any rate, tax or impost:</w:t>
      </w:r>
      <w:bookmarkEnd w:id="34"/>
    </w:p>
    <w:p w:rsidR="00B11463" w:rsidRPr="00B11463" w:rsidRDefault="00B11463" w:rsidP="00B11463">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B11463">
        <w:rPr>
          <w:rFonts w:eastAsiaTheme="minorEastAsia"/>
          <w:color w:val="000000"/>
          <w:sz w:val="23"/>
          <w:szCs w:val="23"/>
          <w:lang w:eastAsia="en-AU"/>
        </w:rPr>
        <w:tab/>
        <w:t>(a)</w:t>
      </w:r>
      <w:r w:rsidRPr="00B11463">
        <w:rPr>
          <w:rFonts w:eastAsiaTheme="minorEastAsia"/>
          <w:color w:val="000000"/>
          <w:sz w:val="23"/>
          <w:szCs w:val="23"/>
          <w:lang w:eastAsia="en-AU"/>
        </w:rPr>
        <w:tab/>
        <w:t>any item of machinery, plant or equipment that is used in connection with a trade, business or manufactory and is not fixed to the land or premises or is fixed to the land or premises so as to be capable of being removed without structural damage (other than minor or trivial structural damage) to the land or premises;</w:t>
      </w:r>
    </w:p>
    <w:p w:rsidR="00B11463" w:rsidRPr="00B11463" w:rsidRDefault="00B11463" w:rsidP="00B11463">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B11463">
        <w:rPr>
          <w:rFonts w:eastAsiaTheme="minorEastAsia"/>
          <w:color w:val="000000"/>
          <w:sz w:val="23"/>
          <w:szCs w:val="23"/>
          <w:lang w:eastAsia="en-AU"/>
        </w:rPr>
        <w:tab/>
        <w:t>(b)</w:t>
      </w:r>
      <w:r w:rsidRPr="00B11463">
        <w:rPr>
          <w:rFonts w:eastAsiaTheme="minorEastAsia"/>
          <w:color w:val="000000"/>
          <w:sz w:val="23"/>
          <w:szCs w:val="23"/>
          <w:lang w:eastAsia="en-AU"/>
        </w:rPr>
        <w:tab/>
        <w:t>any main, pole, transformer, wire, pipe, machinery, plant or equipment that is used in connection with the generation and supply of electricity, the supply of gas or water or the provision of sewerage and is erected on land occupied by a public utility undertaking (whether or not an agency or instrumentality of the Crown) related to the supply or provision of such services;</w:t>
      </w:r>
    </w:p>
    <w:p w:rsidR="00B11463" w:rsidRPr="00B11463" w:rsidRDefault="00B11463" w:rsidP="00B11463">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B11463">
        <w:rPr>
          <w:rFonts w:eastAsiaTheme="minorEastAsia"/>
          <w:color w:val="000000"/>
          <w:sz w:val="23"/>
          <w:szCs w:val="23"/>
          <w:lang w:eastAsia="en-AU"/>
        </w:rPr>
        <w:tab/>
        <w:t>(c)</w:t>
      </w:r>
      <w:r w:rsidRPr="00B11463">
        <w:rPr>
          <w:rFonts w:eastAsiaTheme="minorEastAsia"/>
          <w:color w:val="000000"/>
          <w:sz w:val="23"/>
          <w:szCs w:val="23"/>
          <w:lang w:eastAsia="en-AU"/>
        </w:rPr>
        <w:tab/>
        <w:t>trees planted—</w:t>
      </w:r>
    </w:p>
    <w:p w:rsidR="00B11463" w:rsidRPr="00B11463" w:rsidRDefault="00B11463" w:rsidP="00B11463">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bookmarkStart w:id="35" w:name="idc34297de_cdf9_471d_af0e_2f3b31119917_f"/>
      <w:r w:rsidRPr="00B11463">
        <w:rPr>
          <w:rFonts w:eastAsiaTheme="minorEastAsia"/>
          <w:color w:val="000000"/>
          <w:sz w:val="23"/>
          <w:szCs w:val="23"/>
          <w:lang w:eastAsia="en-AU"/>
        </w:rPr>
        <w:tab/>
        <w:t>(i)</w:t>
      </w:r>
      <w:r w:rsidRPr="00B11463">
        <w:rPr>
          <w:rFonts w:eastAsiaTheme="minorEastAsia"/>
          <w:color w:val="000000"/>
          <w:sz w:val="23"/>
          <w:szCs w:val="23"/>
          <w:lang w:eastAsia="en-AU"/>
        </w:rPr>
        <w:tab/>
        <w:t>for the primary purpose of—</w:t>
      </w:r>
      <w:bookmarkEnd w:id="35"/>
    </w:p>
    <w:p w:rsidR="00B11463" w:rsidRPr="00B11463" w:rsidRDefault="00B11463" w:rsidP="00B11463">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B11463">
        <w:rPr>
          <w:rFonts w:eastAsiaTheme="minorEastAsia"/>
          <w:color w:val="000000"/>
          <w:sz w:val="23"/>
          <w:szCs w:val="23"/>
          <w:lang w:eastAsia="en-AU"/>
        </w:rPr>
        <w:tab/>
        <w:t>(A)</w:t>
      </w:r>
      <w:r w:rsidRPr="00B11463">
        <w:rPr>
          <w:rFonts w:eastAsiaTheme="minorEastAsia"/>
          <w:color w:val="000000"/>
          <w:sz w:val="23"/>
          <w:szCs w:val="23"/>
          <w:lang w:eastAsia="en-AU"/>
        </w:rPr>
        <w:tab/>
        <w:t>the commercial production of timber; or</w:t>
      </w:r>
    </w:p>
    <w:p w:rsidR="00B11463" w:rsidRPr="00B11463" w:rsidRDefault="00B11463" w:rsidP="00B11463">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B11463">
        <w:rPr>
          <w:rFonts w:eastAsiaTheme="minorEastAsia"/>
          <w:color w:val="000000"/>
          <w:sz w:val="23"/>
          <w:szCs w:val="23"/>
          <w:lang w:eastAsia="en-AU"/>
        </w:rPr>
        <w:tab/>
        <w:t>(B)</w:t>
      </w:r>
      <w:r w:rsidRPr="00B11463">
        <w:rPr>
          <w:rFonts w:eastAsiaTheme="minorEastAsia"/>
          <w:color w:val="000000"/>
          <w:sz w:val="23"/>
          <w:szCs w:val="23"/>
          <w:lang w:eastAsia="en-AU"/>
        </w:rPr>
        <w:tab/>
        <w:t>the prevention or amelioration of degradation of land; or</w:t>
      </w:r>
    </w:p>
    <w:p w:rsidR="00B11463" w:rsidRPr="00B11463" w:rsidRDefault="00B11463" w:rsidP="00B11463">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B11463">
        <w:rPr>
          <w:rFonts w:eastAsiaTheme="minorEastAsia"/>
          <w:color w:val="000000"/>
          <w:sz w:val="23"/>
          <w:szCs w:val="23"/>
          <w:lang w:eastAsia="en-AU"/>
        </w:rPr>
        <w:tab/>
        <w:t>(C)</w:t>
      </w:r>
      <w:r w:rsidRPr="00B11463">
        <w:rPr>
          <w:rFonts w:eastAsiaTheme="minorEastAsia"/>
          <w:color w:val="000000"/>
          <w:sz w:val="23"/>
          <w:szCs w:val="23"/>
          <w:lang w:eastAsia="en-AU"/>
        </w:rPr>
        <w:tab/>
        <w:t>the disposal of effluent; or</w:t>
      </w:r>
    </w:p>
    <w:p w:rsidR="00B11463" w:rsidRPr="00B11463" w:rsidRDefault="00B11463" w:rsidP="00B11463">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B11463">
        <w:rPr>
          <w:rFonts w:eastAsiaTheme="minorEastAsia"/>
          <w:color w:val="000000"/>
          <w:sz w:val="23"/>
          <w:szCs w:val="23"/>
          <w:lang w:eastAsia="en-AU"/>
        </w:rPr>
        <w:tab/>
        <w:t>(D)</w:t>
      </w:r>
      <w:r w:rsidRPr="00B11463">
        <w:rPr>
          <w:rFonts w:eastAsiaTheme="minorEastAsia"/>
          <w:color w:val="000000"/>
          <w:sz w:val="23"/>
          <w:szCs w:val="23"/>
          <w:lang w:eastAsia="en-AU"/>
        </w:rPr>
        <w:tab/>
        <w:t>the provision of a habitat for wildlife; or</w:t>
      </w:r>
    </w:p>
    <w:p w:rsidR="00B11463" w:rsidRPr="00B11463" w:rsidRDefault="00B11463" w:rsidP="00B11463">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B11463">
        <w:rPr>
          <w:rFonts w:eastAsiaTheme="minorEastAsia"/>
          <w:color w:val="000000"/>
          <w:sz w:val="23"/>
          <w:szCs w:val="23"/>
          <w:lang w:eastAsia="en-AU"/>
        </w:rPr>
        <w:tab/>
        <w:t>(ii)</w:t>
      </w:r>
      <w:r w:rsidRPr="00B11463">
        <w:rPr>
          <w:rFonts w:eastAsiaTheme="minorEastAsia"/>
          <w:color w:val="000000"/>
          <w:sz w:val="23"/>
          <w:szCs w:val="23"/>
          <w:lang w:eastAsia="en-AU"/>
        </w:rPr>
        <w:tab/>
        <w:t xml:space="preserve">for any 2 or more of the purposes specified in </w:t>
      </w:r>
      <w:hyperlink w:anchor="idc34297de_cdf9_471d_af0e_2f3b31119917_f" w:history="1">
        <w:r w:rsidRPr="00B11463">
          <w:rPr>
            <w:rFonts w:eastAsiaTheme="minorEastAsia"/>
            <w:color w:val="000000"/>
            <w:sz w:val="23"/>
            <w:szCs w:val="23"/>
            <w:lang w:eastAsia="en-AU"/>
          </w:rPr>
          <w:t>subparagraph (i)</w:t>
        </w:r>
      </w:hyperlink>
      <w:r w:rsidRPr="00B11463">
        <w:rPr>
          <w:rFonts w:eastAsiaTheme="minorEastAsia"/>
          <w:color w:val="000000"/>
          <w:sz w:val="23"/>
          <w:szCs w:val="23"/>
          <w:lang w:eastAsia="en-AU"/>
        </w:rPr>
        <w:t>.</w:t>
      </w:r>
    </w:p>
    <w:p w:rsidR="00737455" w:rsidRDefault="00737455">
      <w:pPr>
        <w:spacing w:after="0" w:line="240" w:lineRule="auto"/>
        <w:jc w:val="left"/>
        <w:rPr>
          <w:rFonts w:eastAsiaTheme="minorEastAsia"/>
          <w:color w:val="000000"/>
          <w:sz w:val="23"/>
          <w:szCs w:val="23"/>
          <w:lang w:eastAsia="en-AU"/>
        </w:rPr>
      </w:pPr>
      <w:r>
        <w:rPr>
          <w:rFonts w:eastAsiaTheme="minorEastAsia"/>
          <w:color w:val="000000"/>
          <w:sz w:val="23"/>
          <w:szCs w:val="23"/>
          <w:lang w:eastAsia="en-AU"/>
        </w:rPr>
        <w:br w:type="page"/>
      </w:r>
    </w:p>
    <w:p w:rsidR="00B11463" w:rsidRPr="00B11463" w:rsidRDefault="00B11463" w:rsidP="00B11463">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B11463">
        <w:rPr>
          <w:rFonts w:eastAsiaTheme="minorEastAsia"/>
          <w:color w:val="000000"/>
          <w:sz w:val="23"/>
          <w:szCs w:val="23"/>
          <w:lang w:eastAsia="en-AU"/>
        </w:rPr>
        <w:lastRenderedPageBreak/>
        <w:tab/>
        <w:t>(2)</w:t>
      </w:r>
      <w:r w:rsidRPr="00B11463">
        <w:rPr>
          <w:rFonts w:eastAsiaTheme="minorEastAsia"/>
          <w:color w:val="000000"/>
          <w:sz w:val="23"/>
          <w:szCs w:val="23"/>
          <w:lang w:eastAsia="en-AU"/>
        </w:rPr>
        <w:tab/>
        <w:t xml:space="preserve">Despite </w:t>
      </w:r>
      <w:hyperlink w:anchor="id953c7325_9ab6_4b97_9bf3_64d50f21e146_7" w:history="1">
        <w:r w:rsidRPr="00B11463">
          <w:rPr>
            <w:rFonts w:eastAsiaTheme="minorEastAsia"/>
            <w:color w:val="000000"/>
            <w:sz w:val="23"/>
            <w:szCs w:val="23"/>
            <w:lang w:eastAsia="en-AU"/>
          </w:rPr>
          <w:t>subregulation (1)</w:t>
        </w:r>
      </w:hyperlink>
      <w:r w:rsidRPr="00B11463">
        <w:rPr>
          <w:rFonts w:eastAsiaTheme="minorEastAsia"/>
          <w:color w:val="000000"/>
          <w:sz w:val="23"/>
          <w:szCs w:val="23"/>
          <w:lang w:eastAsia="en-AU"/>
        </w:rPr>
        <w:t>, electricity generating plant, and substations for converting, transforming or controlling electricity, that—</w:t>
      </w:r>
    </w:p>
    <w:p w:rsidR="00B11463" w:rsidRPr="00B11463" w:rsidRDefault="00B11463" w:rsidP="00B11463">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B11463">
        <w:rPr>
          <w:rFonts w:eastAsiaTheme="minorEastAsia"/>
          <w:color w:val="000000"/>
          <w:sz w:val="23"/>
          <w:szCs w:val="23"/>
          <w:lang w:eastAsia="en-AU"/>
        </w:rPr>
        <w:tab/>
        <w:t>(a)</w:t>
      </w:r>
      <w:r w:rsidRPr="00B11463">
        <w:rPr>
          <w:rFonts w:eastAsiaTheme="minorEastAsia"/>
          <w:color w:val="000000"/>
          <w:sz w:val="23"/>
          <w:szCs w:val="23"/>
          <w:lang w:eastAsia="en-AU"/>
        </w:rPr>
        <w:tab/>
        <w:t xml:space="preserve">are used by a body specified by proclamation under clause 3(2) of Schedule 1 of the </w:t>
      </w:r>
      <w:hyperlink r:id="rId19" w:history="1">
        <w:r w:rsidRPr="00B11463">
          <w:rPr>
            <w:rFonts w:eastAsiaTheme="minorEastAsia"/>
            <w:i/>
            <w:iCs/>
            <w:color w:val="000000"/>
            <w:sz w:val="23"/>
            <w:szCs w:val="23"/>
            <w:lang w:eastAsia="en-AU"/>
          </w:rPr>
          <w:t>Electricity Corporations (Restructuring and Disposal) Act 1999</w:t>
        </w:r>
      </w:hyperlink>
      <w:r w:rsidRPr="00B11463">
        <w:rPr>
          <w:rFonts w:eastAsiaTheme="minorEastAsia"/>
          <w:color w:val="000000"/>
          <w:sz w:val="23"/>
          <w:szCs w:val="23"/>
          <w:lang w:eastAsia="en-AU"/>
        </w:rPr>
        <w:t>; and</w:t>
      </w:r>
    </w:p>
    <w:p w:rsidR="00B11463" w:rsidRPr="00B11463" w:rsidRDefault="00B11463" w:rsidP="00B11463">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B11463">
        <w:rPr>
          <w:rFonts w:eastAsiaTheme="minorEastAsia"/>
          <w:color w:val="000000"/>
          <w:sz w:val="23"/>
          <w:szCs w:val="23"/>
          <w:lang w:eastAsia="en-AU"/>
        </w:rPr>
        <w:tab/>
        <w:t>(b)</w:t>
      </w:r>
      <w:r w:rsidRPr="00B11463">
        <w:rPr>
          <w:rFonts w:eastAsiaTheme="minorEastAsia"/>
          <w:color w:val="000000"/>
          <w:sz w:val="23"/>
          <w:szCs w:val="23"/>
          <w:lang w:eastAsia="en-AU"/>
        </w:rPr>
        <w:tab/>
        <w:t>are situated on land to which a proclamation under clause 3(3) of that Schedule applies,</w:t>
      </w:r>
    </w:p>
    <w:p w:rsidR="0073429D" w:rsidRPr="0073429D" w:rsidRDefault="00B11463" w:rsidP="00737455">
      <w:pPr>
        <w:keepLines/>
        <w:autoSpaceDE w:val="0"/>
        <w:autoSpaceDN w:val="0"/>
        <w:adjustRightInd w:val="0"/>
        <w:spacing w:before="120" w:after="0" w:line="240" w:lineRule="auto"/>
        <w:ind w:left="794"/>
        <w:jc w:val="left"/>
        <w:rPr>
          <w:rFonts w:eastAsiaTheme="minorEastAsia"/>
          <w:b/>
          <w:bCs/>
          <w:color w:val="000000"/>
          <w:szCs w:val="17"/>
          <w:lang w:eastAsia="en-AU"/>
        </w:rPr>
      </w:pPr>
      <w:r w:rsidRPr="00B11463">
        <w:rPr>
          <w:rFonts w:eastAsiaTheme="minorEastAsia"/>
          <w:color w:val="000000"/>
          <w:sz w:val="23"/>
          <w:szCs w:val="23"/>
          <w:lang w:eastAsia="en-AU"/>
        </w:rPr>
        <w:t xml:space="preserve">are to be taken into account in determining or assessing the annual value or capital value of land for the purpose of raising, levying or imposing rates under the </w:t>
      </w:r>
      <w:hyperlink r:id="rId20" w:history="1">
        <w:r w:rsidRPr="00B11463">
          <w:rPr>
            <w:rFonts w:eastAsiaTheme="minorEastAsia"/>
            <w:i/>
            <w:iCs/>
            <w:color w:val="000000"/>
            <w:sz w:val="23"/>
            <w:szCs w:val="23"/>
            <w:lang w:eastAsia="en-AU"/>
          </w:rPr>
          <w:t>Local Government Act 1999</w:t>
        </w:r>
      </w:hyperlink>
      <w:r w:rsidRPr="00B11463">
        <w:rPr>
          <w:rFonts w:eastAsiaTheme="minorEastAsia"/>
          <w:color w:val="000000"/>
          <w:sz w:val="23"/>
          <w:szCs w:val="23"/>
          <w:lang w:eastAsia="en-AU"/>
        </w:rPr>
        <w:t>.</w:t>
      </w:r>
      <w:bookmarkStart w:id="36" w:name="Elkera_Print_TOC12"/>
      <w:bookmarkStart w:id="37" w:name="id3f657ae3_e98b_4bb4_9870_9594f3bfa9"/>
    </w:p>
    <w:p w:rsidR="00B11463" w:rsidRPr="00B11463" w:rsidRDefault="00B11463" w:rsidP="00B11463">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r w:rsidRPr="00B11463">
        <w:rPr>
          <w:rFonts w:eastAsiaTheme="minorEastAsia"/>
          <w:b/>
          <w:bCs/>
          <w:color w:val="000000"/>
          <w:sz w:val="32"/>
          <w:szCs w:val="32"/>
          <w:lang w:eastAsia="en-AU"/>
        </w:rPr>
        <w:t>Schedule 1—Forms</w:t>
      </w:r>
      <w:bookmarkEnd w:id="36"/>
      <w:bookmarkEnd w:id="37"/>
    </w:p>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2127"/>
        <w:gridCol w:w="2574"/>
        <w:gridCol w:w="4084"/>
      </w:tblGrid>
      <w:tr w:rsidR="00B11463" w:rsidRPr="00B11463" w:rsidTr="008E599F">
        <w:trPr>
          <w:cantSplit/>
          <w:tblHeader/>
        </w:trPr>
        <w:tc>
          <w:tcPr>
            <w:tcW w:w="2127"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b/>
                <w:bCs/>
                <w:color w:val="000000"/>
                <w:sz w:val="20"/>
                <w:szCs w:val="20"/>
                <w:lang w:eastAsia="en-AU"/>
              </w:rPr>
            </w:pPr>
            <w:r w:rsidRPr="00B11463">
              <w:rPr>
                <w:rFonts w:eastAsiaTheme="minorEastAsia"/>
                <w:b/>
                <w:bCs/>
                <w:color w:val="000000"/>
                <w:sz w:val="20"/>
                <w:szCs w:val="20"/>
                <w:lang w:eastAsia="en-AU"/>
              </w:rPr>
              <w:t>Form 1</w:t>
            </w:r>
          </w:p>
        </w:tc>
        <w:tc>
          <w:tcPr>
            <w:tcW w:w="257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b/>
                <w:bCs/>
                <w:color w:val="000000"/>
                <w:sz w:val="20"/>
                <w:szCs w:val="20"/>
                <w:lang w:eastAsia="en-AU"/>
              </w:rPr>
            </w:pPr>
          </w:p>
        </w:tc>
        <w:tc>
          <w:tcPr>
            <w:tcW w:w="408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b/>
                <w:bCs/>
                <w:color w:val="000000"/>
                <w:sz w:val="20"/>
                <w:szCs w:val="20"/>
                <w:lang w:eastAsia="en-AU"/>
              </w:rPr>
            </w:pPr>
          </w:p>
        </w:tc>
      </w:tr>
      <w:tr w:rsidR="00B11463" w:rsidRPr="00B11463" w:rsidTr="008E599F">
        <w:tc>
          <w:tcPr>
            <w:tcW w:w="2127"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257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408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4701" w:type="dxa"/>
            <w:gridSpan w:val="2"/>
            <w:tcBorders>
              <w:top w:val="nil"/>
              <w:left w:val="nil"/>
              <w:bottom w:val="nil"/>
              <w:right w:val="nil"/>
            </w:tcBorders>
            <w:vAlign w:val="center"/>
          </w:tcPr>
          <w:p w:rsidR="00B11463" w:rsidRPr="00B11463" w:rsidRDefault="00123FDA"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hyperlink r:id="rId21" w:history="1">
              <w:r w:rsidR="00B11463" w:rsidRPr="00B11463">
                <w:rPr>
                  <w:rFonts w:eastAsiaTheme="minorEastAsia"/>
                  <w:i/>
                  <w:iCs/>
                  <w:color w:val="000000"/>
                  <w:sz w:val="20"/>
                  <w:szCs w:val="20"/>
                  <w:lang w:eastAsia="en-AU"/>
                </w:rPr>
                <w:t>Valuation of Land Regulations 2020</w:t>
              </w:r>
            </w:hyperlink>
          </w:p>
        </w:tc>
        <w:tc>
          <w:tcPr>
            <w:tcW w:w="408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4701" w:type="dxa"/>
            <w:gridSpan w:val="2"/>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b/>
                <w:bCs/>
                <w:color w:val="000000"/>
                <w:sz w:val="20"/>
                <w:szCs w:val="20"/>
                <w:lang w:eastAsia="en-AU"/>
              </w:rPr>
              <w:t>Nomination of land valuer to valuation review panel</w:t>
            </w:r>
          </w:p>
        </w:tc>
        <w:tc>
          <w:tcPr>
            <w:tcW w:w="408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2127"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257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408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4701" w:type="dxa"/>
            <w:gridSpan w:val="2"/>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 xml:space="preserve">To: The Minister under the </w:t>
            </w:r>
            <w:hyperlink r:id="rId22" w:history="1">
              <w:r w:rsidRPr="00B11463">
                <w:rPr>
                  <w:rFonts w:eastAsiaTheme="minorEastAsia"/>
                  <w:i/>
                  <w:iCs/>
                  <w:color w:val="000000"/>
                  <w:sz w:val="20"/>
                  <w:szCs w:val="20"/>
                  <w:lang w:eastAsia="en-AU"/>
                </w:rPr>
                <w:t>Valuation of Land Act 1971</w:t>
              </w:r>
            </w:hyperlink>
          </w:p>
        </w:tc>
        <w:tc>
          <w:tcPr>
            <w:tcW w:w="408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8785" w:type="dxa"/>
            <w:gridSpan w:val="3"/>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The *Real Estate Institute of South Australia Incorporated/Australian Property Institute Incorporated nominates the land valuer whose name appears below for inclusion on the valuation review panel for the *region/regions nominated.</w:t>
            </w:r>
          </w:p>
        </w:tc>
      </w:tr>
      <w:tr w:rsidR="00B11463" w:rsidRPr="00B11463" w:rsidTr="008E599F">
        <w:tc>
          <w:tcPr>
            <w:tcW w:w="2127"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Name</w:t>
            </w:r>
          </w:p>
        </w:tc>
        <w:tc>
          <w:tcPr>
            <w:tcW w:w="257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408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2127"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257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408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2127"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Address</w:t>
            </w:r>
          </w:p>
        </w:tc>
        <w:tc>
          <w:tcPr>
            <w:tcW w:w="257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408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2127"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257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408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8785" w:type="dxa"/>
            <w:gridSpan w:val="3"/>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Address for service of notices</w:t>
            </w:r>
          </w:p>
        </w:tc>
      </w:tr>
      <w:tr w:rsidR="00B11463" w:rsidRPr="00B11463" w:rsidTr="008E599F">
        <w:tc>
          <w:tcPr>
            <w:tcW w:w="2127"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257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408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2127"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Qualifications</w:t>
            </w:r>
          </w:p>
        </w:tc>
        <w:tc>
          <w:tcPr>
            <w:tcW w:w="257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408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2127"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257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408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4701" w:type="dxa"/>
            <w:gridSpan w:val="2"/>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Region or regions nominated</w:t>
            </w:r>
          </w:p>
        </w:tc>
        <w:tc>
          <w:tcPr>
            <w:tcW w:w="408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Valuation experience in that region</w:t>
            </w:r>
          </w:p>
        </w:tc>
      </w:tr>
      <w:tr w:rsidR="00B11463" w:rsidRPr="00B11463" w:rsidTr="008E599F">
        <w:tc>
          <w:tcPr>
            <w:tcW w:w="2127"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257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408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2127"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Signed</w:t>
            </w:r>
          </w:p>
        </w:tc>
        <w:tc>
          <w:tcPr>
            <w:tcW w:w="257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408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Dated this .......day of.................20</w:t>
            </w:r>
          </w:p>
        </w:tc>
      </w:tr>
      <w:tr w:rsidR="00B11463" w:rsidRPr="00B11463" w:rsidTr="008E599F">
        <w:tc>
          <w:tcPr>
            <w:tcW w:w="2127"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257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408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8785" w:type="dxa"/>
            <w:gridSpan w:val="3"/>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(Being a person authorised by the *Real Estate Institute of S. A. Inc./Australian Property Institute Incorporated to make this nomination).</w:t>
            </w:r>
          </w:p>
        </w:tc>
      </w:tr>
      <w:tr w:rsidR="00B11463" w:rsidRPr="00B11463" w:rsidTr="008E599F">
        <w:tc>
          <w:tcPr>
            <w:tcW w:w="2127"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257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4084"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8785" w:type="dxa"/>
            <w:gridSpan w:val="3"/>
            <w:tcBorders>
              <w:top w:val="nil"/>
              <w:left w:val="nil"/>
              <w:bottom w:val="nil"/>
              <w:right w:val="nil"/>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w:t>
            </w:r>
            <w:r w:rsidRPr="00B11463">
              <w:rPr>
                <w:rFonts w:eastAsiaTheme="minorEastAsia"/>
                <w:i/>
                <w:iCs/>
                <w:color w:val="000000"/>
                <w:sz w:val="20"/>
                <w:szCs w:val="20"/>
                <w:lang w:eastAsia="en-AU"/>
              </w:rPr>
              <w:t>*Strike out whichever is inapplicable)</w:t>
            </w:r>
          </w:p>
        </w:tc>
      </w:tr>
    </w:tbl>
    <w:p w:rsidR="00B11463" w:rsidRDefault="00B11463" w:rsidP="00B11463">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613"/>
        <w:gridCol w:w="1138"/>
        <w:gridCol w:w="1399"/>
        <w:gridCol w:w="2389"/>
        <w:gridCol w:w="1409"/>
        <w:gridCol w:w="836"/>
      </w:tblGrid>
      <w:tr w:rsidR="00B11463" w:rsidRPr="00B11463" w:rsidTr="008E599F">
        <w:tc>
          <w:tcPr>
            <w:tcW w:w="7948" w:type="dxa"/>
            <w:gridSpan w:val="5"/>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b/>
                <w:bCs/>
                <w:color w:val="000000"/>
                <w:sz w:val="20"/>
                <w:szCs w:val="20"/>
                <w:lang w:eastAsia="en-AU"/>
              </w:rPr>
              <w:t>Form 2</w:t>
            </w:r>
          </w:p>
        </w:tc>
        <w:tc>
          <w:tcPr>
            <w:tcW w:w="836"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7948" w:type="dxa"/>
            <w:gridSpan w:val="5"/>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36"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7948" w:type="dxa"/>
            <w:gridSpan w:val="5"/>
            <w:tcBorders>
              <w:top w:val="nil"/>
              <w:left w:val="nil"/>
              <w:bottom w:val="nil"/>
              <w:right w:val="nil"/>
            </w:tcBorders>
            <w:vAlign w:val="center"/>
          </w:tcPr>
          <w:p w:rsidR="00B11463" w:rsidRPr="00B11463" w:rsidRDefault="00123FDA"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hyperlink r:id="rId23" w:history="1">
              <w:r w:rsidR="00B11463" w:rsidRPr="00B11463">
                <w:rPr>
                  <w:rFonts w:eastAsiaTheme="minorEastAsia"/>
                  <w:i/>
                  <w:iCs/>
                  <w:color w:val="000000"/>
                  <w:sz w:val="20"/>
                  <w:szCs w:val="20"/>
                  <w:lang w:eastAsia="en-AU"/>
                </w:rPr>
                <w:t>Valuation of Land Regulations 2020</w:t>
              </w:r>
            </w:hyperlink>
          </w:p>
        </w:tc>
        <w:tc>
          <w:tcPr>
            <w:tcW w:w="836"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7948" w:type="dxa"/>
            <w:gridSpan w:val="5"/>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b/>
                <w:bCs/>
                <w:color w:val="000000"/>
                <w:sz w:val="20"/>
                <w:szCs w:val="20"/>
                <w:lang w:eastAsia="en-AU"/>
              </w:rPr>
              <w:t>Application for review of valuation</w:t>
            </w:r>
          </w:p>
        </w:tc>
        <w:tc>
          <w:tcPr>
            <w:tcW w:w="836"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8784" w:type="dxa"/>
            <w:gridSpan w:val="6"/>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ind w:left="794" w:hanging="794"/>
              <w:jc w:val="left"/>
              <w:rPr>
                <w:rFonts w:eastAsiaTheme="minorEastAsia"/>
                <w:b/>
                <w:bCs/>
                <w:color w:val="000000"/>
                <w:sz w:val="20"/>
                <w:szCs w:val="20"/>
                <w:lang w:eastAsia="en-AU"/>
              </w:rPr>
            </w:pPr>
            <w:r w:rsidRPr="00B11463">
              <w:rPr>
                <w:rFonts w:eastAsiaTheme="minorEastAsia"/>
                <w:b/>
                <w:bCs/>
                <w:color w:val="000000"/>
                <w:sz w:val="20"/>
                <w:szCs w:val="20"/>
                <w:lang w:eastAsia="en-AU"/>
              </w:rPr>
              <w:t>Note—</w:t>
            </w:r>
          </w:p>
          <w:p w:rsidR="00B11463" w:rsidRPr="00B11463" w:rsidRDefault="00B11463" w:rsidP="00B11463">
            <w:pPr>
              <w:keepNext/>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0"/>
                <w:szCs w:val="20"/>
                <w:lang w:eastAsia="en-AU"/>
              </w:rPr>
            </w:pPr>
            <w:r w:rsidRPr="00B11463">
              <w:rPr>
                <w:rFonts w:eastAsiaTheme="minorEastAsia"/>
                <w:color w:val="000000"/>
                <w:sz w:val="20"/>
                <w:szCs w:val="20"/>
                <w:lang w:eastAsia="en-AU"/>
              </w:rPr>
              <w:tab/>
              <w:t>1</w:t>
            </w:r>
            <w:r w:rsidRPr="00B11463">
              <w:rPr>
                <w:rFonts w:eastAsiaTheme="minorEastAsia"/>
                <w:color w:val="000000"/>
                <w:sz w:val="20"/>
                <w:szCs w:val="20"/>
                <w:lang w:eastAsia="en-AU"/>
              </w:rPr>
              <w:tab/>
              <w:t>A separate application is required for each review sought and the grounds of review must be fully stated on the application form.</w:t>
            </w:r>
          </w:p>
          <w:p w:rsidR="00B11463" w:rsidRPr="00B11463" w:rsidRDefault="00B11463" w:rsidP="00B11463">
            <w:pPr>
              <w:keepNext/>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0"/>
                <w:szCs w:val="20"/>
                <w:lang w:eastAsia="en-AU"/>
              </w:rPr>
            </w:pPr>
            <w:r w:rsidRPr="00B11463">
              <w:rPr>
                <w:rFonts w:eastAsiaTheme="minorEastAsia"/>
                <w:color w:val="000000"/>
                <w:sz w:val="20"/>
                <w:szCs w:val="20"/>
                <w:lang w:eastAsia="en-AU"/>
              </w:rPr>
              <w:tab/>
              <w:t>2</w:t>
            </w:r>
            <w:r w:rsidRPr="00B11463">
              <w:rPr>
                <w:rFonts w:eastAsiaTheme="minorEastAsia"/>
                <w:color w:val="000000"/>
                <w:sz w:val="20"/>
                <w:szCs w:val="20"/>
                <w:lang w:eastAsia="en-AU"/>
              </w:rPr>
              <w:tab/>
              <w:t>Notwithstanding this review, the rate of tax assessed on the valuation must be paid by the due date.</w:t>
            </w:r>
          </w:p>
        </w:tc>
      </w:tr>
      <w:tr w:rsidR="00B11463" w:rsidRPr="00B11463" w:rsidTr="008E599F">
        <w:tc>
          <w:tcPr>
            <w:tcW w:w="7948" w:type="dxa"/>
            <w:gridSpan w:val="5"/>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To: The Valuer</w:t>
            </w:r>
            <w:r w:rsidRPr="00B11463">
              <w:rPr>
                <w:rFonts w:eastAsiaTheme="minorEastAsia"/>
                <w:color w:val="000000"/>
                <w:sz w:val="20"/>
                <w:szCs w:val="20"/>
                <w:lang w:eastAsia="en-AU"/>
              </w:rPr>
              <w:noBreakHyphen/>
              <w:t>General</w:t>
            </w:r>
          </w:p>
        </w:tc>
        <w:tc>
          <w:tcPr>
            <w:tcW w:w="836"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8784" w:type="dxa"/>
            <w:gridSpan w:val="6"/>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I give notice that I seek a review of the Valuation No......................................................located at:</w:t>
            </w:r>
          </w:p>
        </w:tc>
      </w:tr>
      <w:tr w:rsidR="00B11463" w:rsidRPr="00B11463" w:rsidTr="008E599F">
        <w:tc>
          <w:tcPr>
            <w:tcW w:w="1613"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7171" w:type="dxa"/>
            <w:gridSpan w:val="5"/>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House number</w:t>
            </w:r>
          </w:p>
        </w:tc>
      </w:tr>
      <w:tr w:rsidR="00B11463" w:rsidRPr="00B11463" w:rsidTr="008E599F">
        <w:tc>
          <w:tcPr>
            <w:tcW w:w="1613"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7171" w:type="dxa"/>
            <w:gridSpan w:val="5"/>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Street name</w:t>
            </w:r>
          </w:p>
        </w:tc>
      </w:tr>
      <w:tr w:rsidR="00B11463" w:rsidRPr="00B11463" w:rsidTr="008E599F">
        <w:tc>
          <w:tcPr>
            <w:tcW w:w="1613"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7171" w:type="dxa"/>
            <w:gridSpan w:val="5"/>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Suburb or town</w:t>
            </w:r>
          </w:p>
        </w:tc>
      </w:tr>
      <w:tr w:rsidR="00B11463" w:rsidRPr="00B11463" w:rsidTr="008E599F">
        <w:tc>
          <w:tcPr>
            <w:tcW w:w="1613"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7171" w:type="dxa"/>
            <w:gridSpan w:val="5"/>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Lot or Section</w:t>
            </w:r>
          </w:p>
        </w:tc>
      </w:tr>
      <w:tr w:rsidR="00B11463" w:rsidRPr="00B11463" w:rsidTr="008E599F">
        <w:tc>
          <w:tcPr>
            <w:tcW w:w="1613"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7171" w:type="dxa"/>
            <w:gridSpan w:val="5"/>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Hundred</w:t>
            </w:r>
          </w:p>
        </w:tc>
      </w:tr>
      <w:tr w:rsidR="00B11463" w:rsidRPr="00B11463" w:rsidTr="008E599F">
        <w:tc>
          <w:tcPr>
            <w:tcW w:w="8784" w:type="dxa"/>
            <w:gridSpan w:val="6"/>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I have previously objected to this valuation and an advice to this objection from the Valuer</w:t>
            </w:r>
            <w:r w:rsidRPr="00B11463">
              <w:rPr>
                <w:rFonts w:eastAsiaTheme="minorEastAsia"/>
                <w:color w:val="000000"/>
                <w:sz w:val="20"/>
                <w:szCs w:val="20"/>
                <w:lang w:eastAsia="en-AU"/>
              </w:rPr>
              <w:noBreakHyphen/>
              <w:t>General was dated..............The *value/values as determined under the Act and shown on the *notice/notices of valuation *is/are:</w:t>
            </w:r>
          </w:p>
        </w:tc>
      </w:tr>
      <w:tr w:rsidR="00B11463" w:rsidRPr="00B11463" w:rsidTr="008E599F">
        <w:tc>
          <w:tcPr>
            <w:tcW w:w="1613"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Annual value</w:t>
            </w:r>
          </w:p>
        </w:tc>
        <w:tc>
          <w:tcPr>
            <w:tcW w:w="6335" w:type="dxa"/>
            <w:gridSpan w:val="4"/>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w:t>
            </w:r>
          </w:p>
        </w:tc>
        <w:tc>
          <w:tcPr>
            <w:tcW w:w="836"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1613"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Capital value</w:t>
            </w:r>
          </w:p>
        </w:tc>
        <w:tc>
          <w:tcPr>
            <w:tcW w:w="6335" w:type="dxa"/>
            <w:gridSpan w:val="4"/>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w:t>
            </w:r>
          </w:p>
        </w:tc>
        <w:tc>
          <w:tcPr>
            <w:tcW w:w="836"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1613"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Site value</w:t>
            </w:r>
          </w:p>
        </w:tc>
        <w:tc>
          <w:tcPr>
            <w:tcW w:w="6335" w:type="dxa"/>
            <w:gridSpan w:val="4"/>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w:t>
            </w:r>
          </w:p>
        </w:tc>
        <w:tc>
          <w:tcPr>
            <w:tcW w:w="836"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8784" w:type="dxa"/>
            <w:gridSpan w:val="6"/>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I contend that the *value/values should be:</w:t>
            </w:r>
          </w:p>
        </w:tc>
      </w:tr>
      <w:tr w:rsidR="00B11463" w:rsidRPr="00B11463" w:rsidTr="008E599F">
        <w:tc>
          <w:tcPr>
            <w:tcW w:w="1613"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Annual value</w:t>
            </w:r>
          </w:p>
        </w:tc>
        <w:tc>
          <w:tcPr>
            <w:tcW w:w="6335" w:type="dxa"/>
            <w:gridSpan w:val="4"/>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w:t>
            </w:r>
          </w:p>
        </w:tc>
        <w:tc>
          <w:tcPr>
            <w:tcW w:w="836"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1613"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Capital value</w:t>
            </w:r>
          </w:p>
        </w:tc>
        <w:tc>
          <w:tcPr>
            <w:tcW w:w="6335" w:type="dxa"/>
            <w:gridSpan w:val="4"/>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w:t>
            </w:r>
          </w:p>
        </w:tc>
        <w:tc>
          <w:tcPr>
            <w:tcW w:w="836"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1613"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Site value</w:t>
            </w:r>
          </w:p>
        </w:tc>
        <w:tc>
          <w:tcPr>
            <w:tcW w:w="6335" w:type="dxa"/>
            <w:gridSpan w:val="4"/>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w:t>
            </w:r>
          </w:p>
        </w:tc>
        <w:tc>
          <w:tcPr>
            <w:tcW w:w="836"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8784" w:type="dxa"/>
            <w:gridSpan w:val="6"/>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A detailed statement of the grounds for this review application must be given below and should include a description of the land and premises and its present use.</w:t>
            </w:r>
          </w:p>
        </w:tc>
      </w:tr>
      <w:tr w:rsidR="00B11463" w:rsidRPr="00B11463" w:rsidTr="008E599F">
        <w:tc>
          <w:tcPr>
            <w:tcW w:w="1613"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6335" w:type="dxa"/>
            <w:gridSpan w:val="4"/>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36"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8784" w:type="dxa"/>
            <w:gridSpan w:val="6"/>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(If space is insufficient, use the back of the form or attach a statement of grounds)</w:t>
            </w:r>
          </w:p>
        </w:tc>
      </w:tr>
      <w:tr w:rsidR="00B11463" w:rsidRPr="00B11463" w:rsidTr="008E599F">
        <w:tc>
          <w:tcPr>
            <w:tcW w:w="2751" w:type="dxa"/>
            <w:gridSpan w:val="2"/>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Rental details (if premises let)</w:t>
            </w:r>
          </w:p>
        </w:tc>
        <w:tc>
          <w:tcPr>
            <w:tcW w:w="1399"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3798" w:type="dxa"/>
            <w:gridSpan w:val="2"/>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Detailed valuation of land and premises</w:t>
            </w:r>
          </w:p>
        </w:tc>
        <w:tc>
          <w:tcPr>
            <w:tcW w:w="836"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1613"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Gross rents</w:t>
            </w:r>
          </w:p>
        </w:tc>
        <w:tc>
          <w:tcPr>
            <w:tcW w:w="1138"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Particulars</w:t>
            </w:r>
          </w:p>
        </w:tc>
        <w:tc>
          <w:tcPr>
            <w:tcW w:w="1399"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w:t>
            </w:r>
          </w:p>
        </w:tc>
        <w:tc>
          <w:tcPr>
            <w:tcW w:w="2389"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Particulars</w:t>
            </w:r>
          </w:p>
        </w:tc>
        <w:tc>
          <w:tcPr>
            <w:tcW w:w="1409"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w:t>
            </w:r>
          </w:p>
        </w:tc>
        <w:tc>
          <w:tcPr>
            <w:tcW w:w="836"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1613"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6335" w:type="dxa"/>
            <w:gridSpan w:val="4"/>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36"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8784" w:type="dxa"/>
            <w:gridSpan w:val="6"/>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ind w:left="794" w:hanging="794"/>
              <w:jc w:val="left"/>
              <w:rPr>
                <w:rFonts w:eastAsiaTheme="minorEastAsia"/>
                <w:b/>
                <w:bCs/>
                <w:color w:val="000000"/>
                <w:sz w:val="20"/>
                <w:szCs w:val="20"/>
                <w:lang w:eastAsia="en-AU"/>
              </w:rPr>
            </w:pPr>
            <w:r w:rsidRPr="00B11463">
              <w:rPr>
                <w:rFonts w:eastAsiaTheme="minorEastAsia"/>
                <w:b/>
                <w:bCs/>
                <w:color w:val="000000"/>
                <w:sz w:val="20"/>
                <w:szCs w:val="20"/>
                <w:lang w:eastAsia="en-AU"/>
              </w:rPr>
              <w:t>Note—</w:t>
            </w:r>
          </w:p>
          <w:p w:rsidR="00B11463" w:rsidRPr="00B11463" w:rsidRDefault="00B11463" w:rsidP="00B11463">
            <w:pPr>
              <w:keepNext/>
              <w:keepLines/>
              <w:autoSpaceDE w:val="0"/>
              <w:autoSpaceDN w:val="0"/>
              <w:adjustRightInd w:val="0"/>
              <w:spacing w:before="120" w:after="0" w:line="240" w:lineRule="auto"/>
              <w:ind w:left="794"/>
              <w:jc w:val="left"/>
              <w:rPr>
                <w:rFonts w:eastAsiaTheme="minorEastAsia"/>
                <w:color w:val="000000"/>
                <w:sz w:val="20"/>
                <w:szCs w:val="20"/>
                <w:lang w:eastAsia="en-AU"/>
              </w:rPr>
            </w:pPr>
            <w:r w:rsidRPr="00B11463">
              <w:rPr>
                <w:rFonts w:eastAsiaTheme="minorEastAsia"/>
                <w:color w:val="000000"/>
                <w:sz w:val="20"/>
                <w:szCs w:val="20"/>
                <w:lang w:eastAsia="en-AU"/>
              </w:rPr>
              <w:t>If the application for review is signed by an agent, a written authority signed by the owner must be attached.</w:t>
            </w:r>
          </w:p>
        </w:tc>
      </w:tr>
      <w:tr w:rsidR="00B11463" w:rsidRPr="00B11463" w:rsidTr="008E599F">
        <w:tc>
          <w:tcPr>
            <w:tcW w:w="1613"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Signed</w:t>
            </w:r>
          </w:p>
        </w:tc>
        <w:tc>
          <w:tcPr>
            <w:tcW w:w="1138"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6033" w:type="dxa"/>
            <w:gridSpan w:val="4"/>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Dated this................day of......................20</w:t>
            </w:r>
          </w:p>
        </w:tc>
      </w:tr>
      <w:tr w:rsidR="00B11463" w:rsidRPr="00B11463" w:rsidTr="008E599F">
        <w:tc>
          <w:tcPr>
            <w:tcW w:w="7948" w:type="dxa"/>
            <w:gridSpan w:val="5"/>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Postal address</w:t>
            </w:r>
          </w:p>
        </w:tc>
        <w:tc>
          <w:tcPr>
            <w:tcW w:w="836"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1613"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6335" w:type="dxa"/>
            <w:gridSpan w:val="4"/>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36"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7948" w:type="dxa"/>
            <w:gridSpan w:val="5"/>
            <w:tcBorders>
              <w:top w:val="nil"/>
              <w:left w:val="nil"/>
              <w:bottom w:val="nil"/>
              <w:right w:val="nil"/>
            </w:tcBorders>
            <w:vAlign w:val="center"/>
          </w:tcPr>
          <w:p w:rsidR="009901EE" w:rsidRPr="00B11463" w:rsidRDefault="00B11463" w:rsidP="00B11463">
            <w:pPr>
              <w:keepLines/>
              <w:autoSpaceDE w:val="0"/>
              <w:autoSpaceDN w:val="0"/>
              <w:adjustRightInd w:val="0"/>
              <w:spacing w:before="120" w:after="0" w:line="240" w:lineRule="auto"/>
              <w:jc w:val="left"/>
              <w:rPr>
                <w:rFonts w:eastAsiaTheme="minorEastAsia"/>
                <w:i/>
                <w:iCs/>
                <w:color w:val="000000"/>
                <w:sz w:val="20"/>
                <w:szCs w:val="20"/>
                <w:lang w:eastAsia="en-AU"/>
              </w:rPr>
            </w:pPr>
            <w:r w:rsidRPr="00B11463">
              <w:rPr>
                <w:rFonts w:eastAsiaTheme="minorEastAsia"/>
                <w:i/>
                <w:iCs/>
                <w:color w:val="000000"/>
                <w:sz w:val="20"/>
                <w:szCs w:val="20"/>
                <w:lang w:eastAsia="en-AU"/>
              </w:rPr>
              <w:t>(*Strike out whichever is inapplicable)</w:t>
            </w:r>
          </w:p>
        </w:tc>
        <w:tc>
          <w:tcPr>
            <w:tcW w:w="836" w:type="dxa"/>
            <w:tcBorders>
              <w:top w:val="nil"/>
              <w:left w:val="nil"/>
              <w:bottom w:val="nil"/>
              <w:right w:val="nil"/>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p>
        </w:tc>
      </w:tr>
    </w:tbl>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763"/>
        <w:gridCol w:w="5710"/>
        <w:gridCol w:w="1310"/>
      </w:tblGrid>
      <w:tr w:rsidR="00B11463" w:rsidRPr="00B11463" w:rsidTr="008E599F">
        <w:tc>
          <w:tcPr>
            <w:tcW w:w="1763"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b/>
                <w:bCs/>
                <w:color w:val="000000"/>
                <w:sz w:val="20"/>
                <w:szCs w:val="20"/>
                <w:lang w:eastAsia="en-AU"/>
              </w:rPr>
              <w:t>Form 3</w:t>
            </w:r>
          </w:p>
        </w:tc>
        <w:tc>
          <w:tcPr>
            <w:tcW w:w="5710"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310" w:type="dxa"/>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1763"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710"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310" w:type="dxa"/>
            <w:tcBorders>
              <w:top w:val="nil"/>
              <w:left w:val="nil"/>
              <w:bottom w:val="nil"/>
              <w:right w:val="nil"/>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8783" w:type="dxa"/>
            <w:gridSpan w:val="3"/>
            <w:tcBorders>
              <w:top w:val="nil"/>
              <w:left w:val="nil"/>
              <w:bottom w:val="nil"/>
              <w:right w:val="nil"/>
            </w:tcBorders>
          </w:tcPr>
          <w:p w:rsidR="00B11463" w:rsidRPr="00B11463" w:rsidRDefault="00123FDA"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hyperlink r:id="rId24" w:history="1">
              <w:r w:rsidR="00B11463" w:rsidRPr="00B11463">
                <w:rPr>
                  <w:rFonts w:eastAsiaTheme="minorEastAsia"/>
                  <w:i/>
                  <w:iCs/>
                  <w:color w:val="000000"/>
                  <w:sz w:val="20"/>
                  <w:szCs w:val="20"/>
                  <w:lang w:eastAsia="en-AU"/>
                </w:rPr>
                <w:t>Valuation of Land Regulations 2020</w:t>
              </w:r>
            </w:hyperlink>
          </w:p>
        </w:tc>
      </w:tr>
      <w:tr w:rsidR="00B11463" w:rsidRPr="00B11463" w:rsidTr="008E599F">
        <w:tc>
          <w:tcPr>
            <w:tcW w:w="8783" w:type="dxa"/>
            <w:gridSpan w:val="3"/>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b/>
                <w:bCs/>
                <w:color w:val="000000"/>
                <w:sz w:val="20"/>
                <w:szCs w:val="20"/>
                <w:lang w:eastAsia="en-AU"/>
              </w:rPr>
              <w:t>Notice of sale or transfer of land</w:t>
            </w:r>
          </w:p>
        </w:tc>
      </w:tr>
      <w:tr w:rsidR="00B11463" w:rsidRPr="00B11463" w:rsidTr="008E599F">
        <w:tc>
          <w:tcPr>
            <w:tcW w:w="8783" w:type="dxa"/>
            <w:gridSpan w:val="3"/>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ind w:left="794" w:hanging="794"/>
              <w:jc w:val="left"/>
              <w:rPr>
                <w:rFonts w:eastAsiaTheme="minorEastAsia"/>
                <w:b/>
                <w:bCs/>
                <w:color w:val="000000"/>
                <w:sz w:val="20"/>
                <w:szCs w:val="20"/>
                <w:lang w:eastAsia="en-AU"/>
              </w:rPr>
            </w:pPr>
            <w:r w:rsidRPr="00B11463">
              <w:rPr>
                <w:rFonts w:eastAsiaTheme="minorEastAsia"/>
                <w:b/>
                <w:bCs/>
                <w:color w:val="000000"/>
                <w:sz w:val="20"/>
                <w:szCs w:val="20"/>
                <w:lang w:eastAsia="en-AU"/>
              </w:rPr>
              <w:t>Note—</w:t>
            </w:r>
          </w:p>
          <w:p w:rsidR="00B11463" w:rsidRPr="00B11463" w:rsidRDefault="00B11463" w:rsidP="00B11463">
            <w:pPr>
              <w:keepNext/>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0"/>
                <w:szCs w:val="20"/>
                <w:lang w:eastAsia="en-AU"/>
              </w:rPr>
            </w:pPr>
            <w:r w:rsidRPr="00B11463">
              <w:rPr>
                <w:rFonts w:eastAsiaTheme="minorEastAsia"/>
                <w:color w:val="000000"/>
                <w:sz w:val="20"/>
                <w:szCs w:val="20"/>
                <w:lang w:eastAsia="en-AU"/>
              </w:rPr>
              <w:tab/>
              <w:t>1</w:t>
            </w:r>
            <w:r w:rsidRPr="00B11463">
              <w:rPr>
                <w:rFonts w:eastAsiaTheme="minorEastAsia"/>
                <w:color w:val="000000"/>
                <w:sz w:val="20"/>
                <w:szCs w:val="20"/>
                <w:lang w:eastAsia="en-AU"/>
              </w:rPr>
              <w:tab/>
              <w:t>This notice must be given to the Valuer</w:t>
            </w:r>
            <w:r w:rsidRPr="00B11463">
              <w:rPr>
                <w:rFonts w:eastAsiaTheme="minorEastAsia"/>
                <w:color w:val="000000"/>
                <w:sz w:val="20"/>
                <w:szCs w:val="20"/>
                <w:lang w:eastAsia="en-AU"/>
              </w:rPr>
              <w:noBreakHyphen/>
              <w:t>General within 30 days after the completion of the sale or transfer.</w:t>
            </w:r>
          </w:p>
          <w:p w:rsidR="00B11463" w:rsidRPr="00B11463" w:rsidRDefault="00B11463" w:rsidP="00B11463">
            <w:pPr>
              <w:keepNext/>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0"/>
                <w:szCs w:val="20"/>
                <w:lang w:eastAsia="en-AU"/>
              </w:rPr>
            </w:pPr>
            <w:r w:rsidRPr="00B11463">
              <w:rPr>
                <w:rFonts w:eastAsiaTheme="minorEastAsia"/>
                <w:color w:val="000000"/>
                <w:sz w:val="20"/>
                <w:szCs w:val="20"/>
                <w:lang w:eastAsia="en-AU"/>
              </w:rPr>
              <w:tab/>
              <w:t>2</w:t>
            </w:r>
            <w:r w:rsidRPr="00B11463">
              <w:rPr>
                <w:rFonts w:eastAsiaTheme="minorEastAsia"/>
                <w:color w:val="000000"/>
                <w:sz w:val="20"/>
                <w:szCs w:val="20"/>
                <w:lang w:eastAsia="en-AU"/>
              </w:rPr>
              <w:tab/>
              <w:t>This notice will not be accepted unless all the details below are supplied.</w:t>
            </w:r>
          </w:p>
        </w:tc>
      </w:tr>
      <w:tr w:rsidR="00B11463" w:rsidRPr="00B11463" w:rsidTr="008E599F">
        <w:tc>
          <w:tcPr>
            <w:tcW w:w="8783" w:type="dxa"/>
            <w:gridSpan w:val="3"/>
            <w:tcBorders>
              <w:top w:val="nil"/>
              <w:left w:val="nil"/>
              <w:bottom w:val="nil"/>
              <w:right w:val="nil"/>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To: The Valuer</w:t>
            </w:r>
            <w:r w:rsidRPr="00B11463">
              <w:rPr>
                <w:rFonts w:eastAsiaTheme="minorEastAsia"/>
                <w:color w:val="000000"/>
                <w:sz w:val="20"/>
                <w:szCs w:val="20"/>
                <w:lang w:eastAsia="en-AU"/>
              </w:rPr>
              <w:noBreakHyphen/>
              <w:t>General</w:t>
            </w:r>
          </w:p>
        </w:tc>
      </w:tr>
      <w:tr w:rsidR="00B11463" w:rsidRPr="00B11463" w:rsidTr="008E599F">
        <w:tc>
          <w:tcPr>
            <w:tcW w:w="8783" w:type="dxa"/>
            <w:gridSpan w:val="3"/>
            <w:tcBorders>
              <w:top w:val="nil"/>
              <w:left w:val="nil"/>
              <w:bottom w:val="nil"/>
              <w:right w:val="nil"/>
            </w:tcBorders>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I give notice that:</w:t>
            </w:r>
          </w:p>
        </w:tc>
      </w:tr>
    </w:tbl>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759"/>
        <w:gridCol w:w="840"/>
        <w:gridCol w:w="851"/>
        <w:gridCol w:w="1321"/>
        <w:gridCol w:w="1197"/>
        <w:gridCol w:w="1596"/>
        <w:gridCol w:w="1218"/>
      </w:tblGrid>
      <w:tr w:rsidR="00B11463" w:rsidRPr="00B11463" w:rsidTr="008E599F">
        <w:tc>
          <w:tcPr>
            <w:tcW w:w="1759" w:type="dxa"/>
            <w:tcBorders>
              <w:top w:val="single" w:sz="4" w:space="0" w:color="auto"/>
              <w:left w:val="single" w:sz="4" w:space="0" w:color="auto"/>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5805" w:type="dxa"/>
            <w:gridSpan w:val="5"/>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Date of Contract or Transfer</w:t>
            </w:r>
          </w:p>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Consideration $</w:t>
            </w:r>
          </w:p>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Subject to Mortgage $</w:t>
            </w:r>
          </w:p>
        </w:tc>
        <w:tc>
          <w:tcPr>
            <w:tcW w:w="1218"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No ........</w:t>
            </w:r>
          </w:p>
        </w:tc>
      </w:tr>
      <w:tr w:rsidR="00B11463" w:rsidRPr="00B11463" w:rsidTr="008E599F">
        <w:tc>
          <w:tcPr>
            <w:tcW w:w="1759" w:type="dxa"/>
            <w:tcBorders>
              <w:top w:val="single" w:sz="4" w:space="0" w:color="auto"/>
              <w:left w:val="single" w:sz="4" w:space="0" w:color="auto"/>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Valuation No</w:t>
            </w:r>
          </w:p>
        </w:tc>
        <w:tc>
          <w:tcPr>
            <w:tcW w:w="1691" w:type="dxa"/>
            <w:gridSpan w:val="2"/>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Reference to Title</w:t>
            </w:r>
          </w:p>
        </w:tc>
        <w:tc>
          <w:tcPr>
            <w:tcW w:w="1321"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Hundred, City or Township</w:t>
            </w:r>
          </w:p>
        </w:tc>
        <w:tc>
          <w:tcPr>
            <w:tcW w:w="1197"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Plan No</w:t>
            </w:r>
          </w:p>
        </w:tc>
        <w:tc>
          <w:tcPr>
            <w:tcW w:w="1596"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Section, Town Acre or Allotment No</w:t>
            </w:r>
          </w:p>
        </w:tc>
        <w:tc>
          <w:tcPr>
            <w:tcW w:w="1218"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Area or Measurement</w:t>
            </w:r>
          </w:p>
        </w:tc>
      </w:tr>
      <w:tr w:rsidR="00B11463" w:rsidRPr="00B11463" w:rsidTr="008E599F">
        <w:tc>
          <w:tcPr>
            <w:tcW w:w="1759" w:type="dxa"/>
            <w:tcBorders>
              <w:top w:val="single" w:sz="4" w:space="0" w:color="auto"/>
              <w:left w:val="single" w:sz="4" w:space="0" w:color="auto"/>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40"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Volume/</w:t>
            </w:r>
          </w:p>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Book</w:t>
            </w:r>
          </w:p>
        </w:tc>
        <w:tc>
          <w:tcPr>
            <w:tcW w:w="851"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Folio/</w:t>
            </w:r>
          </w:p>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Page</w:t>
            </w:r>
          </w:p>
        </w:tc>
        <w:tc>
          <w:tcPr>
            <w:tcW w:w="1321"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197"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596"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218"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1759" w:type="dxa"/>
            <w:tcBorders>
              <w:top w:val="single" w:sz="4" w:space="0" w:color="auto"/>
              <w:left w:val="single" w:sz="4" w:space="0" w:color="auto"/>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40"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51"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321"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197"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596"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218"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1759" w:type="dxa"/>
            <w:tcBorders>
              <w:top w:val="single" w:sz="4" w:space="0" w:color="auto"/>
              <w:left w:val="single" w:sz="4" w:space="0" w:color="auto"/>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40"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51"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321"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197"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596"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218"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1759" w:type="dxa"/>
            <w:tcBorders>
              <w:top w:val="single" w:sz="4" w:space="0" w:color="auto"/>
              <w:left w:val="single" w:sz="4" w:space="0" w:color="auto"/>
              <w:bottom w:val="single" w:sz="4" w:space="0" w:color="auto"/>
              <w:right w:val="single" w:sz="4" w:space="0" w:color="auto"/>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p>
        </w:tc>
        <w:tc>
          <w:tcPr>
            <w:tcW w:w="840" w:type="dxa"/>
            <w:tcBorders>
              <w:top w:val="single" w:sz="4" w:space="0" w:color="auto"/>
              <w:left w:val="nil"/>
              <w:bottom w:val="single" w:sz="4" w:space="0" w:color="auto"/>
              <w:right w:val="single" w:sz="4" w:space="0" w:color="auto"/>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p>
        </w:tc>
        <w:tc>
          <w:tcPr>
            <w:tcW w:w="851" w:type="dxa"/>
            <w:tcBorders>
              <w:top w:val="single" w:sz="4" w:space="0" w:color="auto"/>
              <w:left w:val="nil"/>
              <w:bottom w:val="single" w:sz="4" w:space="0" w:color="auto"/>
              <w:right w:val="single" w:sz="4" w:space="0" w:color="auto"/>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p>
        </w:tc>
        <w:tc>
          <w:tcPr>
            <w:tcW w:w="1321" w:type="dxa"/>
            <w:tcBorders>
              <w:top w:val="single" w:sz="4" w:space="0" w:color="auto"/>
              <w:left w:val="nil"/>
              <w:bottom w:val="single" w:sz="4" w:space="0" w:color="auto"/>
              <w:right w:val="single" w:sz="4" w:space="0" w:color="auto"/>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p>
        </w:tc>
        <w:tc>
          <w:tcPr>
            <w:tcW w:w="1197" w:type="dxa"/>
            <w:tcBorders>
              <w:top w:val="single" w:sz="4" w:space="0" w:color="auto"/>
              <w:left w:val="nil"/>
              <w:bottom w:val="single" w:sz="4" w:space="0" w:color="auto"/>
              <w:right w:val="single" w:sz="4" w:space="0" w:color="auto"/>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p>
        </w:tc>
        <w:tc>
          <w:tcPr>
            <w:tcW w:w="1596" w:type="dxa"/>
            <w:tcBorders>
              <w:top w:val="single" w:sz="4" w:space="0" w:color="auto"/>
              <w:left w:val="nil"/>
              <w:bottom w:val="single" w:sz="4" w:space="0" w:color="auto"/>
              <w:right w:val="single" w:sz="4" w:space="0" w:color="auto"/>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p>
        </w:tc>
        <w:tc>
          <w:tcPr>
            <w:tcW w:w="1218" w:type="dxa"/>
            <w:tcBorders>
              <w:top w:val="single" w:sz="4" w:space="0" w:color="auto"/>
              <w:left w:val="nil"/>
              <w:bottom w:val="single" w:sz="4" w:space="0" w:color="auto"/>
              <w:right w:val="single" w:sz="4" w:space="0" w:color="auto"/>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p>
        </w:tc>
      </w:tr>
    </w:tbl>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8787"/>
      </w:tblGrid>
      <w:tr w:rsidR="00B11463" w:rsidRPr="00B11463" w:rsidTr="008E599F">
        <w:tc>
          <w:tcPr>
            <w:tcW w:w="8787" w:type="dxa"/>
            <w:tcBorders>
              <w:top w:val="nil"/>
              <w:left w:val="nil"/>
              <w:bottom w:val="nil"/>
              <w:right w:val="nil"/>
            </w:tcBorders>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has been transferred</w:t>
            </w:r>
          </w:p>
        </w:tc>
      </w:tr>
    </w:tbl>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1757"/>
        <w:gridCol w:w="1757"/>
        <w:gridCol w:w="1757"/>
        <w:gridCol w:w="1757"/>
        <w:gridCol w:w="1757"/>
      </w:tblGrid>
      <w:tr w:rsidR="00B11463" w:rsidRPr="00B11463" w:rsidTr="008E599F">
        <w:tc>
          <w:tcPr>
            <w:tcW w:w="3514" w:type="dxa"/>
            <w:gridSpan w:val="2"/>
            <w:tcBorders>
              <w:top w:val="single" w:sz="4" w:space="0" w:color="auto"/>
              <w:left w:val="single" w:sz="4" w:space="0" w:color="auto"/>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From (Transferor)</w:t>
            </w:r>
          </w:p>
        </w:tc>
        <w:tc>
          <w:tcPr>
            <w:tcW w:w="5271" w:type="dxa"/>
            <w:gridSpan w:val="3"/>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To (Transferee)</w:t>
            </w:r>
          </w:p>
        </w:tc>
      </w:tr>
      <w:tr w:rsidR="00B11463" w:rsidRPr="00B11463" w:rsidTr="008E599F">
        <w:tc>
          <w:tcPr>
            <w:tcW w:w="1757" w:type="dxa"/>
            <w:tcBorders>
              <w:top w:val="single" w:sz="4" w:space="0" w:color="auto"/>
              <w:left w:val="single" w:sz="4" w:space="0" w:color="auto"/>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First Names</w:t>
            </w:r>
          </w:p>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(in full)</w:t>
            </w:r>
          </w:p>
        </w:tc>
        <w:tc>
          <w:tcPr>
            <w:tcW w:w="1757"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Surname</w:t>
            </w:r>
          </w:p>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(Block Letters)</w:t>
            </w:r>
          </w:p>
        </w:tc>
        <w:tc>
          <w:tcPr>
            <w:tcW w:w="1757"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First Names</w:t>
            </w:r>
          </w:p>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(in full)</w:t>
            </w:r>
          </w:p>
        </w:tc>
        <w:tc>
          <w:tcPr>
            <w:tcW w:w="1757"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Surname</w:t>
            </w:r>
          </w:p>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(Block Letters)</w:t>
            </w:r>
          </w:p>
        </w:tc>
        <w:tc>
          <w:tcPr>
            <w:tcW w:w="1757"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Address</w:t>
            </w:r>
          </w:p>
        </w:tc>
      </w:tr>
      <w:tr w:rsidR="00B11463" w:rsidRPr="00B11463" w:rsidTr="008E599F">
        <w:tc>
          <w:tcPr>
            <w:tcW w:w="1757" w:type="dxa"/>
            <w:tcBorders>
              <w:top w:val="single" w:sz="4" w:space="0" w:color="auto"/>
              <w:left w:val="single" w:sz="4" w:space="0" w:color="auto"/>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757"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757"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757"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757"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1757" w:type="dxa"/>
            <w:tcBorders>
              <w:top w:val="single" w:sz="4" w:space="0" w:color="auto"/>
              <w:left w:val="single" w:sz="4" w:space="0" w:color="auto"/>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757"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757"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757"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757"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1757" w:type="dxa"/>
            <w:tcBorders>
              <w:top w:val="single" w:sz="4" w:space="0" w:color="auto"/>
              <w:left w:val="single" w:sz="4" w:space="0" w:color="auto"/>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757"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757"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757"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1757"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3514" w:type="dxa"/>
            <w:gridSpan w:val="2"/>
            <w:tcBorders>
              <w:top w:val="single" w:sz="4" w:space="0" w:color="auto"/>
              <w:left w:val="single" w:sz="4" w:space="0" w:color="auto"/>
              <w:bottom w:val="single" w:sz="4" w:space="0" w:color="auto"/>
              <w:right w:val="single" w:sz="4" w:space="0" w:color="auto"/>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Transferor's Signature</w:t>
            </w:r>
          </w:p>
        </w:tc>
        <w:tc>
          <w:tcPr>
            <w:tcW w:w="5271" w:type="dxa"/>
            <w:gridSpan w:val="3"/>
            <w:tcBorders>
              <w:top w:val="single" w:sz="4" w:space="0" w:color="auto"/>
              <w:left w:val="nil"/>
              <w:bottom w:val="single" w:sz="4" w:space="0" w:color="auto"/>
              <w:right w:val="single" w:sz="4" w:space="0" w:color="auto"/>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Transferee's Signature</w:t>
            </w:r>
          </w:p>
        </w:tc>
      </w:tr>
    </w:tbl>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8787"/>
      </w:tblGrid>
      <w:tr w:rsidR="00B11463" w:rsidRPr="00B11463" w:rsidTr="008E599F">
        <w:tc>
          <w:tcPr>
            <w:tcW w:w="8787" w:type="dxa"/>
            <w:tcBorders>
              <w:top w:val="nil"/>
              <w:left w:val="nil"/>
              <w:bottom w:val="nil"/>
              <w:right w:val="nil"/>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Where the transfer has not been registered in the Lands Titles Registration Office, it is necessary to furnish a diagram of the land if a portion only of a lot or section is being transferred (use space below).</w:t>
            </w:r>
          </w:p>
        </w:tc>
      </w:tr>
    </w:tbl>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878"/>
        <w:gridCol w:w="878"/>
        <w:gridCol w:w="878"/>
        <w:gridCol w:w="878"/>
        <w:gridCol w:w="878"/>
        <w:gridCol w:w="878"/>
        <w:gridCol w:w="878"/>
        <w:gridCol w:w="878"/>
        <w:gridCol w:w="878"/>
        <w:gridCol w:w="878"/>
      </w:tblGrid>
      <w:tr w:rsidR="00B11463" w:rsidRPr="00B11463" w:rsidTr="008E599F">
        <w:tc>
          <w:tcPr>
            <w:tcW w:w="7902" w:type="dxa"/>
            <w:gridSpan w:val="9"/>
            <w:tcBorders>
              <w:top w:val="single" w:sz="4" w:space="0" w:color="auto"/>
              <w:left w:val="single" w:sz="4" w:space="0" w:color="auto"/>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right"/>
              <w:rPr>
                <w:rFonts w:eastAsiaTheme="minorEastAsia"/>
                <w:color w:val="000000"/>
                <w:sz w:val="20"/>
                <w:szCs w:val="20"/>
                <w:lang w:eastAsia="en-AU"/>
              </w:rPr>
            </w:pPr>
            <w:r w:rsidRPr="00B11463">
              <w:rPr>
                <w:rFonts w:eastAsiaTheme="minorEastAsia"/>
                <w:color w:val="000000"/>
                <w:sz w:val="20"/>
                <w:szCs w:val="20"/>
                <w:lang w:eastAsia="en-AU"/>
              </w:rPr>
              <w:t>*FOR OFFICE USE ONLY</w:t>
            </w:r>
          </w:p>
        </w:tc>
        <w:tc>
          <w:tcPr>
            <w:tcW w:w="878"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7902" w:type="dxa"/>
            <w:gridSpan w:val="9"/>
            <w:tcBorders>
              <w:top w:val="single" w:sz="4" w:space="0" w:color="auto"/>
              <w:left w:val="single" w:sz="4" w:space="0" w:color="auto"/>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Entered in F. B.</w:t>
            </w:r>
          </w:p>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r w:rsidRPr="00B11463">
              <w:rPr>
                <w:rFonts w:eastAsiaTheme="minorEastAsia"/>
                <w:color w:val="000000"/>
                <w:sz w:val="20"/>
                <w:szCs w:val="20"/>
                <w:lang w:eastAsia="en-AU"/>
              </w:rPr>
              <w:t>Checked</w:t>
            </w:r>
          </w:p>
        </w:tc>
        <w:tc>
          <w:tcPr>
            <w:tcW w:w="878"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7902" w:type="dxa"/>
            <w:gridSpan w:val="9"/>
            <w:tcBorders>
              <w:top w:val="single" w:sz="4" w:space="0" w:color="auto"/>
              <w:left w:val="single" w:sz="4" w:space="0" w:color="auto"/>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Valuation Number</w:t>
            </w:r>
          </w:p>
        </w:tc>
        <w:tc>
          <w:tcPr>
            <w:tcW w:w="878"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Code</w:t>
            </w:r>
          </w:p>
        </w:tc>
      </w:tr>
      <w:tr w:rsidR="00B11463" w:rsidRPr="00B11463" w:rsidTr="008E599F">
        <w:tc>
          <w:tcPr>
            <w:tcW w:w="1756" w:type="dxa"/>
            <w:gridSpan w:val="2"/>
            <w:tcBorders>
              <w:top w:val="single" w:sz="4" w:space="0" w:color="auto"/>
              <w:left w:val="single" w:sz="4" w:space="0" w:color="auto"/>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Group</w:t>
            </w:r>
          </w:p>
        </w:tc>
        <w:tc>
          <w:tcPr>
            <w:tcW w:w="4390" w:type="dxa"/>
            <w:gridSpan w:val="5"/>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Property</w:t>
            </w:r>
          </w:p>
        </w:tc>
        <w:tc>
          <w:tcPr>
            <w:tcW w:w="878"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Sub</w:t>
            </w:r>
          </w:p>
        </w:tc>
        <w:tc>
          <w:tcPr>
            <w:tcW w:w="878" w:type="dxa"/>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CD</w:t>
            </w:r>
          </w:p>
        </w:tc>
        <w:tc>
          <w:tcPr>
            <w:tcW w:w="878" w:type="dxa"/>
            <w:vMerge w:val="restart"/>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878" w:type="dxa"/>
            <w:tcBorders>
              <w:top w:val="single" w:sz="4" w:space="0" w:color="auto"/>
              <w:left w:val="single" w:sz="4" w:space="0" w:color="auto"/>
              <w:bottom w:val="nil"/>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single" w:sz="4" w:space="0" w:color="auto"/>
              <w:left w:val="nil"/>
              <w:bottom w:val="nil"/>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single" w:sz="4" w:space="0" w:color="auto"/>
              <w:left w:val="nil"/>
              <w:bottom w:val="nil"/>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single" w:sz="4" w:space="0" w:color="auto"/>
              <w:left w:val="nil"/>
              <w:bottom w:val="nil"/>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single" w:sz="4" w:space="0" w:color="auto"/>
              <w:left w:val="nil"/>
              <w:bottom w:val="nil"/>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single" w:sz="4" w:space="0" w:color="auto"/>
              <w:left w:val="nil"/>
              <w:bottom w:val="nil"/>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single" w:sz="4" w:space="0" w:color="auto"/>
              <w:left w:val="nil"/>
              <w:bottom w:val="nil"/>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single" w:sz="4" w:space="0" w:color="auto"/>
              <w:left w:val="nil"/>
              <w:bottom w:val="nil"/>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single" w:sz="4" w:space="0" w:color="auto"/>
              <w:left w:val="nil"/>
              <w:bottom w:val="nil"/>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vMerge/>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878" w:type="dxa"/>
            <w:tcBorders>
              <w:top w:val="nil"/>
              <w:left w:val="single" w:sz="4" w:space="0" w:color="auto"/>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nil"/>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nil"/>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nil"/>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nil"/>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nil"/>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nil"/>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nil"/>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nil"/>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vMerge/>
            <w:tcBorders>
              <w:top w:val="single" w:sz="4" w:space="0" w:color="auto"/>
              <w:left w:val="nil"/>
              <w:bottom w:val="single" w:sz="4" w:space="0" w:color="auto"/>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7902" w:type="dxa"/>
            <w:gridSpan w:val="9"/>
            <w:tcBorders>
              <w:top w:val="single" w:sz="4" w:space="0" w:color="auto"/>
              <w:left w:val="single" w:sz="4" w:space="0" w:color="auto"/>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Ownership Number</w:t>
            </w:r>
          </w:p>
        </w:tc>
        <w:tc>
          <w:tcPr>
            <w:tcW w:w="878"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p>
        </w:tc>
      </w:tr>
      <w:tr w:rsidR="00B11463" w:rsidRPr="00B11463" w:rsidTr="008E599F">
        <w:tc>
          <w:tcPr>
            <w:tcW w:w="5268" w:type="dxa"/>
            <w:gridSpan w:val="6"/>
            <w:tcBorders>
              <w:top w:val="single" w:sz="4" w:space="0" w:color="auto"/>
              <w:left w:val="single" w:sz="4" w:space="0" w:color="auto"/>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Main</w:t>
            </w:r>
          </w:p>
        </w:tc>
        <w:tc>
          <w:tcPr>
            <w:tcW w:w="1756" w:type="dxa"/>
            <w:gridSpan w:val="2"/>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Sub</w:t>
            </w:r>
          </w:p>
        </w:tc>
        <w:tc>
          <w:tcPr>
            <w:tcW w:w="878"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CD</w:t>
            </w:r>
          </w:p>
        </w:tc>
        <w:tc>
          <w:tcPr>
            <w:tcW w:w="878" w:type="dxa"/>
            <w:tcBorders>
              <w:top w:val="single" w:sz="4" w:space="0" w:color="auto"/>
              <w:left w:val="nil"/>
              <w:bottom w:val="single" w:sz="4" w:space="0" w:color="auto"/>
              <w:right w:val="single" w:sz="4" w:space="0" w:color="auto"/>
            </w:tcBorders>
          </w:tcPr>
          <w:p w:rsidR="00B11463" w:rsidRPr="00B11463" w:rsidRDefault="00B11463" w:rsidP="00B11463">
            <w:pPr>
              <w:keepNext/>
              <w:keepLines/>
              <w:autoSpaceDE w:val="0"/>
              <w:autoSpaceDN w:val="0"/>
              <w:adjustRightInd w:val="0"/>
              <w:spacing w:before="120" w:after="0" w:line="240" w:lineRule="auto"/>
              <w:jc w:val="center"/>
              <w:rPr>
                <w:rFonts w:eastAsiaTheme="minorEastAsia"/>
                <w:color w:val="000000"/>
                <w:sz w:val="20"/>
                <w:szCs w:val="20"/>
                <w:lang w:eastAsia="en-AU"/>
              </w:rPr>
            </w:pPr>
            <w:r w:rsidRPr="00B11463">
              <w:rPr>
                <w:rFonts w:eastAsiaTheme="minorEastAsia"/>
                <w:color w:val="000000"/>
                <w:sz w:val="20"/>
                <w:szCs w:val="20"/>
                <w:lang w:eastAsia="en-AU"/>
              </w:rPr>
              <w:t>Code</w:t>
            </w:r>
          </w:p>
        </w:tc>
      </w:tr>
      <w:tr w:rsidR="00B11463" w:rsidRPr="00B11463" w:rsidTr="008E599F">
        <w:tc>
          <w:tcPr>
            <w:tcW w:w="878" w:type="dxa"/>
            <w:tcBorders>
              <w:top w:val="single" w:sz="4" w:space="0" w:color="auto"/>
              <w:left w:val="single" w:sz="4" w:space="0" w:color="auto"/>
              <w:bottom w:val="nil"/>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single" w:sz="4" w:space="0" w:color="auto"/>
              <w:left w:val="nil"/>
              <w:bottom w:val="nil"/>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single" w:sz="4" w:space="0" w:color="auto"/>
              <w:left w:val="nil"/>
              <w:bottom w:val="nil"/>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single" w:sz="4" w:space="0" w:color="auto"/>
              <w:left w:val="nil"/>
              <w:bottom w:val="nil"/>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single" w:sz="4" w:space="0" w:color="auto"/>
              <w:left w:val="nil"/>
              <w:bottom w:val="nil"/>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single" w:sz="4" w:space="0" w:color="auto"/>
              <w:left w:val="nil"/>
              <w:bottom w:val="nil"/>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single" w:sz="4" w:space="0" w:color="auto"/>
              <w:left w:val="nil"/>
              <w:bottom w:val="nil"/>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single" w:sz="4" w:space="0" w:color="auto"/>
              <w:left w:val="nil"/>
              <w:bottom w:val="nil"/>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single" w:sz="4" w:space="0" w:color="auto"/>
              <w:left w:val="nil"/>
              <w:bottom w:val="nil"/>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single" w:sz="4" w:space="0" w:color="auto"/>
              <w:left w:val="nil"/>
              <w:bottom w:val="nil"/>
              <w:right w:val="single" w:sz="4" w:space="0" w:color="auto"/>
            </w:tcBorders>
            <w:vAlign w:val="center"/>
          </w:tcPr>
          <w:p w:rsidR="00B11463" w:rsidRPr="00B11463" w:rsidRDefault="00B11463" w:rsidP="00B11463">
            <w:pPr>
              <w:keepNext/>
              <w:keepLines/>
              <w:autoSpaceDE w:val="0"/>
              <w:autoSpaceDN w:val="0"/>
              <w:adjustRightInd w:val="0"/>
              <w:spacing w:before="120" w:after="0" w:line="240" w:lineRule="auto"/>
              <w:jc w:val="left"/>
              <w:rPr>
                <w:rFonts w:eastAsiaTheme="minorEastAsia"/>
                <w:color w:val="000000"/>
                <w:sz w:val="20"/>
                <w:szCs w:val="20"/>
                <w:lang w:eastAsia="en-AU"/>
              </w:rPr>
            </w:pPr>
          </w:p>
        </w:tc>
      </w:tr>
      <w:tr w:rsidR="00B11463" w:rsidRPr="00B11463" w:rsidTr="008E599F">
        <w:tc>
          <w:tcPr>
            <w:tcW w:w="878" w:type="dxa"/>
            <w:tcBorders>
              <w:top w:val="nil"/>
              <w:left w:val="single" w:sz="4" w:space="0" w:color="auto"/>
              <w:bottom w:val="single" w:sz="4" w:space="0" w:color="auto"/>
              <w:right w:val="single" w:sz="4" w:space="0" w:color="auto"/>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nil"/>
              <w:left w:val="nil"/>
              <w:bottom w:val="single" w:sz="4" w:space="0" w:color="auto"/>
              <w:right w:val="single" w:sz="4" w:space="0" w:color="auto"/>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nil"/>
              <w:left w:val="nil"/>
              <w:bottom w:val="single" w:sz="4" w:space="0" w:color="auto"/>
              <w:right w:val="single" w:sz="4" w:space="0" w:color="auto"/>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nil"/>
              <w:left w:val="nil"/>
              <w:bottom w:val="single" w:sz="4" w:space="0" w:color="auto"/>
              <w:right w:val="single" w:sz="4" w:space="0" w:color="auto"/>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nil"/>
              <w:left w:val="nil"/>
              <w:bottom w:val="single" w:sz="4" w:space="0" w:color="auto"/>
              <w:right w:val="single" w:sz="4" w:space="0" w:color="auto"/>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nil"/>
              <w:left w:val="nil"/>
              <w:bottom w:val="single" w:sz="4" w:space="0" w:color="auto"/>
              <w:right w:val="single" w:sz="4" w:space="0" w:color="auto"/>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nil"/>
              <w:left w:val="nil"/>
              <w:bottom w:val="single" w:sz="4" w:space="0" w:color="auto"/>
              <w:right w:val="single" w:sz="4" w:space="0" w:color="auto"/>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nil"/>
              <w:left w:val="nil"/>
              <w:bottom w:val="single" w:sz="4" w:space="0" w:color="auto"/>
              <w:right w:val="single" w:sz="4" w:space="0" w:color="auto"/>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nil"/>
              <w:left w:val="nil"/>
              <w:bottom w:val="single" w:sz="4" w:space="0" w:color="auto"/>
              <w:right w:val="single" w:sz="4" w:space="0" w:color="auto"/>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p>
        </w:tc>
        <w:tc>
          <w:tcPr>
            <w:tcW w:w="878" w:type="dxa"/>
            <w:tcBorders>
              <w:top w:val="nil"/>
              <w:left w:val="nil"/>
              <w:bottom w:val="single" w:sz="4" w:space="0" w:color="auto"/>
              <w:right w:val="single" w:sz="4" w:space="0" w:color="auto"/>
            </w:tcBorders>
            <w:vAlign w:val="center"/>
          </w:tcPr>
          <w:p w:rsidR="00B11463" w:rsidRPr="00B11463" w:rsidRDefault="00B11463" w:rsidP="00B11463">
            <w:pPr>
              <w:keepLines/>
              <w:autoSpaceDE w:val="0"/>
              <w:autoSpaceDN w:val="0"/>
              <w:adjustRightInd w:val="0"/>
              <w:spacing w:before="120" w:after="0" w:line="240" w:lineRule="auto"/>
              <w:jc w:val="left"/>
              <w:rPr>
                <w:rFonts w:eastAsiaTheme="minorEastAsia"/>
                <w:color w:val="000000"/>
                <w:sz w:val="20"/>
                <w:szCs w:val="20"/>
                <w:lang w:eastAsia="en-AU"/>
              </w:rPr>
            </w:pPr>
          </w:p>
        </w:tc>
      </w:tr>
    </w:tbl>
    <w:p w:rsidR="00B11463" w:rsidRPr="00B11463" w:rsidRDefault="00B11463" w:rsidP="00417599">
      <w:pPr>
        <w:keepNext/>
        <w:keepLines/>
        <w:autoSpaceDE w:val="0"/>
        <w:autoSpaceDN w:val="0"/>
        <w:adjustRightInd w:val="0"/>
        <w:spacing w:before="240" w:after="0" w:line="240" w:lineRule="auto"/>
        <w:ind w:left="567" w:hanging="567"/>
        <w:jc w:val="left"/>
        <w:rPr>
          <w:rFonts w:eastAsiaTheme="minorEastAsia"/>
          <w:b/>
          <w:bCs/>
          <w:color w:val="000000"/>
          <w:sz w:val="32"/>
          <w:szCs w:val="32"/>
          <w:lang w:eastAsia="en-AU"/>
        </w:rPr>
      </w:pPr>
      <w:bookmarkStart w:id="38" w:name="Elkera_Print_TOC13"/>
      <w:bookmarkStart w:id="39" w:name="Elkera_Print_BK13"/>
      <w:r w:rsidRPr="00B11463">
        <w:rPr>
          <w:rFonts w:eastAsiaTheme="minorEastAsia"/>
          <w:b/>
          <w:bCs/>
          <w:color w:val="000000"/>
          <w:sz w:val="32"/>
          <w:szCs w:val="32"/>
          <w:lang w:eastAsia="en-AU"/>
        </w:rPr>
        <w:t>Schedule 2—Revocation and transitional provisions</w:t>
      </w:r>
      <w:bookmarkEnd w:id="38"/>
      <w:bookmarkEnd w:id="39"/>
    </w:p>
    <w:p w:rsidR="00B11463" w:rsidRPr="00B11463" w:rsidRDefault="00B11463" w:rsidP="00B11463">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B11463">
        <w:rPr>
          <w:rFonts w:eastAsiaTheme="minorEastAsia"/>
          <w:b/>
          <w:bCs/>
          <w:color w:val="000000"/>
          <w:sz w:val="32"/>
          <w:szCs w:val="32"/>
          <w:lang w:eastAsia="en-AU"/>
        </w:rPr>
        <w:t>Part 1—Preliminary</w:t>
      </w:r>
    </w:p>
    <w:p w:rsidR="00B11463" w:rsidRPr="00B11463" w:rsidRDefault="00B11463" w:rsidP="00B11463">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40" w:name="Elkera_Print_TOC15"/>
      <w:bookmarkStart w:id="41" w:name="Elkera_Print_BK15"/>
      <w:r w:rsidRPr="00B11463">
        <w:rPr>
          <w:rFonts w:eastAsiaTheme="minorEastAsia"/>
          <w:b/>
          <w:bCs/>
          <w:color w:val="000000"/>
          <w:sz w:val="26"/>
          <w:szCs w:val="26"/>
          <w:lang w:eastAsia="en-AU"/>
        </w:rPr>
        <w:t>1—Interpretation</w:t>
      </w:r>
      <w:bookmarkEnd w:id="40"/>
      <w:bookmarkEnd w:id="41"/>
    </w:p>
    <w:p w:rsidR="00B11463" w:rsidRPr="00B11463" w:rsidRDefault="00B11463" w:rsidP="00B11463">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B11463">
        <w:rPr>
          <w:rFonts w:eastAsiaTheme="minorEastAsia"/>
          <w:color w:val="000000"/>
          <w:sz w:val="23"/>
          <w:szCs w:val="23"/>
          <w:lang w:eastAsia="en-AU"/>
        </w:rPr>
        <w:t>In this Schedule—</w:t>
      </w:r>
    </w:p>
    <w:p w:rsidR="00B11463" w:rsidRPr="00B11463" w:rsidRDefault="00B11463" w:rsidP="00B11463">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B11463">
        <w:rPr>
          <w:rFonts w:eastAsiaTheme="minorEastAsia"/>
          <w:b/>
          <w:bCs/>
          <w:i/>
          <w:iCs/>
          <w:color w:val="000000"/>
          <w:sz w:val="23"/>
          <w:szCs w:val="23"/>
          <w:lang w:eastAsia="en-AU"/>
        </w:rPr>
        <w:t>the revoked regulations</w:t>
      </w:r>
      <w:r w:rsidRPr="00B11463">
        <w:rPr>
          <w:rFonts w:eastAsiaTheme="minorEastAsia"/>
          <w:color w:val="000000"/>
          <w:sz w:val="23"/>
          <w:szCs w:val="23"/>
          <w:lang w:eastAsia="en-AU"/>
        </w:rPr>
        <w:t xml:space="preserve"> means the </w:t>
      </w:r>
      <w:hyperlink r:id="rId25" w:history="1">
        <w:r w:rsidRPr="00B11463">
          <w:rPr>
            <w:rFonts w:eastAsiaTheme="minorEastAsia"/>
            <w:i/>
            <w:iCs/>
            <w:color w:val="000000"/>
            <w:sz w:val="23"/>
            <w:szCs w:val="23"/>
            <w:lang w:eastAsia="en-AU"/>
          </w:rPr>
          <w:t>Valuation of Land Regulations 2005</w:t>
        </w:r>
      </w:hyperlink>
      <w:r w:rsidRPr="00B11463">
        <w:rPr>
          <w:rFonts w:eastAsiaTheme="minorEastAsia"/>
          <w:color w:val="000000"/>
          <w:sz w:val="23"/>
          <w:szCs w:val="23"/>
          <w:lang w:eastAsia="en-AU"/>
        </w:rPr>
        <w:t>.</w:t>
      </w:r>
    </w:p>
    <w:p w:rsidR="00B11463" w:rsidRPr="00B11463" w:rsidRDefault="00B11463" w:rsidP="00B11463">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B11463">
        <w:rPr>
          <w:rFonts w:eastAsiaTheme="minorEastAsia"/>
          <w:b/>
          <w:bCs/>
          <w:color w:val="000000"/>
          <w:sz w:val="32"/>
          <w:szCs w:val="32"/>
          <w:lang w:eastAsia="en-AU"/>
        </w:rPr>
        <w:t xml:space="preserve">Part 2—Revocation of </w:t>
      </w:r>
      <w:r w:rsidRPr="00B11463">
        <w:rPr>
          <w:rFonts w:eastAsiaTheme="minorEastAsia"/>
          <w:b/>
          <w:bCs/>
          <w:i/>
          <w:iCs/>
          <w:color w:val="000000"/>
          <w:sz w:val="32"/>
          <w:szCs w:val="32"/>
          <w:lang w:eastAsia="en-AU"/>
        </w:rPr>
        <w:t>Valuation of Land Regulations 2005</w:t>
      </w:r>
    </w:p>
    <w:p w:rsidR="00B11463" w:rsidRPr="00B11463" w:rsidRDefault="00B11463" w:rsidP="00B11463">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42" w:name="Elkera_Print_TOC17"/>
      <w:bookmarkStart w:id="43" w:name="Elkera_Print_BK17"/>
      <w:r w:rsidRPr="00B11463">
        <w:rPr>
          <w:rFonts w:eastAsiaTheme="minorEastAsia"/>
          <w:b/>
          <w:bCs/>
          <w:color w:val="000000"/>
          <w:sz w:val="26"/>
          <w:szCs w:val="26"/>
          <w:lang w:eastAsia="en-AU"/>
        </w:rPr>
        <w:t xml:space="preserve">2—Revocation of </w:t>
      </w:r>
      <w:r w:rsidRPr="00B11463">
        <w:rPr>
          <w:rFonts w:eastAsiaTheme="minorEastAsia"/>
          <w:b/>
          <w:bCs/>
          <w:i/>
          <w:iCs/>
          <w:color w:val="000000"/>
          <w:sz w:val="26"/>
          <w:szCs w:val="26"/>
          <w:lang w:eastAsia="en-AU"/>
        </w:rPr>
        <w:t>Valuation of Land Regulations 2005</w:t>
      </w:r>
      <w:bookmarkEnd w:id="42"/>
      <w:bookmarkEnd w:id="43"/>
    </w:p>
    <w:p w:rsidR="00B11463" w:rsidRPr="00B11463" w:rsidRDefault="00B11463" w:rsidP="00B11463">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B11463">
        <w:rPr>
          <w:rFonts w:eastAsiaTheme="minorEastAsia"/>
          <w:color w:val="000000"/>
          <w:sz w:val="23"/>
          <w:szCs w:val="23"/>
          <w:lang w:eastAsia="en-AU"/>
        </w:rPr>
        <w:t xml:space="preserve">The </w:t>
      </w:r>
      <w:hyperlink r:id="rId26" w:history="1">
        <w:r w:rsidRPr="00B11463">
          <w:rPr>
            <w:rFonts w:eastAsiaTheme="minorEastAsia"/>
            <w:i/>
            <w:iCs/>
            <w:color w:val="000000"/>
            <w:sz w:val="23"/>
            <w:szCs w:val="23"/>
            <w:lang w:eastAsia="en-AU"/>
          </w:rPr>
          <w:t>Valuation of Land Regulations 2005</w:t>
        </w:r>
      </w:hyperlink>
      <w:r w:rsidRPr="00B11463">
        <w:rPr>
          <w:rFonts w:eastAsiaTheme="minorEastAsia"/>
          <w:color w:val="000000"/>
          <w:sz w:val="23"/>
          <w:szCs w:val="23"/>
          <w:lang w:eastAsia="en-AU"/>
        </w:rPr>
        <w:t xml:space="preserve"> are revoked.</w:t>
      </w:r>
    </w:p>
    <w:p w:rsidR="00B11463" w:rsidRPr="00B11463" w:rsidRDefault="00B11463" w:rsidP="00B11463">
      <w:pPr>
        <w:keepNext/>
        <w:keepLines/>
        <w:autoSpaceDE w:val="0"/>
        <w:autoSpaceDN w:val="0"/>
        <w:adjustRightInd w:val="0"/>
        <w:spacing w:before="80" w:after="0" w:line="240" w:lineRule="auto"/>
        <w:ind w:left="567" w:hanging="567"/>
        <w:jc w:val="left"/>
        <w:rPr>
          <w:rFonts w:eastAsiaTheme="minorEastAsia"/>
          <w:b/>
          <w:bCs/>
          <w:color w:val="000000"/>
          <w:sz w:val="32"/>
          <w:szCs w:val="32"/>
          <w:lang w:eastAsia="en-AU"/>
        </w:rPr>
      </w:pPr>
      <w:r w:rsidRPr="00B11463">
        <w:rPr>
          <w:rFonts w:eastAsiaTheme="minorEastAsia"/>
          <w:b/>
          <w:bCs/>
          <w:color w:val="000000"/>
          <w:sz w:val="32"/>
          <w:szCs w:val="32"/>
          <w:lang w:eastAsia="en-AU"/>
        </w:rPr>
        <w:t>Part 3—Transitional provisions</w:t>
      </w:r>
    </w:p>
    <w:p w:rsidR="00B11463" w:rsidRPr="00B11463" w:rsidRDefault="00B11463" w:rsidP="00B11463">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44" w:name="Elkera_Print_TOC19"/>
      <w:bookmarkStart w:id="45" w:name="Elkera_Print_BK19"/>
      <w:r w:rsidRPr="00B11463">
        <w:rPr>
          <w:rFonts w:eastAsiaTheme="minorEastAsia"/>
          <w:b/>
          <w:bCs/>
          <w:color w:val="000000"/>
          <w:sz w:val="26"/>
          <w:szCs w:val="26"/>
          <w:lang w:eastAsia="en-AU"/>
        </w:rPr>
        <w:t>3—Applications, nominations or notices made or given under the revoked regulations</w:t>
      </w:r>
      <w:bookmarkEnd w:id="44"/>
      <w:bookmarkEnd w:id="45"/>
    </w:p>
    <w:p w:rsidR="00B11463" w:rsidRPr="00B11463" w:rsidRDefault="00B11463" w:rsidP="00B11463">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B11463">
        <w:rPr>
          <w:rFonts w:eastAsiaTheme="minorEastAsia"/>
          <w:color w:val="000000"/>
          <w:sz w:val="23"/>
          <w:szCs w:val="23"/>
          <w:lang w:eastAsia="en-AU"/>
        </w:rPr>
        <w:t>Where a provision of these regulations substantially corresponds to a provision of the revoked regulations, an application, nomination or notice—</w:t>
      </w:r>
    </w:p>
    <w:p w:rsidR="00B11463" w:rsidRPr="00B11463" w:rsidRDefault="00B11463" w:rsidP="00B11463">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B11463">
        <w:rPr>
          <w:rFonts w:eastAsiaTheme="minorEastAsia"/>
          <w:color w:val="000000"/>
          <w:sz w:val="23"/>
          <w:szCs w:val="23"/>
          <w:lang w:eastAsia="en-AU"/>
        </w:rPr>
        <w:tab/>
        <w:t>(a)</w:t>
      </w:r>
      <w:r w:rsidRPr="00B11463">
        <w:rPr>
          <w:rFonts w:eastAsiaTheme="minorEastAsia"/>
          <w:color w:val="000000"/>
          <w:sz w:val="23"/>
          <w:szCs w:val="23"/>
          <w:lang w:eastAsia="en-AU"/>
        </w:rPr>
        <w:tab/>
        <w:t>made or given before the commencement of these regulations in accordance with the requirements of that provision of the revoked regulations; and</w:t>
      </w:r>
    </w:p>
    <w:p w:rsidR="00B11463" w:rsidRPr="00B11463" w:rsidRDefault="00B11463" w:rsidP="00B11463">
      <w:pPr>
        <w:keepLines/>
        <w:tabs>
          <w:tab w:val="center" w:pos="1191"/>
          <w:tab w:val="left" w:pos="1588"/>
        </w:tabs>
        <w:autoSpaceDE w:val="0"/>
        <w:autoSpaceDN w:val="0"/>
        <w:adjustRightInd w:val="0"/>
        <w:spacing w:before="120" w:after="0" w:line="240" w:lineRule="auto"/>
        <w:ind w:left="1588" w:hanging="794"/>
        <w:jc w:val="left"/>
        <w:rPr>
          <w:rFonts w:eastAsiaTheme="minorEastAsia"/>
          <w:color w:val="000000"/>
          <w:sz w:val="23"/>
          <w:szCs w:val="23"/>
          <w:lang w:eastAsia="en-AU"/>
        </w:rPr>
      </w:pPr>
      <w:r w:rsidRPr="00B11463">
        <w:rPr>
          <w:rFonts w:eastAsiaTheme="minorEastAsia"/>
          <w:color w:val="000000"/>
          <w:sz w:val="23"/>
          <w:szCs w:val="23"/>
          <w:lang w:eastAsia="en-AU"/>
        </w:rPr>
        <w:tab/>
        <w:t>(b)</w:t>
      </w:r>
      <w:r w:rsidRPr="00B11463">
        <w:rPr>
          <w:rFonts w:eastAsiaTheme="minorEastAsia"/>
          <w:color w:val="000000"/>
          <w:sz w:val="23"/>
          <w:szCs w:val="23"/>
          <w:lang w:eastAsia="en-AU"/>
        </w:rPr>
        <w:tab/>
        <w:t>the effect of which has not been exhausted at the time of commencement of these regulations,</w:t>
      </w:r>
    </w:p>
    <w:p w:rsidR="00B11463" w:rsidRPr="00B11463" w:rsidRDefault="00B11463" w:rsidP="00B11463">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B11463">
        <w:rPr>
          <w:rFonts w:eastAsiaTheme="minorEastAsia"/>
          <w:color w:val="000000"/>
          <w:sz w:val="23"/>
          <w:szCs w:val="23"/>
          <w:lang w:eastAsia="en-AU"/>
        </w:rPr>
        <w:t>will be taken to have been made or given in accordance with the requirements of the corresponding provision of these regulations.</w:t>
      </w:r>
    </w:p>
    <w:p w:rsidR="00B11463" w:rsidRPr="00B11463" w:rsidRDefault="00B11463" w:rsidP="00B11463">
      <w:pPr>
        <w:keepNext/>
        <w:keepLines/>
        <w:autoSpaceDE w:val="0"/>
        <w:autoSpaceDN w:val="0"/>
        <w:adjustRightInd w:val="0"/>
        <w:spacing w:before="120" w:after="0" w:line="240" w:lineRule="auto"/>
        <w:ind w:left="794" w:hanging="794"/>
        <w:jc w:val="left"/>
        <w:rPr>
          <w:rFonts w:eastAsiaTheme="minorEastAsia"/>
          <w:b/>
          <w:bCs/>
          <w:color w:val="000000"/>
          <w:sz w:val="20"/>
          <w:szCs w:val="20"/>
          <w:lang w:eastAsia="en-AU"/>
        </w:rPr>
      </w:pPr>
      <w:r w:rsidRPr="00B11463">
        <w:rPr>
          <w:rFonts w:eastAsiaTheme="minorEastAsia"/>
          <w:b/>
          <w:bCs/>
          <w:color w:val="000000"/>
          <w:sz w:val="20"/>
          <w:szCs w:val="20"/>
          <w:lang w:eastAsia="en-AU"/>
        </w:rPr>
        <w:t>Note—</w:t>
      </w:r>
    </w:p>
    <w:p w:rsidR="00417599" w:rsidRDefault="00B11463" w:rsidP="00417599">
      <w:pPr>
        <w:keepLines/>
        <w:autoSpaceDE w:val="0"/>
        <w:autoSpaceDN w:val="0"/>
        <w:adjustRightInd w:val="0"/>
        <w:spacing w:before="120" w:after="0" w:line="240" w:lineRule="auto"/>
        <w:ind w:left="794"/>
        <w:jc w:val="left"/>
        <w:rPr>
          <w:rFonts w:eastAsiaTheme="minorEastAsia"/>
          <w:color w:val="000000"/>
          <w:sz w:val="20"/>
          <w:szCs w:val="20"/>
          <w:lang w:eastAsia="en-AU"/>
        </w:rPr>
      </w:pPr>
      <w:r w:rsidRPr="00B11463">
        <w:rPr>
          <w:rFonts w:eastAsiaTheme="minorEastAsia"/>
          <w:color w:val="000000"/>
          <w:sz w:val="20"/>
          <w:szCs w:val="20"/>
          <w:lang w:eastAsia="en-AU"/>
        </w:rPr>
        <w:t xml:space="preserve">As required by section 10AA(2) of the </w:t>
      </w:r>
      <w:hyperlink r:id="rId27" w:history="1">
        <w:r w:rsidRPr="00B11463">
          <w:rPr>
            <w:rFonts w:eastAsiaTheme="minorEastAsia"/>
            <w:i/>
            <w:iCs/>
            <w:color w:val="000000"/>
            <w:sz w:val="20"/>
            <w:szCs w:val="20"/>
            <w:lang w:eastAsia="en-AU"/>
          </w:rPr>
          <w:t>Subordinate Legislation Act 1978</w:t>
        </w:r>
      </w:hyperlink>
      <w:r w:rsidRPr="00B11463">
        <w:rPr>
          <w:rFonts w:eastAsiaTheme="minorEastAsia"/>
          <w:color w:val="000000"/>
          <w:sz w:val="20"/>
          <w:szCs w:val="20"/>
          <w:lang w:eastAsia="en-AU"/>
        </w:rPr>
        <w:t>, the Minister has certified that, in the Minister's opinion, it is necessary or appropriate that these regulations come into operation as set out in these regulations.</w:t>
      </w:r>
    </w:p>
    <w:p w:rsidR="00417599" w:rsidRDefault="00B11463" w:rsidP="00417599">
      <w:pPr>
        <w:keepNext/>
        <w:keepLines/>
        <w:autoSpaceDE w:val="0"/>
        <w:autoSpaceDN w:val="0"/>
        <w:adjustRightInd w:val="0"/>
        <w:spacing w:before="120" w:after="0" w:line="240" w:lineRule="auto"/>
        <w:jc w:val="left"/>
        <w:rPr>
          <w:rFonts w:eastAsiaTheme="minorEastAsia"/>
          <w:color w:val="000000"/>
          <w:sz w:val="23"/>
          <w:szCs w:val="23"/>
          <w:lang w:eastAsia="en-AU"/>
        </w:rPr>
      </w:pPr>
      <w:r w:rsidRPr="00B11463">
        <w:rPr>
          <w:rFonts w:eastAsiaTheme="minorEastAsia"/>
          <w:b/>
          <w:bCs/>
          <w:color w:val="000000"/>
          <w:sz w:val="26"/>
          <w:szCs w:val="26"/>
          <w:lang w:eastAsia="en-AU"/>
        </w:rPr>
        <w:t>Made by the Governor</w:t>
      </w:r>
      <w:r w:rsidR="00417599" w:rsidRPr="00417599">
        <w:rPr>
          <w:rFonts w:eastAsiaTheme="minorEastAsia"/>
          <w:color w:val="000000"/>
          <w:sz w:val="23"/>
          <w:szCs w:val="23"/>
          <w:lang w:eastAsia="en-AU"/>
        </w:rPr>
        <w:t xml:space="preserve"> </w:t>
      </w:r>
    </w:p>
    <w:p w:rsidR="00417599" w:rsidRPr="00B11463" w:rsidRDefault="00417599" w:rsidP="00417599">
      <w:pPr>
        <w:keepNext/>
        <w:keepLines/>
        <w:autoSpaceDE w:val="0"/>
        <w:autoSpaceDN w:val="0"/>
        <w:adjustRightInd w:val="0"/>
        <w:spacing w:before="120" w:after="0" w:line="240" w:lineRule="auto"/>
        <w:jc w:val="left"/>
        <w:rPr>
          <w:rFonts w:eastAsiaTheme="minorEastAsia"/>
          <w:color w:val="000000"/>
          <w:sz w:val="23"/>
          <w:szCs w:val="23"/>
          <w:lang w:eastAsia="en-AU"/>
        </w:rPr>
      </w:pPr>
      <w:r w:rsidRPr="00B11463">
        <w:rPr>
          <w:rFonts w:eastAsiaTheme="minorEastAsia"/>
          <w:color w:val="000000"/>
          <w:sz w:val="23"/>
          <w:szCs w:val="23"/>
          <w:lang w:eastAsia="en-AU"/>
        </w:rPr>
        <w:t>with the advice and consent of the Executive Council</w:t>
      </w:r>
    </w:p>
    <w:p w:rsidR="00417599" w:rsidRPr="00B11463" w:rsidRDefault="00417599" w:rsidP="00417599">
      <w:pPr>
        <w:keepNext/>
        <w:keepLines/>
        <w:autoSpaceDE w:val="0"/>
        <w:autoSpaceDN w:val="0"/>
        <w:adjustRightInd w:val="0"/>
        <w:spacing w:after="0" w:line="240" w:lineRule="auto"/>
        <w:jc w:val="left"/>
        <w:rPr>
          <w:rFonts w:eastAsiaTheme="minorEastAsia"/>
          <w:color w:val="000000"/>
          <w:sz w:val="23"/>
          <w:szCs w:val="23"/>
          <w:lang w:eastAsia="en-AU"/>
        </w:rPr>
      </w:pPr>
      <w:r w:rsidRPr="00B11463">
        <w:rPr>
          <w:rFonts w:eastAsiaTheme="minorEastAsia"/>
          <w:color w:val="000000"/>
          <w:sz w:val="23"/>
          <w:szCs w:val="23"/>
          <w:lang w:eastAsia="en-AU"/>
        </w:rPr>
        <w:t>on 23 July 2020</w:t>
      </w:r>
    </w:p>
    <w:p w:rsidR="00417599" w:rsidRDefault="00417599" w:rsidP="00417599">
      <w:pPr>
        <w:keepNext/>
        <w:keepLines/>
        <w:autoSpaceDE w:val="0"/>
        <w:autoSpaceDN w:val="0"/>
        <w:adjustRightInd w:val="0"/>
        <w:spacing w:before="120" w:after="0" w:line="240" w:lineRule="auto"/>
        <w:jc w:val="left"/>
        <w:rPr>
          <w:rFonts w:eastAsiaTheme="minorEastAsia"/>
          <w:color w:val="000000"/>
          <w:sz w:val="23"/>
          <w:szCs w:val="23"/>
          <w:lang w:eastAsia="en-AU"/>
        </w:rPr>
      </w:pPr>
      <w:r w:rsidRPr="00B11463">
        <w:rPr>
          <w:rFonts w:eastAsiaTheme="minorEastAsia"/>
          <w:color w:val="000000"/>
          <w:sz w:val="23"/>
          <w:szCs w:val="23"/>
          <w:lang w:eastAsia="en-AU"/>
        </w:rPr>
        <w:t>No 237 of 2020</w:t>
      </w:r>
    </w:p>
    <w:p w:rsidR="009C482F" w:rsidRDefault="009C482F" w:rsidP="00B11463">
      <w:pPr>
        <w:pBdr>
          <w:top w:val="single" w:sz="4" w:space="1" w:color="auto"/>
        </w:pBdr>
        <w:autoSpaceDE w:val="0"/>
        <w:autoSpaceDN w:val="0"/>
        <w:adjustRightInd w:val="0"/>
        <w:spacing w:before="100" w:after="0" w:line="14" w:lineRule="exact"/>
        <w:jc w:val="center"/>
        <w:rPr>
          <w:rFonts w:eastAsiaTheme="minorEastAsia"/>
          <w:color w:val="000000"/>
          <w:sz w:val="23"/>
          <w:szCs w:val="23"/>
          <w:lang w:eastAsia="en-AU"/>
        </w:rPr>
      </w:pPr>
    </w:p>
    <w:p w:rsidR="009C482F" w:rsidRDefault="009C482F" w:rsidP="009C482F">
      <w:pPr>
        <w:keepLines/>
        <w:autoSpaceDE w:val="0"/>
        <w:autoSpaceDN w:val="0"/>
        <w:adjustRightInd w:val="0"/>
        <w:spacing w:after="0" w:line="20" w:lineRule="exact"/>
        <w:rPr>
          <w:color w:val="000000"/>
          <w:szCs w:val="17"/>
        </w:rPr>
      </w:pPr>
    </w:p>
    <w:p w:rsidR="009C482F" w:rsidRDefault="009C482F" w:rsidP="009C482F">
      <w:pPr>
        <w:keepLines/>
        <w:autoSpaceDE w:val="0"/>
        <w:autoSpaceDN w:val="0"/>
        <w:adjustRightInd w:val="0"/>
        <w:spacing w:after="0" w:line="20" w:lineRule="exact"/>
        <w:rPr>
          <w:color w:val="000000"/>
          <w:szCs w:val="17"/>
        </w:rPr>
      </w:pPr>
    </w:p>
    <w:p w:rsidR="009C482F" w:rsidRDefault="009C482F" w:rsidP="009C482F">
      <w:pPr>
        <w:keepLines/>
        <w:autoSpaceDE w:val="0"/>
        <w:autoSpaceDN w:val="0"/>
        <w:adjustRightInd w:val="0"/>
        <w:spacing w:after="0" w:line="20" w:lineRule="exact"/>
        <w:rPr>
          <w:color w:val="000000"/>
          <w:szCs w:val="17"/>
        </w:rPr>
      </w:pPr>
    </w:p>
    <w:p w:rsidR="009C482F" w:rsidRPr="009C482F" w:rsidRDefault="009C482F" w:rsidP="009C482F">
      <w:pPr>
        <w:keepLines/>
        <w:autoSpaceDE w:val="0"/>
        <w:autoSpaceDN w:val="0"/>
        <w:adjustRightInd w:val="0"/>
        <w:spacing w:after="0" w:line="20" w:lineRule="exact"/>
        <w:rPr>
          <w:color w:val="000000"/>
          <w:szCs w:val="17"/>
        </w:rPr>
      </w:pPr>
    </w:p>
    <w:p w:rsidR="0070372E" w:rsidRDefault="0070372E" w:rsidP="00610049">
      <w:pPr>
        <w:keepLines/>
        <w:autoSpaceDE w:val="0"/>
        <w:autoSpaceDN w:val="0"/>
        <w:adjustRightInd w:val="0"/>
        <w:spacing w:before="240" w:after="0" w:line="240" w:lineRule="auto"/>
        <w:jc w:val="left"/>
        <w:rPr>
          <w:color w:val="000000"/>
          <w:sz w:val="28"/>
          <w:szCs w:val="28"/>
        </w:rPr>
      </w:pPr>
      <w:r>
        <w:rPr>
          <w:color w:val="000000"/>
          <w:sz w:val="28"/>
          <w:szCs w:val="28"/>
        </w:rPr>
        <w:t>South Australia</w:t>
      </w:r>
    </w:p>
    <w:p w:rsidR="0070372E" w:rsidRDefault="0070372E" w:rsidP="0063519B">
      <w:pPr>
        <w:pStyle w:val="Heading3"/>
      </w:pPr>
      <w:bookmarkStart w:id="46" w:name="_Toc46398089"/>
      <w:r>
        <w:t>Survey Regulations 2020</w:t>
      </w:r>
      <w:bookmarkEnd w:id="46"/>
    </w:p>
    <w:p w:rsidR="0070372E" w:rsidRDefault="0070372E" w:rsidP="00610049">
      <w:pPr>
        <w:keepLines/>
        <w:autoSpaceDE w:val="0"/>
        <w:autoSpaceDN w:val="0"/>
        <w:adjustRightInd w:val="0"/>
        <w:spacing w:before="80" w:after="240" w:line="240" w:lineRule="auto"/>
        <w:jc w:val="left"/>
        <w:rPr>
          <w:color w:val="000000"/>
          <w:sz w:val="24"/>
          <w:szCs w:val="24"/>
        </w:rPr>
      </w:pPr>
      <w:r>
        <w:rPr>
          <w:color w:val="000000"/>
          <w:sz w:val="24"/>
          <w:szCs w:val="24"/>
        </w:rPr>
        <w:t xml:space="preserve">under the </w:t>
      </w:r>
      <w:r>
        <w:rPr>
          <w:i/>
          <w:iCs/>
          <w:color w:val="000000"/>
          <w:sz w:val="24"/>
          <w:szCs w:val="24"/>
        </w:rPr>
        <w:t>Survey Act 1992</w:t>
      </w:r>
    </w:p>
    <w:p w:rsidR="0070372E" w:rsidRDefault="0070372E" w:rsidP="00610049">
      <w:pPr>
        <w:keepLines/>
        <w:pBdr>
          <w:top w:val="single" w:sz="4" w:space="0" w:color="auto"/>
        </w:pBdr>
        <w:autoSpaceDE w:val="0"/>
        <w:autoSpaceDN w:val="0"/>
        <w:adjustRightInd w:val="0"/>
        <w:spacing w:before="120" w:after="120" w:line="240" w:lineRule="auto"/>
        <w:jc w:val="left"/>
        <w:rPr>
          <w:color w:val="000000"/>
          <w:sz w:val="2"/>
          <w:szCs w:val="2"/>
        </w:rPr>
      </w:pPr>
    </w:p>
    <w:p w:rsidR="0070372E" w:rsidRDefault="0070372E" w:rsidP="00610049">
      <w:pPr>
        <w:pStyle w:val="contentshead"/>
      </w:pPr>
      <w:r>
        <w:t>Contents</w:t>
      </w:r>
    </w:p>
    <w:p w:rsidR="0070372E" w:rsidRDefault="00123FDA" w:rsidP="00610049">
      <w:pPr>
        <w:keepNext/>
        <w:keepLines/>
        <w:autoSpaceDE w:val="0"/>
        <w:autoSpaceDN w:val="0"/>
        <w:adjustRightInd w:val="0"/>
        <w:spacing w:before="120" w:after="120" w:line="240" w:lineRule="auto"/>
        <w:jc w:val="left"/>
        <w:rPr>
          <w:color w:val="000000"/>
          <w:sz w:val="28"/>
          <w:szCs w:val="28"/>
        </w:rPr>
      </w:pPr>
      <w:hyperlink w:anchor="Elkera_Print_BK1" w:history="1">
        <w:r w:rsidR="0070372E">
          <w:rPr>
            <w:color w:val="000000"/>
            <w:sz w:val="28"/>
            <w:szCs w:val="28"/>
          </w:rPr>
          <w:t>Part 1—Preliminary</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2" w:history="1">
        <w:r w:rsidR="0070372E">
          <w:rPr>
            <w:color w:val="000000"/>
          </w:rPr>
          <w:t>1</w:t>
        </w:r>
        <w:r w:rsidR="0070372E">
          <w:rPr>
            <w:color w:val="000000"/>
          </w:rPr>
          <w:tab/>
          <w:t>Short title</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3" w:history="1">
        <w:r w:rsidR="0070372E">
          <w:rPr>
            <w:color w:val="000000"/>
          </w:rPr>
          <w:t>2</w:t>
        </w:r>
        <w:r w:rsidR="0070372E">
          <w:rPr>
            <w:color w:val="000000"/>
          </w:rPr>
          <w:tab/>
          <w:t>Commencement</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4" w:history="1">
        <w:r w:rsidR="0070372E">
          <w:rPr>
            <w:color w:val="000000"/>
          </w:rPr>
          <w:t>3</w:t>
        </w:r>
        <w:r w:rsidR="0070372E">
          <w:rPr>
            <w:color w:val="000000"/>
          </w:rPr>
          <w:tab/>
          <w:t>Interpretation</w:t>
        </w:r>
      </w:hyperlink>
    </w:p>
    <w:p w:rsidR="0070372E" w:rsidRDefault="00123FDA" w:rsidP="00610049">
      <w:pPr>
        <w:keepNext/>
        <w:keepLines/>
        <w:autoSpaceDE w:val="0"/>
        <w:autoSpaceDN w:val="0"/>
        <w:adjustRightInd w:val="0"/>
        <w:spacing w:before="120" w:after="120" w:line="240" w:lineRule="auto"/>
        <w:jc w:val="left"/>
        <w:rPr>
          <w:color w:val="000000"/>
          <w:sz w:val="28"/>
          <w:szCs w:val="28"/>
        </w:rPr>
      </w:pPr>
      <w:hyperlink w:anchor="Elkera_Print_BK5" w:history="1">
        <w:r w:rsidR="0070372E">
          <w:rPr>
            <w:color w:val="000000"/>
            <w:sz w:val="28"/>
            <w:szCs w:val="28"/>
          </w:rPr>
          <w:t>Part 2—Licences and registrations</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6" w:history="1">
        <w:r w:rsidR="0070372E">
          <w:rPr>
            <w:color w:val="000000"/>
          </w:rPr>
          <w:t>4</w:t>
        </w:r>
        <w:r w:rsidR="0070372E">
          <w:rPr>
            <w:color w:val="000000"/>
          </w:rPr>
          <w:tab/>
          <w:t>Purpose of Part</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7" w:history="1">
        <w:r w:rsidR="0070372E">
          <w:rPr>
            <w:color w:val="000000"/>
          </w:rPr>
          <w:t>5</w:t>
        </w:r>
        <w:r w:rsidR="0070372E">
          <w:rPr>
            <w:color w:val="000000"/>
          </w:rPr>
          <w:tab/>
          <w:t>Qualifications</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idef98b316_32f4_494b_9958_746d06e1f290_b" w:history="1">
        <w:r w:rsidR="0070372E">
          <w:rPr>
            <w:color w:val="000000"/>
          </w:rPr>
          <w:t>6</w:t>
        </w:r>
        <w:r w:rsidR="0070372E">
          <w:rPr>
            <w:color w:val="000000"/>
          </w:rPr>
          <w:tab/>
          <w:t>Practical experience</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10" w:history="1">
        <w:r w:rsidR="0070372E">
          <w:rPr>
            <w:color w:val="000000"/>
          </w:rPr>
          <w:t>7</w:t>
        </w:r>
        <w:r w:rsidR="0070372E">
          <w:rPr>
            <w:color w:val="000000"/>
          </w:rPr>
          <w:tab/>
          <w:t>Other requirements—standards of competence</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11" w:history="1">
        <w:r w:rsidR="0070372E">
          <w:rPr>
            <w:color w:val="000000"/>
          </w:rPr>
          <w:t>8</w:t>
        </w:r>
        <w:r w:rsidR="0070372E">
          <w:rPr>
            <w:color w:val="000000"/>
          </w:rPr>
          <w:tab/>
          <w:t>Other requirements—refresher courses for former licensed or registered surveyors</w:t>
        </w:r>
      </w:hyperlink>
    </w:p>
    <w:p w:rsidR="0070372E" w:rsidRDefault="00123FDA" w:rsidP="00610049">
      <w:pPr>
        <w:keepNext/>
        <w:keepLines/>
        <w:autoSpaceDE w:val="0"/>
        <w:autoSpaceDN w:val="0"/>
        <w:adjustRightInd w:val="0"/>
        <w:spacing w:before="120" w:after="120" w:line="240" w:lineRule="auto"/>
        <w:jc w:val="left"/>
        <w:rPr>
          <w:color w:val="000000"/>
          <w:sz w:val="28"/>
          <w:szCs w:val="28"/>
        </w:rPr>
      </w:pPr>
      <w:hyperlink w:anchor="idf19c5554_c390_4d75_aab9_54ec436c60" w:history="1">
        <w:r w:rsidR="0070372E">
          <w:rPr>
            <w:color w:val="000000"/>
            <w:sz w:val="28"/>
            <w:szCs w:val="28"/>
          </w:rPr>
          <w:t>Part 3—Survey instructions</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14" w:history="1">
        <w:r w:rsidR="0070372E">
          <w:rPr>
            <w:color w:val="000000"/>
          </w:rPr>
          <w:t>9</w:t>
        </w:r>
        <w:r w:rsidR="0070372E">
          <w:rPr>
            <w:color w:val="000000"/>
          </w:rPr>
          <w:tab/>
          <w:t>Purpose of Part</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15" w:history="1">
        <w:r w:rsidR="0070372E">
          <w:rPr>
            <w:color w:val="000000"/>
          </w:rPr>
          <w:t>10</w:t>
        </w:r>
        <w:r w:rsidR="0070372E">
          <w:rPr>
            <w:color w:val="000000"/>
          </w:rPr>
          <w:tab/>
          <w:t>Interpretation</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16" w:history="1">
        <w:r w:rsidR="0070372E">
          <w:rPr>
            <w:color w:val="000000"/>
          </w:rPr>
          <w:t>11</w:t>
        </w:r>
        <w:r w:rsidR="0070372E">
          <w:rPr>
            <w:color w:val="000000"/>
          </w:rPr>
          <w:tab/>
          <w:t>Survey evidence</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17" w:history="1">
        <w:r w:rsidR="0070372E">
          <w:rPr>
            <w:color w:val="000000"/>
          </w:rPr>
          <w:t>12</w:t>
        </w:r>
        <w:r w:rsidR="0070372E">
          <w:rPr>
            <w:color w:val="000000"/>
          </w:rPr>
          <w:tab/>
          <w:t>Placing or accepting survey marks</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idd9c79e2e_04a7_4468_8862_f1f0b1a77d" w:history="1">
        <w:r w:rsidR="0070372E">
          <w:rPr>
            <w:color w:val="000000"/>
          </w:rPr>
          <w:t>13</w:t>
        </w:r>
        <w:r w:rsidR="0070372E">
          <w:rPr>
            <w:color w:val="000000"/>
          </w:rPr>
          <w:tab/>
          <w:t>Permanent survey marks</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20" w:history="1">
        <w:r w:rsidR="0070372E">
          <w:rPr>
            <w:color w:val="000000"/>
          </w:rPr>
          <w:t>14</w:t>
        </w:r>
        <w:r w:rsidR="0070372E">
          <w:rPr>
            <w:color w:val="000000"/>
          </w:rPr>
          <w:tab/>
          <w:t>Accuracy</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21" w:history="1">
        <w:r w:rsidR="0070372E">
          <w:rPr>
            <w:color w:val="000000"/>
          </w:rPr>
          <w:t>15</w:t>
        </w:r>
        <w:r w:rsidR="0070372E">
          <w:rPr>
            <w:color w:val="000000"/>
          </w:rPr>
          <w:tab/>
          <w:t>Field notes</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idef63b5e0_abe3_4033_a16c_a1be4ef8c3" w:history="1">
        <w:r w:rsidR="0070372E">
          <w:rPr>
            <w:color w:val="000000"/>
          </w:rPr>
          <w:t>16</w:t>
        </w:r>
        <w:r w:rsidR="0070372E">
          <w:rPr>
            <w:color w:val="000000"/>
          </w:rPr>
          <w:tab/>
          <w:t>Survey reports</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24" w:history="1">
        <w:r w:rsidR="0070372E">
          <w:rPr>
            <w:color w:val="000000"/>
          </w:rPr>
          <w:t>17</w:t>
        </w:r>
        <w:r w:rsidR="0070372E">
          <w:rPr>
            <w:color w:val="000000"/>
          </w:rPr>
          <w:tab/>
          <w:t>Identification surveys to comply with code</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25" w:history="1">
        <w:r w:rsidR="0070372E">
          <w:rPr>
            <w:color w:val="000000"/>
          </w:rPr>
          <w:t>18</w:t>
        </w:r>
        <w:r w:rsidR="0070372E">
          <w:rPr>
            <w:color w:val="000000"/>
          </w:rPr>
          <w:tab/>
          <w:t>Plans</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26" w:history="1">
        <w:r w:rsidR="0070372E">
          <w:rPr>
            <w:color w:val="000000"/>
          </w:rPr>
          <w:t>19</w:t>
        </w:r>
        <w:r w:rsidR="0070372E">
          <w:rPr>
            <w:color w:val="000000"/>
          </w:rPr>
          <w:tab/>
          <w:t>Certification of plans</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27" w:history="1">
        <w:r w:rsidR="0070372E">
          <w:rPr>
            <w:color w:val="000000"/>
          </w:rPr>
          <w:t>20</w:t>
        </w:r>
        <w:r w:rsidR="0070372E">
          <w:rPr>
            <w:color w:val="000000"/>
          </w:rPr>
          <w:tab/>
          <w:t>Boundaries of land within coordinated cadastre</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id4cb96dcf_2b4b_4356_bbca_67dd1bd119" w:history="1">
        <w:r w:rsidR="0070372E">
          <w:rPr>
            <w:color w:val="000000"/>
          </w:rPr>
          <w:t>21</w:t>
        </w:r>
        <w:r w:rsidR="0070372E">
          <w:rPr>
            <w:color w:val="000000"/>
          </w:rPr>
          <w:tab/>
          <w:t>Survey of land</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30" w:history="1">
        <w:r w:rsidR="0070372E">
          <w:rPr>
            <w:color w:val="000000"/>
          </w:rPr>
          <w:t>22</w:t>
        </w:r>
        <w:r w:rsidR="0070372E">
          <w:rPr>
            <w:color w:val="000000"/>
          </w:rPr>
          <w:tab/>
          <w:t>Reinstatement of marks after land division complete</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31" w:history="1">
        <w:r w:rsidR="0070372E">
          <w:rPr>
            <w:color w:val="000000"/>
          </w:rPr>
          <w:t>23</w:t>
        </w:r>
        <w:r w:rsidR="0070372E">
          <w:rPr>
            <w:color w:val="000000"/>
          </w:rPr>
          <w:tab/>
          <w:t>Removal of marks</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32" w:history="1">
        <w:r w:rsidR="0070372E">
          <w:rPr>
            <w:color w:val="000000"/>
          </w:rPr>
          <w:t>24</w:t>
        </w:r>
        <w:r w:rsidR="0070372E">
          <w:rPr>
            <w:color w:val="000000"/>
          </w:rPr>
          <w:tab/>
          <w:t>Exemptions by Surveyor</w:t>
        </w:r>
        <w:r w:rsidR="0070372E">
          <w:rPr>
            <w:color w:val="000000"/>
          </w:rPr>
          <w:noBreakHyphen/>
          <w:t>General</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33" w:history="1">
        <w:r w:rsidR="0070372E">
          <w:rPr>
            <w:color w:val="000000"/>
          </w:rPr>
          <w:t>25</w:t>
        </w:r>
        <w:r w:rsidR="0070372E">
          <w:rPr>
            <w:color w:val="000000"/>
          </w:rPr>
          <w:tab/>
          <w:t>Additional work required by Surveyor</w:t>
        </w:r>
        <w:r w:rsidR="0070372E">
          <w:rPr>
            <w:color w:val="000000"/>
          </w:rPr>
          <w:noBreakHyphen/>
          <w:t>General</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id555fe483_374d_48f0_a2c2_8c436bbf61" w:history="1">
        <w:r w:rsidR="0070372E">
          <w:rPr>
            <w:color w:val="000000"/>
          </w:rPr>
          <w:t>26</w:t>
        </w:r>
        <w:r w:rsidR="0070372E">
          <w:rPr>
            <w:color w:val="000000"/>
          </w:rPr>
          <w:tab/>
          <w:t>Directions of Surveyor</w:t>
        </w:r>
        <w:r w:rsidR="0070372E">
          <w:rPr>
            <w:color w:val="000000"/>
          </w:rPr>
          <w:noBreakHyphen/>
          <w:t>General</w:t>
        </w:r>
      </w:hyperlink>
    </w:p>
    <w:p w:rsidR="0070372E" w:rsidRDefault="00123FDA" w:rsidP="00610049">
      <w:pPr>
        <w:keepNext/>
        <w:keepLines/>
        <w:autoSpaceDE w:val="0"/>
        <w:autoSpaceDN w:val="0"/>
        <w:adjustRightInd w:val="0"/>
        <w:spacing w:before="120" w:after="120" w:line="240" w:lineRule="auto"/>
        <w:jc w:val="left"/>
        <w:rPr>
          <w:color w:val="000000"/>
          <w:sz w:val="28"/>
          <w:szCs w:val="28"/>
        </w:rPr>
      </w:pPr>
      <w:hyperlink w:anchor="Elkera_Print_BK36" w:history="1">
        <w:r w:rsidR="0070372E">
          <w:rPr>
            <w:color w:val="000000"/>
            <w:sz w:val="28"/>
            <w:szCs w:val="28"/>
          </w:rPr>
          <w:t>Part 4—Miscellaneous</w:t>
        </w:r>
      </w:hyperlink>
    </w:p>
    <w:p w:rsidR="0070372E" w:rsidRDefault="00123FDA" w:rsidP="00610049">
      <w:pPr>
        <w:keepLines/>
        <w:tabs>
          <w:tab w:val="left" w:pos="850"/>
        </w:tabs>
        <w:autoSpaceDE w:val="0"/>
        <w:autoSpaceDN w:val="0"/>
        <w:adjustRightInd w:val="0"/>
        <w:spacing w:after="0" w:line="240" w:lineRule="auto"/>
        <w:ind w:left="794" w:hanging="794"/>
        <w:jc w:val="left"/>
        <w:rPr>
          <w:color w:val="000000"/>
        </w:rPr>
      </w:pPr>
      <w:hyperlink w:anchor="Elkera_Print_BK37" w:history="1">
        <w:r w:rsidR="0070372E">
          <w:rPr>
            <w:color w:val="000000"/>
          </w:rPr>
          <w:t>27</w:t>
        </w:r>
        <w:r w:rsidR="0070372E">
          <w:rPr>
            <w:color w:val="000000"/>
          </w:rPr>
          <w:tab/>
          <w:t>Adoption of Code of Ethics</w:t>
        </w:r>
      </w:hyperlink>
    </w:p>
    <w:p w:rsidR="0070372E" w:rsidRDefault="00123FDA" w:rsidP="00610049">
      <w:pPr>
        <w:keepLines/>
        <w:autoSpaceDE w:val="0"/>
        <w:autoSpaceDN w:val="0"/>
        <w:adjustRightInd w:val="0"/>
        <w:spacing w:before="120" w:after="120" w:line="240" w:lineRule="auto"/>
        <w:jc w:val="left"/>
        <w:rPr>
          <w:color w:val="000000"/>
          <w:sz w:val="28"/>
          <w:szCs w:val="28"/>
        </w:rPr>
      </w:pPr>
      <w:hyperlink w:anchor="Elkera_Print_BK38" w:history="1">
        <w:r w:rsidR="0070372E">
          <w:rPr>
            <w:color w:val="000000"/>
            <w:sz w:val="28"/>
            <w:szCs w:val="28"/>
          </w:rPr>
          <w:t xml:space="preserve">Schedule 1—Revocation of </w:t>
        </w:r>
        <w:r w:rsidR="0070372E">
          <w:rPr>
            <w:i/>
            <w:iCs/>
            <w:color w:val="000000"/>
            <w:sz w:val="28"/>
            <w:szCs w:val="28"/>
          </w:rPr>
          <w:t>Survey Regulations 2007</w:t>
        </w:r>
      </w:hyperlink>
    </w:p>
    <w:p w:rsidR="0070372E" w:rsidRDefault="0070372E" w:rsidP="00610049">
      <w:pPr>
        <w:keepLines/>
        <w:pBdr>
          <w:top w:val="single" w:sz="4" w:space="0" w:color="auto"/>
        </w:pBdr>
        <w:autoSpaceDE w:val="0"/>
        <w:autoSpaceDN w:val="0"/>
        <w:adjustRightInd w:val="0"/>
        <w:spacing w:before="120" w:after="120" w:line="240" w:lineRule="auto"/>
        <w:jc w:val="left"/>
        <w:rPr>
          <w:color w:val="000000"/>
          <w:sz w:val="2"/>
          <w:szCs w:val="2"/>
        </w:rPr>
      </w:pPr>
    </w:p>
    <w:p w:rsidR="00F9553F" w:rsidRDefault="00F9553F" w:rsidP="00610049">
      <w:pPr>
        <w:spacing w:after="0" w:line="240" w:lineRule="auto"/>
        <w:jc w:val="left"/>
        <w:rPr>
          <w:rFonts w:eastAsia="Times New Roman"/>
          <w:b/>
          <w:bCs/>
          <w:color w:val="000000"/>
          <w:sz w:val="32"/>
          <w:szCs w:val="32"/>
          <w:lang w:eastAsia="en-AU"/>
        </w:rPr>
      </w:pPr>
      <w:r>
        <w:br w:type="page"/>
      </w:r>
    </w:p>
    <w:p w:rsidR="002F5130" w:rsidRPr="002F5130" w:rsidRDefault="002F5130" w:rsidP="00610049">
      <w:pPr>
        <w:pStyle w:val="partheadlevel1"/>
        <w:spacing w:before="0" w:line="20" w:lineRule="exact"/>
        <w:rPr>
          <w:sz w:val="17"/>
          <w:szCs w:val="17"/>
        </w:rPr>
      </w:pPr>
    </w:p>
    <w:p w:rsidR="0070372E" w:rsidRDefault="0070372E" w:rsidP="00610049">
      <w:pPr>
        <w:pStyle w:val="partheadlevel1"/>
      </w:pPr>
      <w:r>
        <w:t>Part 1—Preliminary</w:t>
      </w:r>
    </w:p>
    <w:p w:rsidR="0070372E" w:rsidRDefault="0070372E" w:rsidP="00610049">
      <w:pPr>
        <w:pStyle w:val="clauseheadlevel2"/>
      </w:pPr>
      <w:r>
        <w:t>1—Short title</w:t>
      </w:r>
    </w:p>
    <w:p w:rsidR="0070372E" w:rsidRDefault="0070372E" w:rsidP="00610049">
      <w:pPr>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These regulations may be cited as the </w:t>
      </w:r>
      <w:r>
        <w:rPr>
          <w:i/>
          <w:iCs/>
          <w:color w:val="000000"/>
          <w:sz w:val="23"/>
          <w:szCs w:val="23"/>
        </w:rPr>
        <w:t>Survey Regulations 2020</w:t>
      </w:r>
      <w:r>
        <w:rPr>
          <w:color w:val="000000"/>
          <w:sz w:val="23"/>
          <w:szCs w:val="23"/>
        </w:rPr>
        <w:t>.</w:t>
      </w:r>
    </w:p>
    <w:p w:rsidR="0070372E" w:rsidRDefault="0070372E" w:rsidP="00610049">
      <w:pPr>
        <w:pStyle w:val="clauseheadlevel2"/>
      </w:pPr>
      <w:r>
        <w:t>2—Commencement</w:t>
      </w:r>
    </w:p>
    <w:p w:rsidR="0070372E" w:rsidRDefault="0070372E" w:rsidP="00610049">
      <w:pPr>
        <w:keepLines/>
        <w:autoSpaceDE w:val="0"/>
        <w:autoSpaceDN w:val="0"/>
        <w:adjustRightInd w:val="0"/>
        <w:spacing w:before="120" w:after="0" w:line="240" w:lineRule="auto"/>
        <w:ind w:left="794"/>
        <w:jc w:val="left"/>
        <w:rPr>
          <w:color w:val="000000"/>
          <w:sz w:val="23"/>
          <w:szCs w:val="23"/>
        </w:rPr>
      </w:pPr>
      <w:r>
        <w:rPr>
          <w:color w:val="000000"/>
          <w:sz w:val="23"/>
          <w:szCs w:val="23"/>
        </w:rPr>
        <w:t>These regulations come into operation on 24 August 2020.</w:t>
      </w:r>
    </w:p>
    <w:p w:rsidR="0070372E" w:rsidRDefault="0070372E" w:rsidP="00610049">
      <w:pPr>
        <w:pStyle w:val="clauseheadlevel2"/>
      </w:pPr>
      <w:r>
        <w:t>3—Interpretation</w:t>
      </w:r>
    </w:p>
    <w:p w:rsidR="0070372E" w:rsidRDefault="0070372E" w:rsidP="00610049">
      <w:pPr>
        <w:keepNext/>
        <w:keepLines/>
        <w:autoSpaceDE w:val="0"/>
        <w:autoSpaceDN w:val="0"/>
        <w:adjustRightInd w:val="0"/>
        <w:spacing w:before="120" w:after="0" w:line="240" w:lineRule="auto"/>
        <w:ind w:left="794"/>
        <w:jc w:val="left"/>
        <w:rPr>
          <w:color w:val="000000"/>
          <w:sz w:val="23"/>
          <w:szCs w:val="23"/>
        </w:rPr>
      </w:pPr>
      <w:r>
        <w:rPr>
          <w:color w:val="000000"/>
          <w:sz w:val="23"/>
          <w:szCs w:val="23"/>
        </w:rPr>
        <w:t>In these regulations, unless the contrary intention appears—</w:t>
      </w:r>
    </w:p>
    <w:p w:rsidR="0070372E" w:rsidRDefault="0070372E" w:rsidP="00610049">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Act</w:t>
      </w:r>
      <w:r>
        <w:rPr>
          <w:color w:val="000000"/>
          <w:sz w:val="23"/>
          <w:szCs w:val="23"/>
        </w:rPr>
        <w:t xml:space="preserve"> means the </w:t>
      </w:r>
      <w:hyperlink r:id="rId28" w:history="1">
        <w:r>
          <w:rPr>
            <w:i/>
            <w:iCs/>
            <w:color w:val="000000"/>
            <w:sz w:val="23"/>
            <w:szCs w:val="23"/>
          </w:rPr>
          <w:t>Survey Act 1992</w:t>
        </w:r>
      </w:hyperlink>
      <w:r>
        <w:rPr>
          <w:color w:val="000000"/>
          <w:sz w:val="23"/>
          <w:szCs w:val="23"/>
        </w:rPr>
        <w:t>.</w:t>
      </w:r>
    </w:p>
    <w:p w:rsidR="0070372E" w:rsidRDefault="0070372E" w:rsidP="00610049">
      <w:pPr>
        <w:pStyle w:val="partheadlevel1"/>
      </w:pPr>
      <w:r>
        <w:t>Part 2—Licences and registrations</w:t>
      </w:r>
    </w:p>
    <w:p w:rsidR="0070372E" w:rsidRDefault="0070372E" w:rsidP="00610049">
      <w:pPr>
        <w:pStyle w:val="clauseheadlevel2"/>
      </w:pPr>
      <w:r>
        <w:t>4—Purpose of Part</w:t>
      </w:r>
    </w:p>
    <w:p w:rsidR="0070372E" w:rsidRDefault="0070372E" w:rsidP="00610049">
      <w:pPr>
        <w:keepLines/>
        <w:autoSpaceDE w:val="0"/>
        <w:autoSpaceDN w:val="0"/>
        <w:adjustRightInd w:val="0"/>
        <w:spacing w:before="120" w:after="0" w:line="240" w:lineRule="auto"/>
        <w:ind w:left="794"/>
        <w:jc w:val="left"/>
        <w:rPr>
          <w:color w:val="000000"/>
          <w:sz w:val="23"/>
          <w:szCs w:val="23"/>
        </w:rPr>
      </w:pPr>
      <w:r>
        <w:rPr>
          <w:color w:val="000000"/>
          <w:sz w:val="23"/>
          <w:szCs w:val="23"/>
        </w:rPr>
        <w:t>This Part is made for the purposes of section 22 of the Act.</w:t>
      </w:r>
    </w:p>
    <w:p w:rsidR="0070372E" w:rsidRDefault="0070372E" w:rsidP="00610049">
      <w:pPr>
        <w:pStyle w:val="clauseheadlevel2"/>
      </w:pPr>
      <w:r>
        <w:t>5—Qualifications</w:t>
      </w:r>
    </w:p>
    <w:p w:rsidR="0070372E" w:rsidRDefault="0070372E" w:rsidP="00610049">
      <w:pPr>
        <w:keepNext/>
        <w:keepLines/>
        <w:autoSpaceDE w:val="0"/>
        <w:autoSpaceDN w:val="0"/>
        <w:adjustRightInd w:val="0"/>
        <w:spacing w:before="120" w:after="0" w:line="240" w:lineRule="auto"/>
        <w:ind w:left="794"/>
        <w:jc w:val="left"/>
        <w:rPr>
          <w:color w:val="000000"/>
          <w:sz w:val="23"/>
          <w:szCs w:val="23"/>
        </w:rPr>
      </w:pPr>
      <w:r>
        <w:rPr>
          <w:color w:val="000000"/>
          <w:sz w:val="23"/>
          <w:szCs w:val="23"/>
        </w:rPr>
        <w:t>For the purposes of section 22(1)(b) of the Act, the qualifications required of an applicant for a licence or registration as a surveyor are—</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47" w:name="id581ad3d0_63cb_43f8_a9b3_e3d6a6d669ef_0"/>
      <w:r>
        <w:rPr>
          <w:color w:val="000000"/>
          <w:sz w:val="23"/>
          <w:szCs w:val="23"/>
        </w:rPr>
        <w:tab/>
        <w:t>(a)</w:t>
      </w:r>
      <w:r>
        <w:rPr>
          <w:color w:val="000000"/>
          <w:sz w:val="23"/>
          <w:szCs w:val="23"/>
        </w:rPr>
        <w:tab/>
        <w:t>a Graduate Diploma in Surveying from the University of South Australia; or</w:t>
      </w:r>
      <w:bookmarkEnd w:id="47"/>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 Master of Surveying from the University of South Australia; or</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48" w:name="id7f4678f3_7353_4749_bc39_77bd1d985003_b"/>
      <w:r>
        <w:rPr>
          <w:color w:val="000000"/>
          <w:sz w:val="23"/>
          <w:szCs w:val="23"/>
        </w:rPr>
        <w:tab/>
        <w:t>(c)</w:t>
      </w:r>
      <w:r>
        <w:rPr>
          <w:color w:val="000000"/>
          <w:sz w:val="23"/>
          <w:szCs w:val="23"/>
        </w:rPr>
        <w:tab/>
        <w:t>a Bachelor of Geoinformatics and Surveying from the University of South Australia; or</w:t>
      </w:r>
      <w:bookmarkEnd w:id="48"/>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a Bachelor of Engineering (Honours) (Surveying) from the University of South Australia; or</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 xml:space="preserve">qualifications, or qualifications and experience, accredited as being equivalent to the qualifications referred to in </w:t>
      </w:r>
      <w:hyperlink w:anchor="id581ad3d0_63cb_43f8_a9b3_e3d6a6d669ef_0" w:history="1">
        <w:r>
          <w:rPr>
            <w:color w:val="000000"/>
            <w:sz w:val="23"/>
            <w:szCs w:val="23"/>
          </w:rPr>
          <w:t>paragraph (a)</w:t>
        </w:r>
      </w:hyperlink>
      <w:r>
        <w:rPr>
          <w:color w:val="000000"/>
          <w:sz w:val="23"/>
          <w:szCs w:val="23"/>
        </w:rPr>
        <w:t xml:space="preserve"> or </w:t>
      </w:r>
      <w:hyperlink w:anchor="id7f4678f3_7353_4749_bc39_77bd1d985003_b" w:history="1">
        <w:r>
          <w:rPr>
            <w:color w:val="000000"/>
            <w:sz w:val="23"/>
            <w:szCs w:val="23"/>
          </w:rPr>
          <w:t>(c)</w:t>
        </w:r>
      </w:hyperlink>
      <w:r>
        <w:rPr>
          <w:color w:val="000000"/>
          <w:sz w:val="23"/>
          <w:szCs w:val="23"/>
        </w:rPr>
        <w:t xml:space="preserve"> by the Institution of Surveyors.</w:t>
      </w:r>
    </w:p>
    <w:p w:rsidR="0070372E" w:rsidRDefault="0070372E" w:rsidP="00610049">
      <w:pPr>
        <w:pStyle w:val="clauseheadlevel2"/>
      </w:pPr>
      <w:bookmarkStart w:id="49" w:name="idef98b316_32f4_494b_9958_746d06e1f290_b"/>
      <w:r>
        <w:t>6—Practical experience</w:t>
      </w:r>
      <w:bookmarkEnd w:id="49"/>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0" w:name="id2af29c81_c8dc_44c5_9847_462f7d5fc94b_3"/>
      <w:r>
        <w:rPr>
          <w:color w:val="000000"/>
          <w:sz w:val="23"/>
          <w:szCs w:val="23"/>
        </w:rPr>
        <w:tab/>
        <w:t>(1)</w:t>
      </w:r>
      <w:r>
        <w:rPr>
          <w:color w:val="000000"/>
          <w:sz w:val="23"/>
          <w:szCs w:val="23"/>
        </w:rPr>
        <w:tab/>
        <w:t>Subject to this regulation—</w:t>
      </w:r>
      <w:bookmarkEnd w:id="50"/>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an applicant for a licence as a surveyor who has not previously been a licensed surveyor must have a total of at least 400 days of practical experience in surveying including at least 200 days practical experience in cadastral surveying;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an applicant for registration as a surveyor who has not previously been a registered surveyor must have a total of at least 400 days of practical experience in surveying.</w:t>
      </w:r>
    </w:p>
    <w:p w:rsidR="0070372E"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practical experience may comprise discrete periods each of which must be at least 4 weeks in duration unless the Institution of Surveyors is satisfied that a shorter period is justified in the particular circumstances of a case.</w:t>
      </w:r>
    </w:p>
    <w:p w:rsidR="0070372E"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Each period of practical experience must be approved by the Institution of Surveyors.</w:t>
      </w:r>
    </w:p>
    <w:p w:rsidR="00900241" w:rsidRDefault="00900241" w:rsidP="00610049">
      <w:pPr>
        <w:spacing w:after="0" w:line="240" w:lineRule="auto"/>
        <w:jc w:val="left"/>
        <w:rPr>
          <w:color w:val="000000"/>
          <w:sz w:val="23"/>
          <w:szCs w:val="23"/>
        </w:rPr>
      </w:pPr>
      <w:r>
        <w:rPr>
          <w:color w:val="000000"/>
          <w:sz w:val="23"/>
          <w:szCs w:val="23"/>
        </w:rPr>
        <w:br w:type="page"/>
      </w:r>
    </w:p>
    <w:p w:rsidR="00900241" w:rsidRPr="00900241" w:rsidRDefault="00900241" w:rsidP="00610049">
      <w:pPr>
        <w:keepNext/>
        <w:keepLines/>
        <w:tabs>
          <w:tab w:val="center" w:pos="397"/>
          <w:tab w:val="left" w:pos="794"/>
        </w:tabs>
        <w:autoSpaceDE w:val="0"/>
        <w:autoSpaceDN w:val="0"/>
        <w:adjustRightInd w:val="0"/>
        <w:spacing w:after="0" w:line="20" w:lineRule="exact"/>
        <w:ind w:left="794" w:hanging="794"/>
        <w:jc w:val="left"/>
        <w:rPr>
          <w:color w:val="000000"/>
          <w:szCs w:val="17"/>
        </w:rPr>
      </w:pPr>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The Institution of Surveyors—</w:t>
      </w:r>
    </w:p>
    <w:p w:rsidR="00F9553F"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51" w:name="id7566f9a9_d889_4f41_a847_7f721a8738e8_1"/>
      <w:r>
        <w:rPr>
          <w:color w:val="000000"/>
          <w:sz w:val="23"/>
          <w:szCs w:val="23"/>
        </w:rPr>
        <w:tab/>
        <w:t>(a)</w:t>
      </w:r>
      <w:r>
        <w:rPr>
          <w:color w:val="000000"/>
          <w:sz w:val="23"/>
          <w:szCs w:val="23"/>
        </w:rPr>
        <w:tab/>
        <w:t xml:space="preserve">must approve a period of practical experience for an applicant whose proposal of intention to obtain practical experience has been agreed to by the Institution under </w:t>
      </w:r>
      <w:hyperlink w:anchor="idb301bb78_c7ba_412a_a265_2726e54b94f9_d" w:history="1">
        <w:r>
          <w:rPr>
            <w:color w:val="000000"/>
            <w:sz w:val="23"/>
            <w:szCs w:val="23"/>
          </w:rPr>
          <w:t>subregulation (6)</w:t>
        </w:r>
      </w:hyperlink>
      <w:r>
        <w:rPr>
          <w:color w:val="000000"/>
          <w:sz w:val="23"/>
          <w:szCs w:val="23"/>
        </w:rPr>
        <w:t xml:space="preserve"> if—</w:t>
      </w:r>
      <w:bookmarkEnd w:id="51"/>
    </w:p>
    <w:p w:rsidR="00F9553F" w:rsidRPr="00F9553F" w:rsidRDefault="00F9553F" w:rsidP="00610049">
      <w:pPr>
        <w:keepLines/>
        <w:tabs>
          <w:tab w:val="center" w:pos="1985"/>
          <w:tab w:val="left" w:pos="2382"/>
        </w:tabs>
        <w:autoSpaceDE w:val="0"/>
        <w:autoSpaceDN w:val="0"/>
        <w:adjustRightInd w:val="0"/>
        <w:spacing w:after="0" w:line="20" w:lineRule="exact"/>
        <w:ind w:left="2382" w:hanging="794"/>
        <w:jc w:val="left"/>
        <w:rPr>
          <w:color w:val="000000"/>
          <w:szCs w:val="17"/>
        </w:rPr>
      </w:pPr>
    </w:p>
    <w:p w:rsidR="0070372E" w:rsidRDefault="0070372E" w:rsidP="00610049">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 xml:space="preserve">the Institution is satisfied, after taking into account progress reports provided to the Institution in relation to the applicant under </w:t>
      </w:r>
      <w:hyperlink w:anchor="id972c1d74_ae45_480f_9556_fb4d6cb0d330_5" w:history="1">
        <w:r>
          <w:rPr>
            <w:color w:val="000000"/>
            <w:sz w:val="23"/>
            <w:szCs w:val="23"/>
          </w:rPr>
          <w:t>subregulation (7)</w:t>
        </w:r>
      </w:hyperlink>
      <w:r>
        <w:rPr>
          <w:color w:val="000000"/>
          <w:sz w:val="23"/>
          <w:szCs w:val="23"/>
        </w:rPr>
        <w:t>, that the practical experience was undertaken in accordance with that proposal; and</w:t>
      </w:r>
    </w:p>
    <w:p w:rsidR="0070372E" w:rsidRDefault="0070372E" w:rsidP="00610049">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the prescribed supervisor has certified (in a manner approved by the Institution) that the applicant has satisfactorily completed the period of practical experience;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may, in any other case, approve a period of practical experience if—</w:t>
      </w:r>
    </w:p>
    <w:p w:rsidR="0070372E" w:rsidRDefault="0070372E" w:rsidP="00610049">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Institution is satisfied that—</w:t>
      </w:r>
    </w:p>
    <w:p w:rsidR="0070372E" w:rsidRDefault="0070372E" w:rsidP="00610049">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(A)</w:t>
      </w:r>
      <w:r>
        <w:rPr>
          <w:color w:val="000000"/>
          <w:sz w:val="23"/>
          <w:szCs w:val="23"/>
        </w:rPr>
        <w:tab/>
        <w:t>the practical experience was supervised by a prescribed supervisor; and</w:t>
      </w:r>
    </w:p>
    <w:p w:rsidR="0070372E" w:rsidRDefault="0070372E" w:rsidP="00610049">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(B)</w:t>
      </w:r>
      <w:r>
        <w:rPr>
          <w:color w:val="000000"/>
          <w:sz w:val="23"/>
          <w:szCs w:val="23"/>
        </w:rPr>
        <w:tab/>
        <w:t>the prescribed supervisor did not, at any time during the period of supervision, supervise the practical experience of any other person for the purposes of this Part (or, if they did, the supervision was of 1 other person only and that other person had already completed at least 1 year of supervised practical experience); and</w:t>
      </w:r>
    </w:p>
    <w:p w:rsidR="0070372E" w:rsidRDefault="0070372E" w:rsidP="00610049">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(C)</w:t>
      </w:r>
      <w:r>
        <w:rPr>
          <w:color w:val="000000"/>
          <w:sz w:val="23"/>
          <w:szCs w:val="23"/>
        </w:rPr>
        <w:tab/>
        <w:t>the practical experience was not so specialised or elementary as to restrict the development of the competence of the applicant; and</w:t>
      </w:r>
    </w:p>
    <w:p w:rsidR="0070372E" w:rsidRDefault="0070372E" w:rsidP="00610049">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the prescribed supervisor has certified (in a manner approved by the Institution) that the applicant has satisfactorily completed the period of practical experience.</w:t>
      </w:r>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2" w:name="id688b7ec4_7c65_4d83_bdde_d9cd498d50c4_a"/>
      <w:r>
        <w:rPr>
          <w:color w:val="000000"/>
          <w:sz w:val="23"/>
          <w:szCs w:val="23"/>
        </w:rPr>
        <w:tab/>
        <w:t>(5)</w:t>
      </w:r>
      <w:r>
        <w:rPr>
          <w:color w:val="000000"/>
          <w:sz w:val="23"/>
          <w:szCs w:val="23"/>
        </w:rPr>
        <w:tab/>
        <w:t>An applicant under this regulation may, before undertaking a period of practical experience, submit to the Institution of Surveyors for its agreement, a written proposal (in a manner approved by the Institution) of the applicant's intention to obtain such practical experience, signed by the applicant and the proposed prescribed supervisor and containing the following information:</w:t>
      </w:r>
      <w:bookmarkEnd w:id="52"/>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expected nature and duration of the practical experience;</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qualifications held by the supervisor during the 2 years immediately before the proposed commencement of the practical experience;</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53" w:name="ide7fb1f1d_6f42_4769_8e10_507d0e43a5b0_7"/>
      <w:r>
        <w:rPr>
          <w:color w:val="000000"/>
          <w:sz w:val="23"/>
          <w:szCs w:val="23"/>
        </w:rPr>
        <w:tab/>
        <w:t>(c)</w:t>
      </w:r>
      <w:r>
        <w:rPr>
          <w:color w:val="000000"/>
          <w:sz w:val="23"/>
          <w:szCs w:val="23"/>
        </w:rPr>
        <w:tab/>
        <w:t>a statement to the effect that the supervisor agrees—</w:t>
      </w:r>
      <w:bookmarkEnd w:id="53"/>
    </w:p>
    <w:p w:rsidR="0070372E" w:rsidRDefault="0070372E" w:rsidP="00610049">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to supervise the applicant for the duration of the proposed period of practical experience; and</w:t>
      </w:r>
    </w:p>
    <w:p w:rsidR="0070372E" w:rsidRDefault="0070372E" w:rsidP="00610049">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not to supervise the practical experience of any other person for the purposes of this Part during that period (unless it is supervision of 1 other person only and that other person will, at the proposed commencement of the period, have already completed at least 1 year of supervised practical experience).</w:t>
      </w:r>
    </w:p>
    <w:p w:rsidR="00D90292" w:rsidRDefault="00D90292" w:rsidP="00610049">
      <w:pPr>
        <w:spacing w:after="0" w:line="240" w:lineRule="auto"/>
        <w:jc w:val="left"/>
        <w:rPr>
          <w:color w:val="000000"/>
          <w:sz w:val="23"/>
          <w:szCs w:val="23"/>
        </w:rPr>
      </w:pPr>
      <w:bookmarkStart w:id="54" w:name="idb301bb78_c7ba_412a_a265_2726e54b94f9_d"/>
      <w:r>
        <w:rPr>
          <w:color w:val="000000"/>
          <w:sz w:val="23"/>
          <w:szCs w:val="23"/>
        </w:rPr>
        <w:br w:type="page"/>
      </w:r>
    </w:p>
    <w:p w:rsidR="0070372E"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lastRenderedPageBreak/>
        <w:tab/>
        <w:t>(6)</w:t>
      </w:r>
      <w:r>
        <w:rPr>
          <w:color w:val="000000"/>
          <w:sz w:val="23"/>
          <w:szCs w:val="23"/>
        </w:rPr>
        <w:tab/>
        <w:t xml:space="preserve">On receipt of a proposal under </w:t>
      </w:r>
      <w:hyperlink w:anchor="id688b7ec4_7c65_4d83_bdde_d9cd498d50c4_a" w:history="1">
        <w:r>
          <w:rPr>
            <w:color w:val="000000"/>
            <w:sz w:val="23"/>
            <w:szCs w:val="23"/>
          </w:rPr>
          <w:t>subregulation (5)</w:t>
        </w:r>
      </w:hyperlink>
      <w:r>
        <w:rPr>
          <w:color w:val="000000"/>
          <w:sz w:val="23"/>
          <w:szCs w:val="23"/>
        </w:rPr>
        <w:t>, the Institution of Surveyors must decide whether or not it agrees to the proposal and give notice of that decision to the applicant as soon as reasonably practicable.</w:t>
      </w:r>
      <w:bookmarkEnd w:id="54"/>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5" w:name="id972c1d74_ae45_480f_9556_fb4d6cb0d330_5"/>
      <w:r>
        <w:rPr>
          <w:color w:val="000000"/>
          <w:sz w:val="23"/>
          <w:szCs w:val="23"/>
        </w:rPr>
        <w:tab/>
        <w:t>(7)</w:t>
      </w:r>
      <w:r>
        <w:rPr>
          <w:color w:val="000000"/>
          <w:sz w:val="23"/>
          <w:szCs w:val="23"/>
        </w:rPr>
        <w:tab/>
        <w:t xml:space="preserve">A person who supervises an applicant's practical experience in accordance with a proposal under </w:t>
      </w:r>
      <w:hyperlink w:anchor="id688b7ec4_7c65_4d83_bdde_d9cd498d50c4_a" w:history="1">
        <w:r>
          <w:rPr>
            <w:color w:val="000000"/>
            <w:sz w:val="23"/>
            <w:szCs w:val="23"/>
          </w:rPr>
          <w:t>subregulation (5)</w:t>
        </w:r>
      </w:hyperlink>
      <w:r>
        <w:rPr>
          <w:color w:val="000000"/>
          <w:sz w:val="23"/>
          <w:szCs w:val="23"/>
        </w:rPr>
        <w:t xml:space="preserve"> must report to the Institution of Surveyors (in a manner approved by the Institution) on the progress of the applicant—</w:t>
      </w:r>
      <w:bookmarkEnd w:id="55"/>
    </w:p>
    <w:p w:rsidR="00F9553F"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if the period of practical experience exceeds 6 months—within 28 days after the completion of each 6 month period; and</w:t>
      </w:r>
    </w:p>
    <w:p w:rsidR="0070372E" w:rsidRDefault="0070372E" w:rsidP="00610049">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in any case—within 28 days after the completion of the period of practical experience.</w:t>
      </w:r>
    </w:p>
    <w:p w:rsidR="0070372E" w:rsidRDefault="0070372E" w:rsidP="00610049">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$200.</w:t>
      </w:r>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(8)</w:t>
      </w:r>
      <w:r>
        <w:rPr>
          <w:color w:val="000000"/>
          <w:sz w:val="23"/>
          <w:szCs w:val="23"/>
        </w:rPr>
        <w:tab/>
        <w:t>In this regulation—</w:t>
      </w:r>
    </w:p>
    <w:p w:rsidR="0070372E" w:rsidRDefault="0070372E" w:rsidP="00610049">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prescribed supervisor</w:t>
      </w:r>
      <w:r>
        <w:rPr>
          <w:color w:val="000000"/>
          <w:sz w:val="23"/>
          <w:szCs w:val="23"/>
        </w:rPr>
        <w:t>, in relation to the supervision of a period of practical experience undertaken by an applicant under this regulation, means—</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licensed surveyor who has been licensed for at least 2 years immediately before the commencement of that period; or</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 person holding qualifications approved by the Institution of Surveyors as relevant to the practical experience who has held those qualifications for at least 2 years immediately before the commencement of that period.</w:t>
      </w:r>
    </w:p>
    <w:p w:rsidR="0070372E" w:rsidRDefault="0070372E" w:rsidP="00610049">
      <w:pPr>
        <w:pStyle w:val="clauseheadlevel2"/>
      </w:pPr>
      <w:r>
        <w:t>7—Other requirements—standards of competence</w:t>
      </w:r>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An applicant for a licence as a surveyor who has not previously been a licensed surveyor must—</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complete a project, or series of projects, in cadastral surveying in accordance with these regulations;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demonstrate a satisfactory level of competence in the completion of each project.</w:t>
      </w:r>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An applicant for registration as a surveyor who has not previously been a registered surveyor must—</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complete a project, or series of projects, in a category of surveying in which the applicant has gained practical experience in accordance with these regulations;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demonstrate a satisfactory level of competence in the completion of each project.</w:t>
      </w:r>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Each project must be—</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set by a person appointed, with the approval of the Minister, by the Institution of Surveyors;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of moderate complexity and sufficiently broad to enable the applicant to demonstrate an application of knowledge and skills in the relevant category of surveying.</w:t>
      </w:r>
    </w:p>
    <w:p w:rsidR="0070372E"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The applicant's level of competence in relation to a project must be assessed by a person appointed, with the approval of the Minister, by the Institution of Surveyors.</w:t>
      </w:r>
    </w:p>
    <w:p w:rsidR="00D90292" w:rsidRDefault="00D90292" w:rsidP="00610049">
      <w:pPr>
        <w:spacing w:after="0" w:line="240" w:lineRule="auto"/>
        <w:jc w:val="left"/>
        <w:rPr>
          <w:color w:val="000000"/>
          <w:sz w:val="23"/>
          <w:szCs w:val="23"/>
        </w:rPr>
      </w:pPr>
      <w:r>
        <w:rPr>
          <w:color w:val="000000"/>
          <w:sz w:val="23"/>
          <w:szCs w:val="23"/>
        </w:rPr>
        <w:br w:type="page"/>
      </w:r>
    </w:p>
    <w:p w:rsidR="005D518F" w:rsidRPr="005D518F" w:rsidRDefault="005D518F" w:rsidP="00610049">
      <w:pPr>
        <w:keepNext/>
        <w:keepLines/>
        <w:tabs>
          <w:tab w:val="center" w:pos="397"/>
          <w:tab w:val="left" w:pos="794"/>
        </w:tabs>
        <w:autoSpaceDE w:val="0"/>
        <w:autoSpaceDN w:val="0"/>
        <w:adjustRightInd w:val="0"/>
        <w:spacing w:after="0" w:line="20" w:lineRule="exact"/>
        <w:ind w:left="794" w:hanging="794"/>
        <w:jc w:val="left"/>
        <w:rPr>
          <w:color w:val="000000"/>
          <w:szCs w:val="17"/>
        </w:rPr>
      </w:pPr>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(5)</w:t>
      </w:r>
      <w:r>
        <w:rPr>
          <w:color w:val="000000"/>
          <w:sz w:val="23"/>
          <w:szCs w:val="23"/>
        </w:rPr>
        <w:tab/>
        <w:t>The assessment of an applicant's level of competence in the completion of a project in a particular category of surveying must be based on the following considerations:</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whether the applicant's level of competence equates to the standards of competence expected in such a category of surveying in the workplace;</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any relevant guidelines published by the Institution of Surveyors and in force from time to time.</w:t>
      </w:r>
    </w:p>
    <w:p w:rsidR="0070372E" w:rsidRDefault="0070372E" w:rsidP="00610049">
      <w:pPr>
        <w:pStyle w:val="clauseheadlevel2"/>
      </w:pPr>
      <w:bookmarkStart w:id="56" w:name="Elkera_Print_TOC11"/>
      <w:bookmarkStart w:id="57" w:name="Elkera_Print_BK11"/>
      <w:r>
        <w:t>8—Other requirements—refresher courses for former licensed or registered surveyors</w:t>
      </w:r>
      <w:bookmarkEnd w:id="56"/>
      <w:bookmarkEnd w:id="57"/>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 former licensed surveyor who applies for a licence as a surveyor must—</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undertake a refresher course in cadastral surveying in accordance with this regulation;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demonstrate a satisfactory level of competence in the completion of the course.</w:t>
      </w:r>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 former registered surveyor who applies for registration as a surveyor must—</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undertake a refresher course in surveying other than cadastral surveying in accordance with this regulation;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demonstrate a satisfactory level of competence in the completion of the course.</w:t>
      </w:r>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Each refresher course must be—</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set by a person appointed, with the approval of the Minister, by the Institution of Surveyors;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sufficient to enable the applicant to update the applicant's knowledge and skills in the relevant category of surveying after taking into account—</w:t>
      </w:r>
    </w:p>
    <w:p w:rsidR="0070372E" w:rsidRDefault="0070372E" w:rsidP="00610049">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applicant's qualifications and experience in that category of surveying; and</w:t>
      </w:r>
    </w:p>
    <w:p w:rsidR="0070372E" w:rsidRDefault="0070372E" w:rsidP="00610049">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the length of time that the applicant has not practised in that category of surveying.</w:t>
      </w:r>
    </w:p>
    <w:p w:rsidR="0070372E"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The applicant's level of competence in relation to a course must be assessed by a person appointed, with the approval of the Minister, by the Institution of Surveyors.</w:t>
      </w:r>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(5)</w:t>
      </w:r>
      <w:r>
        <w:rPr>
          <w:color w:val="000000"/>
          <w:sz w:val="23"/>
          <w:szCs w:val="23"/>
        </w:rPr>
        <w:tab/>
        <w:t>The assessment of an applicant's level of competence in the completion of a course in a particular category of surveying must be based on the following considerations:</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whether the applicant's level of competence equates to the standards of competence expected in such a category of surveying in the workplace;</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any relevant guidelines published by the Institution of Surveyors and in force from time to time.</w:t>
      </w:r>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(6)</w:t>
      </w:r>
      <w:r>
        <w:rPr>
          <w:color w:val="000000"/>
          <w:sz w:val="23"/>
          <w:szCs w:val="23"/>
        </w:rPr>
        <w:tab/>
        <w:t>In this regulation—</w:t>
      </w:r>
    </w:p>
    <w:p w:rsidR="0070372E" w:rsidRDefault="0070372E" w:rsidP="00610049">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former licensed surveyor</w:t>
      </w:r>
      <w:r>
        <w:rPr>
          <w:color w:val="000000"/>
          <w:sz w:val="23"/>
          <w:szCs w:val="23"/>
        </w:rPr>
        <w:t xml:space="preserve"> means a former licensed surveyor in respect of whom a period of 5 or more years has elapsed since they were last licensed;</w:t>
      </w:r>
    </w:p>
    <w:p w:rsidR="0070372E" w:rsidRDefault="0070372E" w:rsidP="00610049">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former registered surveyor</w:t>
      </w:r>
      <w:r>
        <w:rPr>
          <w:color w:val="000000"/>
          <w:sz w:val="23"/>
          <w:szCs w:val="23"/>
        </w:rPr>
        <w:t xml:space="preserve"> means a former registered surveyor in respect of whom a period of 5 or more years has elapsed since they were last registered.</w:t>
      </w:r>
    </w:p>
    <w:p w:rsidR="00895F80" w:rsidRDefault="00895F80" w:rsidP="00610049">
      <w:pPr>
        <w:spacing w:after="0" w:line="240" w:lineRule="auto"/>
        <w:jc w:val="left"/>
        <w:rPr>
          <w:rFonts w:eastAsia="Times New Roman"/>
          <w:b/>
          <w:bCs/>
          <w:color w:val="000000"/>
          <w:sz w:val="32"/>
          <w:szCs w:val="32"/>
          <w:lang w:eastAsia="en-AU"/>
        </w:rPr>
      </w:pPr>
      <w:bookmarkStart w:id="58" w:name="idf19c5554_c390_4d75_aab9_54ec436c60"/>
      <w:r>
        <w:br w:type="page"/>
      </w:r>
    </w:p>
    <w:p w:rsidR="00895F80" w:rsidRPr="00895F80" w:rsidRDefault="00895F80" w:rsidP="00610049">
      <w:pPr>
        <w:pStyle w:val="partheadlevel1"/>
        <w:spacing w:before="0" w:line="20" w:lineRule="exact"/>
        <w:rPr>
          <w:sz w:val="17"/>
          <w:szCs w:val="17"/>
        </w:rPr>
      </w:pPr>
    </w:p>
    <w:p w:rsidR="0070372E" w:rsidRDefault="0070372E" w:rsidP="00610049">
      <w:pPr>
        <w:pStyle w:val="partheadlevel1"/>
      </w:pPr>
      <w:r>
        <w:t>Part 3—Survey instructions</w:t>
      </w:r>
      <w:bookmarkEnd w:id="58"/>
    </w:p>
    <w:p w:rsidR="0070372E" w:rsidRDefault="0070372E" w:rsidP="00610049">
      <w:pPr>
        <w:pStyle w:val="clauseheadlevel2"/>
      </w:pPr>
      <w:bookmarkStart w:id="59" w:name="Elkera_Print_TOC14"/>
      <w:bookmarkStart w:id="60" w:name="Elkera_Print_BK14"/>
      <w:r>
        <w:t>9—Purpose of Part</w:t>
      </w:r>
      <w:bookmarkEnd w:id="59"/>
      <w:bookmarkEnd w:id="60"/>
    </w:p>
    <w:p w:rsidR="0070372E" w:rsidRDefault="0070372E" w:rsidP="00610049">
      <w:pPr>
        <w:keepLines/>
        <w:autoSpaceDE w:val="0"/>
        <w:autoSpaceDN w:val="0"/>
        <w:adjustRightInd w:val="0"/>
        <w:spacing w:before="120" w:after="0" w:line="240" w:lineRule="auto"/>
        <w:ind w:left="794"/>
        <w:jc w:val="left"/>
        <w:rPr>
          <w:color w:val="000000"/>
          <w:sz w:val="23"/>
          <w:szCs w:val="23"/>
        </w:rPr>
      </w:pPr>
      <w:r>
        <w:rPr>
          <w:color w:val="000000"/>
          <w:sz w:val="23"/>
          <w:szCs w:val="23"/>
        </w:rPr>
        <w:t>This Part is made for the purposes of section 43 of the Act.</w:t>
      </w:r>
    </w:p>
    <w:p w:rsidR="0070372E" w:rsidRDefault="0070372E" w:rsidP="00610049">
      <w:pPr>
        <w:pStyle w:val="clauseheadlevel2"/>
      </w:pPr>
      <w:r>
        <w:t>10—Interpretation</w:t>
      </w:r>
    </w:p>
    <w:p w:rsidR="0070372E" w:rsidRDefault="0070372E" w:rsidP="00610049">
      <w:pPr>
        <w:keepNext/>
        <w:keepLines/>
        <w:autoSpaceDE w:val="0"/>
        <w:autoSpaceDN w:val="0"/>
        <w:adjustRightInd w:val="0"/>
        <w:spacing w:before="120" w:after="0" w:line="240" w:lineRule="auto"/>
        <w:ind w:left="794"/>
        <w:jc w:val="left"/>
        <w:rPr>
          <w:color w:val="000000"/>
          <w:sz w:val="23"/>
          <w:szCs w:val="23"/>
        </w:rPr>
      </w:pPr>
      <w:r>
        <w:rPr>
          <w:color w:val="000000"/>
          <w:sz w:val="23"/>
          <w:szCs w:val="23"/>
        </w:rPr>
        <w:t>In this Part—</w:t>
      </w:r>
    </w:p>
    <w:p w:rsidR="0070372E" w:rsidRDefault="0070372E" w:rsidP="00610049">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allotment</w:t>
      </w:r>
      <w:r>
        <w:rPr>
          <w:color w:val="000000"/>
          <w:sz w:val="23"/>
          <w:szCs w:val="23"/>
        </w:rPr>
        <w:t xml:space="preserve"> has the same meaning as in Part 19AB of the </w:t>
      </w:r>
      <w:hyperlink r:id="rId29" w:history="1">
        <w:r>
          <w:rPr>
            <w:i/>
            <w:iCs/>
            <w:color w:val="000000"/>
            <w:sz w:val="23"/>
            <w:szCs w:val="23"/>
          </w:rPr>
          <w:t>Real Property Act 1886</w:t>
        </w:r>
      </w:hyperlink>
      <w:r>
        <w:rPr>
          <w:color w:val="000000"/>
          <w:sz w:val="23"/>
          <w:szCs w:val="23"/>
        </w:rPr>
        <w:t xml:space="preserve"> and in addition includes a community lot, development lot and common property within the meaning of the </w:t>
      </w:r>
      <w:hyperlink r:id="rId30" w:history="1">
        <w:r>
          <w:rPr>
            <w:i/>
            <w:iCs/>
            <w:color w:val="000000"/>
            <w:sz w:val="23"/>
            <w:szCs w:val="23"/>
          </w:rPr>
          <w:t>Community Titles Act 1996</w:t>
        </w:r>
      </w:hyperlink>
      <w:r>
        <w:rPr>
          <w:color w:val="000000"/>
          <w:sz w:val="23"/>
          <w:szCs w:val="23"/>
        </w:rPr>
        <w:t xml:space="preserve"> and a unit and common property within the meaning of the </w:t>
      </w:r>
      <w:hyperlink r:id="rId31" w:history="1">
        <w:r>
          <w:rPr>
            <w:i/>
            <w:iCs/>
            <w:color w:val="000000"/>
            <w:sz w:val="23"/>
            <w:szCs w:val="23"/>
          </w:rPr>
          <w:t>Strata Titles Act 1988</w:t>
        </w:r>
      </w:hyperlink>
      <w:r>
        <w:rPr>
          <w:color w:val="000000"/>
          <w:sz w:val="23"/>
          <w:szCs w:val="23"/>
        </w:rPr>
        <w:t>;</w:t>
      </w:r>
    </w:p>
    <w:p w:rsidR="0070372E" w:rsidRDefault="0070372E" w:rsidP="00610049">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coordinated cadastre</w:t>
      </w:r>
      <w:r>
        <w:rPr>
          <w:color w:val="000000"/>
          <w:sz w:val="23"/>
          <w:szCs w:val="23"/>
        </w:rPr>
        <w:t>—see Part 5 Division 1 of the Act;</w:t>
      </w:r>
    </w:p>
    <w:p w:rsidR="0070372E" w:rsidRDefault="0070372E" w:rsidP="00610049">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division</w:t>
      </w:r>
      <w:r>
        <w:rPr>
          <w:color w:val="000000"/>
          <w:sz w:val="23"/>
          <w:szCs w:val="23"/>
        </w:rPr>
        <w:t xml:space="preserve"> of land has the same meaning as in Part 19AB of the </w:t>
      </w:r>
      <w:hyperlink r:id="rId32" w:history="1">
        <w:r>
          <w:rPr>
            <w:i/>
            <w:iCs/>
            <w:color w:val="000000"/>
            <w:sz w:val="23"/>
            <w:szCs w:val="23"/>
          </w:rPr>
          <w:t>Real Property Act 1886</w:t>
        </w:r>
      </w:hyperlink>
      <w:r>
        <w:rPr>
          <w:color w:val="000000"/>
          <w:sz w:val="23"/>
          <w:szCs w:val="23"/>
        </w:rPr>
        <w:t>;</w:t>
      </w:r>
    </w:p>
    <w:p w:rsidR="0070372E" w:rsidRDefault="0070372E" w:rsidP="00610049">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Geocentric Datum of Australia 2020</w:t>
      </w:r>
      <w:r>
        <w:rPr>
          <w:color w:val="000000"/>
          <w:sz w:val="23"/>
          <w:szCs w:val="23"/>
        </w:rPr>
        <w:t xml:space="preserve"> or </w:t>
      </w:r>
      <w:r>
        <w:rPr>
          <w:b/>
          <w:bCs/>
          <w:i/>
          <w:iCs/>
          <w:color w:val="000000"/>
          <w:sz w:val="23"/>
          <w:szCs w:val="23"/>
        </w:rPr>
        <w:t>GDA2020</w:t>
      </w:r>
      <w:r>
        <w:rPr>
          <w:color w:val="000000"/>
          <w:sz w:val="23"/>
          <w:szCs w:val="23"/>
        </w:rPr>
        <w:t xml:space="preserve"> has the same meaning as in the </w:t>
      </w:r>
      <w:r>
        <w:rPr>
          <w:i/>
          <w:iCs/>
          <w:color w:val="000000"/>
          <w:sz w:val="23"/>
          <w:szCs w:val="23"/>
        </w:rPr>
        <w:t>National Measurement (Recognized-Value Standard of Measurement of Position) Determination 2017</w:t>
      </w:r>
      <w:r>
        <w:rPr>
          <w:color w:val="000000"/>
          <w:sz w:val="23"/>
          <w:szCs w:val="23"/>
        </w:rPr>
        <w:t xml:space="preserve"> made under section 8A of the </w:t>
      </w:r>
      <w:r>
        <w:rPr>
          <w:i/>
          <w:iCs/>
          <w:color w:val="000000"/>
          <w:sz w:val="23"/>
          <w:szCs w:val="23"/>
        </w:rPr>
        <w:t>National Measurement Act 1960</w:t>
      </w:r>
      <w:r>
        <w:rPr>
          <w:color w:val="000000"/>
          <w:sz w:val="23"/>
          <w:szCs w:val="23"/>
        </w:rPr>
        <w:t xml:space="preserve"> of the Commonwealth;</w:t>
      </w:r>
    </w:p>
    <w:p w:rsidR="0070372E" w:rsidRDefault="0070372E" w:rsidP="00610049">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improvement</w:t>
      </w:r>
      <w:r>
        <w:rPr>
          <w:color w:val="000000"/>
          <w:sz w:val="23"/>
          <w:szCs w:val="23"/>
        </w:rPr>
        <w:t xml:space="preserve"> means a permanent improvement (including a building, fence or wall) situated on or near the boundary of land;</w:t>
      </w:r>
    </w:p>
    <w:p w:rsidR="0070372E" w:rsidRDefault="0070372E" w:rsidP="00610049">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Map Grid of Australia 2020</w:t>
      </w:r>
      <w:r>
        <w:rPr>
          <w:color w:val="000000"/>
          <w:sz w:val="23"/>
          <w:szCs w:val="23"/>
        </w:rPr>
        <w:t xml:space="preserve"> means the system of rectangular coordinates derived from a Universal Transverse Mercator projection of latitudes and longitudes based on the Geocentric Datum of Australia 2020;</w:t>
      </w:r>
    </w:p>
    <w:p w:rsidR="0070372E" w:rsidRDefault="0070372E" w:rsidP="00610049">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reference mark</w:t>
      </w:r>
      <w:r>
        <w:rPr>
          <w:color w:val="000000"/>
          <w:sz w:val="23"/>
          <w:szCs w:val="23"/>
        </w:rPr>
        <w:t xml:space="preserve"> means—</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metal pin, being a length of metal pipe or rod of at least 10 millimetres in diameter and 300 millimetres in length driven at or below ground level; or</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 steel dropper of at least 300 millimetres in length driven at or below ground level; or</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a masonry nail or screw firmly secured to a concrete footpath or kerb or a building or other immovable object; or</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a drill hole and wings in concrete; or</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a lead core or plastic plug set into concrete; or</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(f)</w:t>
      </w:r>
      <w:r>
        <w:rPr>
          <w:color w:val="000000"/>
          <w:sz w:val="23"/>
          <w:szCs w:val="23"/>
        </w:rPr>
        <w:tab/>
        <w:t>a metal spike of at least 100 millimetres in length and 8 millimetres in diameter driven into bitumen; or</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(g)</w:t>
      </w:r>
      <w:r>
        <w:rPr>
          <w:color w:val="000000"/>
          <w:sz w:val="23"/>
          <w:szCs w:val="23"/>
        </w:rPr>
        <w:tab/>
        <w:t>the corner of a building or other immovable object that may be re</w:t>
      </w:r>
      <w:r>
        <w:rPr>
          <w:color w:val="000000"/>
          <w:sz w:val="23"/>
          <w:szCs w:val="23"/>
        </w:rPr>
        <w:noBreakHyphen/>
        <w:t>established without ambiguity; or</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(h)</w:t>
      </w:r>
      <w:r>
        <w:rPr>
          <w:color w:val="000000"/>
          <w:sz w:val="23"/>
          <w:szCs w:val="23"/>
        </w:rPr>
        <w:tab/>
        <w:t>a durable mark on a building or other immovable object; or</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(i)</w:t>
      </w:r>
      <w:r>
        <w:rPr>
          <w:color w:val="000000"/>
          <w:sz w:val="23"/>
          <w:szCs w:val="23"/>
        </w:rPr>
        <w:tab/>
        <w:t>any other mark approved and notified in the Gazette by the Surveyor</w:t>
      </w:r>
      <w:r>
        <w:rPr>
          <w:color w:val="000000"/>
          <w:sz w:val="23"/>
          <w:szCs w:val="23"/>
        </w:rPr>
        <w:noBreakHyphen/>
        <w:t>General as a reference mark;</w:t>
      </w:r>
    </w:p>
    <w:p w:rsidR="0070372E" w:rsidRDefault="0070372E" w:rsidP="00610049">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revoked regulations</w:t>
      </w:r>
      <w:r>
        <w:rPr>
          <w:color w:val="000000"/>
          <w:sz w:val="23"/>
          <w:szCs w:val="23"/>
        </w:rPr>
        <w:t xml:space="preserve"> means the </w:t>
      </w:r>
      <w:hyperlink r:id="rId33" w:history="1">
        <w:r>
          <w:rPr>
            <w:i/>
            <w:iCs/>
            <w:color w:val="000000"/>
            <w:sz w:val="23"/>
            <w:szCs w:val="23"/>
          </w:rPr>
          <w:t>Survey Regulations 2007</w:t>
        </w:r>
      </w:hyperlink>
      <w:r>
        <w:rPr>
          <w:color w:val="000000"/>
          <w:sz w:val="23"/>
          <w:szCs w:val="23"/>
        </w:rPr>
        <w:t xml:space="preserve"> as in force immediately before the commencement of these regulations;</w:t>
      </w:r>
    </w:p>
    <w:p w:rsidR="00201B78" w:rsidRDefault="00201B78" w:rsidP="00610049">
      <w:pPr>
        <w:spacing w:after="0" w:line="240" w:lineRule="auto"/>
        <w:jc w:val="left"/>
        <w:rPr>
          <w:b/>
          <w:bCs/>
          <w:i/>
          <w:iCs/>
          <w:color w:val="000000"/>
          <w:sz w:val="23"/>
          <w:szCs w:val="23"/>
        </w:rPr>
      </w:pPr>
      <w:r>
        <w:rPr>
          <w:b/>
          <w:bCs/>
          <w:i/>
          <w:iCs/>
          <w:color w:val="000000"/>
          <w:sz w:val="23"/>
          <w:szCs w:val="23"/>
        </w:rPr>
        <w:br w:type="page"/>
      </w:r>
    </w:p>
    <w:p w:rsidR="00201B78" w:rsidRPr="00201B78" w:rsidRDefault="00201B78" w:rsidP="00610049">
      <w:pPr>
        <w:keepNext/>
        <w:keepLines/>
        <w:autoSpaceDE w:val="0"/>
        <w:autoSpaceDN w:val="0"/>
        <w:adjustRightInd w:val="0"/>
        <w:spacing w:after="0" w:line="20" w:lineRule="exact"/>
        <w:ind w:left="794"/>
        <w:jc w:val="left"/>
        <w:rPr>
          <w:bCs/>
          <w:iCs/>
          <w:color w:val="000000"/>
          <w:szCs w:val="17"/>
        </w:rPr>
      </w:pPr>
    </w:p>
    <w:p w:rsidR="0070372E" w:rsidRDefault="0070372E" w:rsidP="00610049">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survey mark</w:t>
      </w:r>
      <w:r>
        <w:rPr>
          <w:color w:val="000000"/>
          <w:sz w:val="23"/>
          <w:szCs w:val="23"/>
        </w:rPr>
        <w:t xml:space="preserve"> means—</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survey peg; or</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 State survey mark or survey peg as defined under the revoked regulations placed or accepted in a survey in existence before the commencement of these regulations;</w:t>
      </w:r>
    </w:p>
    <w:p w:rsidR="0070372E" w:rsidRDefault="0070372E" w:rsidP="00610049">
      <w:pPr>
        <w:keepNext/>
        <w:keepLines/>
        <w:autoSpaceDE w:val="0"/>
        <w:autoSpaceDN w:val="0"/>
        <w:adjustRightInd w:val="0"/>
        <w:spacing w:before="120" w:after="0" w:line="240" w:lineRule="auto"/>
        <w:ind w:left="2382" w:hanging="794"/>
        <w:jc w:val="left"/>
        <w:rPr>
          <w:b/>
          <w:bCs/>
          <w:color w:val="000000"/>
          <w:sz w:val="20"/>
          <w:szCs w:val="20"/>
        </w:rPr>
      </w:pPr>
      <w:r>
        <w:rPr>
          <w:b/>
          <w:bCs/>
          <w:color w:val="000000"/>
          <w:sz w:val="20"/>
          <w:szCs w:val="20"/>
        </w:rPr>
        <w:t>Note—</w:t>
      </w:r>
    </w:p>
    <w:p w:rsidR="0070372E" w:rsidRDefault="0070372E" w:rsidP="00610049">
      <w:pPr>
        <w:keepLines/>
        <w:autoSpaceDE w:val="0"/>
        <w:autoSpaceDN w:val="0"/>
        <w:adjustRightInd w:val="0"/>
        <w:spacing w:before="120" w:after="0" w:line="240" w:lineRule="auto"/>
        <w:ind w:left="2382"/>
        <w:jc w:val="left"/>
        <w:rPr>
          <w:color w:val="000000"/>
          <w:sz w:val="20"/>
          <w:szCs w:val="20"/>
        </w:rPr>
      </w:pPr>
      <w:r>
        <w:rPr>
          <w:color w:val="000000"/>
          <w:sz w:val="20"/>
          <w:szCs w:val="20"/>
        </w:rPr>
        <w:t xml:space="preserve">Permanent survey marks are included in the definition of </w:t>
      </w:r>
      <w:r>
        <w:rPr>
          <w:b/>
          <w:bCs/>
          <w:i/>
          <w:iCs/>
          <w:color w:val="000000"/>
          <w:sz w:val="20"/>
          <w:szCs w:val="20"/>
        </w:rPr>
        <w:t>survey mark</w:t>
      </w:r>
      <w:r>
        <w:rPr>
          <w:color w:val="000000"/>
          <w:sz w:val="20"/>
          <w:szCs w:val="20"/>
        </w:rPr>
        <w:t xml:space="preserve"> in section 4 of the Act.</w:t>
      </w:r>
    </w:p>
    <w:p w:rsidR="0070372E" w:rsidRDefault="0070372E" w:rsidP="00610049">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survey peg</w:t>
      </w:r>
      <w:r>
        <w:rPr>
          <w:color w:val="000000"/>
          <w:sz w:val="23"/>
          <w:szCs w:val="23"/>
        </w:rPr>
        <w:t xml:space="preserve"> means—</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peg of a durable nature, composed of wood, metal, plastic or other material approved for the purpose by the Surveyor</w:t>
      </w:r>
      <w:r>
        <w:rPr>
          <w:color w:val="000000"/>
          <w:sz w:val="23"/>
          <w:szCs w:val="23"/>
        </w:rPr>
        <w:noBreakHyphen/>
        <w:t>General, measuring at least 300 millimetres in length and 50 millimetres square at the top and coloured white; or</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 metal pin, being a length of metal pipe or rod of at least 10 millimetres in diameter and 300 millimetres in length and coloured white driven at or below ground level; or</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a steel dropper of at least 300 millimetres in length and coloured white driven at or below ground level; or</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a masonry nail or screw coloured white and firmly secured to a concrete footpath or kerb or a building or other immovable object; or</w:t>
      </w:r>
    </w:p>
    <w:p w:rsidR="00F22BD0"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a drill hole and wings in concrete that is coloured white; or</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(f)</w:t>
      </w:r>
      <w:r>
        <w:rPr>
          <w:color w:val="000000"/>
          <w:sz w:val="23"/>
          <w:szCs w:val="23"/>
        </w:rPr>
        <w:tab/>
        <w:t>a lead core or plastic plug coloured white and set into concrete; or</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(g)</w:t>
      </w:r>
      <w:r>
        <w:rPr>
          <w:color w:val="000000"/>
          <w:sz w:val="23"/>
          <w:szCs w:val="23"/>
        </w:rPr>
        <w:tab/>
        <w:t>a metal spike of at least 100 millimetres in length and 8 millimetres in diameter driven into bitumen and coloured white; or</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(h)</w:t>
      </w:r>
      <w:r>
        <w:rPr>
          <w:color w:val="000000"/>
          <w:sz w:val="23"/>
          <w:szCs w:val="23"/>
        </w:rPr>
        <w:tab/>
        <w:t>any other peg or mark approved and notified in the Gazette by the Surveyor</w:t>
      </w:r>
      <w:r>
        <w:rPr>
          <w:color w:val="000000"/>
          <w:sz w:val="23"/>
          <w:szCs w:val="23"/>
        </w:rPr>
        <w:noBreakHyphen/>
        <w:t>General as a survey peg.</w:t>
      </w:r>
    </w:p>
    <w:p w:rsidR="0070372E" w:rsidRDefault="0070372E" w:rsidP="00610049">
      <w:pPr>
        <w:pStyle w:val="clauseheadlevel2"/>
      </w:pPr>
      <w:bookmarkStart w:id="61" w:name="Elkera_Print_TOC16"/>
      <w:bookmarkStart w:id="62" w:name="Elkera_Print_BK16"/>
      <w:r>
        <w:t>11—Survey evidence</w:t>
      </w:r>
      <w:bookmarkEnd w:id="61"/>
      <w:bookmarkEnd w:id="62"/>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 surveyor must, before carrying out a cadastral survey, obtain all information—</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that is likely to provide evidence of the boundaries of the land to be surveyed;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that is reasonably accessible.</w:t>
      </w:r>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 surveyor must, in carrying out a cadastral survey—</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locate all existing survey marks, reference marks, improvements and natural features likely to provide evidence of the boundaries of the land;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connect the survey to all existing surveys of land in the vicinity likely to provide evidence of the boundaries of the land by connecting to such existing survey marks or reference marks on surveys lodged in the Lands Titles Registration Office; and</w:t>
      </w:r>
    </w:p>
    <w:p w:rsidR="00406DDC" w:rsidRDefault="00406DDC" w:rsidP="00610049">
      <w:pPr>
        <w:spacing w:after="0" w:line="240" w:lineRule="auto"/>
        <w:jc w:val="left"/>
        <w:rPr>
          <w:color w:val="000000"/>
          <w:sz w:val="23"/>
          <w:szCs w:val="23"/>
        </w:rPr>
      </w:pPr>
      <w:r>
        <w:rPr>
          <w:color w:val="000000"/>
          <w:sz w:val="23"/>
          <w:szCs w:val="23"/>
        </w:rPr>
        <w:br w:type="page"/>
      </w:r>
    </w:p>
    <w:p w:rsidR="00406DDC" w:rsidRPr="00406DDC" w:rsidRDefault="00406DDC" w:rsidP="00610049">
      <w:pPr>
        <w:keepLines/>
        <w:tabs>
          <w:tab w:val="center" w:pos="1191"/>
          <w:tab w:val="left" w:pos="1588"/>
        </w:tabs>
        <w:autoSpaceDE w:val="0"/>
        <w:autoSpaceDN w:val="0"/>
        <w:adjustRightInd w:val="0"/>
        <w:spacing w:after="0" w:line="20" w:lineRule="exact"/>
        <w:ind w:left="1588" w:hanging="794"/>
        <w:jc w:val="left"/>
        <w:rPr>
          <w:color w:val="000000"/>
          <w:szCs w:val="17"/>
        </w:rPr>
      </w:pP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if significant differences in the data from an existing survey are revealed—carry out such further work as may be necessary to establish whether or not the difference results from an error in measurement in the existing survey, the placement or acceptance of the survey mark in the existing survey or the siting of the improvement.</w:t>
      </w:r>
    </w:p>
    <w:p w:rsidR="0070372E" w:rsidRDefault="0070372E" w:rsidP="00610049">
      <w:pPr>
        <w:pStyle w:val="clauseheadlevel2"/>
      </w:pPr>
      <w:r>
        <w:t>12—Placing or accepting survey marks</w:t>
      </w:r>
    </w:p>
    <w:p w:rsidR="0070372E"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 surveyor must, in carrying out a cadastral survey ensure that each new boundary of the land is marked with survey pegs so that the boundary is readily and unambiguously discernible on the ground after completion of the survey and complies with any applicable directions given by the Surveyor</w:t>
      </w:r>
      <w:r>
        <w:rPr>
          <w:color w:val="000000"/>
          <w:sz w:val="23"/>
          <w:szCs w:val="23"/>
        </w:rPr>
        <w:noBreakHyphen/>
        <w:t>General.</w:t>
      </w:r>
    </w:p>
    <w:p w:rsidR="0070372E"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 surveyor must ensure that each survey mark placed or accepted in a cadastral survey is secure and reasonably protected from accidental disturbance.</w:t>
      </w:r>
    </w:p>
    <w:p w:rsidR="0070372E" w:rsidRDefault="0070372E" w:rsidP="00610049">
      <w:pPr>
        <w:pStyle w:val="clauseheadlevel2"/>
      </w:pPr>
      <w:bookmarkStart w:id="63" w:name="idd9c79e2e_04a7_4468_8862_f1f0b1a77d"/>
      <w:r>
        <w:t>13—Permanent survey marks</w:t>
      </w:r>
      <w:bookmarkEnd w:id="63"/>
    </w:p>
    <w:p w:rsidR="0070372E"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64" w:name="iddd76566e_6944_40c5_81fd_f2bdae73b2"/>
      <w:r>
        <w:rPr>
          <w:color w:val="000000"/>
          <w:sz w:val="23"/>
          <w:szCs w:val="23"/>
        </w:rPr>
        <w:tab/>
        <w:t>(1)</w:t>
      </w:r>
      <w:r>
        <w:rPr>
          <w:color w:val="000000"/>
          <w:sz w:val="23"/>
          <w:szCs w:val="23"/>
        </w:rPr>
        <w:tab/>
        <w:t>A surveyor must, in carrying out a cadastral survey of land within the designated survey area or the coordinated cadastre, comply with any directions given by the Surveyor</w:t>
      </w:r>
      <w:r>
        <w:rPr>
          <w:color w:val="000000"/>
          <w:sz w:val="23"/>
          <w:szCs w:val="23"/>
        </w:rPr>
        <w:noBreakHyphen/>
        <w:t>General as to the placing of permanent survey marks and the provision to the Surveyor</w:t>
      </w:r>
      <w:r>
        <w:rPr>
          <w:color w:val="000000"/>
          <w:sz w:val="23"/>
          <w:szCs w:val="23"/>
        </w:rPr>
        <w:noBreakHyphen/>
        <w:t>General of information relating to the marks once placed.</w:t>
      </w:r>
      <w:bookmarkEnd w:id="64"/>
    </w:p>
    <w:p w:rsidR="0070372E"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 surveyor must, if using permanent survey marks in carrying out a cadastral survey on land not within the designated survey area or the coordinated cadastre, comply with any directions given by the Surveyor</w:t>
      </w:r>
      <w:r>
        <w:rPr>
          <w:color w:val="000000"/>
          <w:sz w:val="23"/>
          <w:szCs w:val="23"/>
        </w:rPr>
        <w:noBreakHyphen/>
        <w:t xml:space="preserve">General referred to in </w:t>
      </w:r>
      <w:hyperlink w:anchor="iddd76566e_6944_40c5_81fd_f2bdae73b2" w:history="1">
        <w:r>
          <w:rPr>
            <w:color w:val="000000"/>
            <w:sz w:val="23"/>
            <w:szCs w:val="23"/>
          </w:rPr>
          <w:t>subregulation (1)</w:t>
        </w:r>
      </w:hyperlink>
      <w:r>
        <w:rPr>
          <w:color w:val="000000"/>
          <w:sz w:val="23"/>
          <w:szCs w:val="23"/>
        </w:rPr>
        <w:t xml:space="preserve"> in relation to the permanent survey marks.</w:t>
      </w:r>
    </w:p>
    <w:p w:rsidR="0070372E" w:rsidRDefault="0070372E" w:rsidP="00610049">
      <w:pPr>
        <w:pStyle w:val="clauseheadlevel2"/>
      </w:pPr>
      <w:bookmarkStart w:id="65" w:name="Elkera_Print_TOC20"/>
      <w:bookmarkStart w:id="66" w:name="Elkera_Print_BK20"/>
      <w:r>
        <w:t>14—Accuracy</w:t>
      </w:r>
      <w:bookmarkEnd w:id="65"/>
      <w:bookmarkEnd w:id="66"/>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67" w:name="id39510d60_e6cf_4260_b42a_27236e4322da_2"/>
      <w:r>
        <w:rPr>
          <w:color w:val="000000"/>
          <w:sz w:val="23"/>
          <w:szCs w:val="23"/>
        </w:rPr>
        <w:tab/>
        <w:t>(1)</w:t>
      </w:r>
      <w:r>
        <w:rPr>
          <w:color w:val="000000"/>
          <w:sz w:val="23"/>
          <w:szCs w:val="23"/>
        </w:rPr>
        <w:tab/>
        <w:t>A surveyor must, in carrying out a cadastral survey—</w:t>
      </w:r>
      <w:bookmarkEnd w:id="67"/>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use equipment and techniques to ensure that the required standard of accuracy, as determined by the Surveyor</w:t>
      </w:r>
      <w:r>
        <w:rPr>
          <w:color w:val="000000"/>
          <w:sz w:val="23"/>
          <w:szCs w:val="23"/>
        </w:rPr>
        <w:noBreakHyphen/>
        <w:t>General, is met;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carry out adequate checks of the survey to ensure that the required standard of accuracy, as determined by the Surveyor</w:t>
      </w:r>
      <w:r>
        <w:rPr>
          <w:color w:val="000000"/>
          <w:sz w:val="23"/>
          <w:szCs w:val="23"/>
        </w:rPr>
        <w:noBreakHyphen/>
        <w:t>General, is met.</w:t>
      </w:r>
    </w:p>
    <w:p w:rsidR="0070372E"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 surveyor must provide the Surveyor</w:t>
      </w:r>
      <w:r>
        <w:rPr>
          <w:color w:val="000000"/>
          <w:sz w:val="23"/>
          <w:szCs w:val="23"/>
        </w:rPr>
        <w:noBreakHyphen/>
        <w:t xml:space="preserve">General with satisfactory evidence of compliance with </w:t>
      </w:r>
      <w:hyperlink w:anchor="id39510d60_e6cf_4260_b42a_27236e4322da_2" w:history="1">
        <w:r>
          <w:rPr>
            <w:color w:val="000000"/>
            <w:sz w:val="23"/>
            <w:szCs w:val="23"/>
          </w:rPr>
          <w:t>subregulation (1)</w:t>
        </w:r>
      </w:hyperlink>
      <w:r>
        <w:rPr>
          <w:color w:val="000000"/>
          <w:sz w:val="23"/>
          <w:szCs w:val="23"/>
        </w:rPr>
        <w:t xml:space="preserve"> in relation to a specified cadastral survey within 14 days of receiving a written request from the Surveyor</w:t>
      </w:r>
      <w:r>
        <w:rPr>
          <w:color w:val="000000"/>
          <w:sz w:val="23"/>
          <w:szCs w:val="23"/>
        </w:rPr>
        <w:noBreakHyphen/>
        <w:t>General for such evidence (or such longer period as is allowed by the Surveyor</w:t>
      </w:r>
      <w:r>
        <w:rPr>
          <w:color w:val="000000"/>
          <w:sz w:val="23"/>
          <w:szCs w:val="23"/>
        </w:rPr>
        <w:noBreakHyphen/>
        <w:t>General).</w:t>
      </w:r>
    </w:p>
    <w:p w:rsidR="0070372E" w:rsidRDefault="0070372E" w:rsidP="00610049">
      <w:pPr>
        <w:pStyle w:val="clauseheadlevel2"/>
      </w:pPr>
      <w:bookmarkStart w:id="68" w:name="Elkera_Print_TOC21"/>
      <w:bookmarkStart w:id="69" w:name="Elkera_Print_BK21"/>
      <w:r>
        <w:t>15—Field notes</w:t>
      </w:r>
      <w:bookmarkEnd w:id="68"/>
      <w:bookmarkEnd w:id="69"/>
    </w:p>
    <w:p w:rsidR="0070372E"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 surveyor must ensure that records or notes of survey (which may be in electronic form) are made in the course of a cadastral survey carried out or supervised by the surveyor and must retain those records or notes for a period of at least 10 years after completion of the survey.</w:t>
      </w:r>
    </w:p>
    <w:p w:rsidR="0070372E"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 surveyor must provide the Surveyor</w:t>
      </w:r>
      <w:r>
        <w:rPr>
          <w:color w:val="000000"/>
          <w:sz w:val="23"/>
          <w:szCs w:val="23"/>
        </w:rPr>
        <w:noBreakHyphen/>
        <w:t>General with a copy of the records or notes made in relation to a specified cadastral survey within 14 days of receiving a written request from the Surveyor</w:t>
      </w:r>
      <w:r>
        <w:rPr>
          <w:color w:val="000000"/>
          <w:sz w:val="23"/>
          <w:szCs w:val="23"/>
        </w:rPr>
        <w:noBreakHyphen/>
        <w:t>General for such copy (or such longer period as is allowed by the Surveyor</w:t>
      </w:r>
      <w:r>
        <w:rPr>
          <w:color w:val="000000"/>
          <w:sz w:val="23"/>
          <w:szCs w:val="23"/>
        </w:rPr>
        <w:noBreakHyphen/>
        <w:t>General).</w:t>
      </w:r>
    </w:p>
    <w:p w:rsidR="00413C8D" w:rsidRDefault="00413C8D" w:rsidP="00610049">
      <w:pPr>
        <w:spacing w:after="0" w:line="240" w:lineRule="auto"/>
        <w:jc w:val="left"/>
        <w:rPr>
          <w:rFonts w:eastAsia="Times New Roman"/>
          <w:b/>
          <w:bCs/>
          <w:color w:val="000000"/>
          <w:sz w:val="26"/>
          <w:szCs w:val="26"/>
          <w:lang w:eastAsia="en-AU"/>
        </w:rPr>
      </w:pPr>
      <w:bookmarkStart w:id="70" w:name="Elkera_Print_TOC23"/>
      <w:bookmarkStart w:id="71" w:name="idef63b5e0_abe3_4033_a16c_a1be4ef8c3"/>
      <w:r>
        <w:br w:type="page"/>
      </w:r>
    </w:p>
    <w:p w:rsidR="00413C8D" w:rsidRPr="00413C8D" w:rsidRDefault="00413C8D" w:rsidP="00610049">
      <w:pPr>
        <w:pStyle w:val="clauseheadlevel2"/>
        <w:spacing w:before="0" w:line="20" w:lineRule="exact"/>
        <w:rPr>
          <w:sz w:val="17"/>
          <w:szCs w:val="17"/>
        </w:rPr>
      </w:pPr>
    </w:p>
    <w:p w:rsidR="0070372E" w:rsidRDefault="0070372E" w:rsidP="00610049">
      <w:pPr>
        <w:pStyle w:val="clauseheadlevel2"/>
      </w:pPr>
      <w:r>
        <w:t>16—Survey reports</w:t>
      </w:r>
      <w:bookmarkEnd w:id="70"/>
      <w:bookmarkEnd w:id="71"/>
    </w:p>
    <w:p w:rsidR="0070372E"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72" w:name="idef79dd97_0b73_442d_8d53_c9a880099b"/>
      <w:r>
        <w:rPr>
          <w:color w:val="000000"/>
          <w:sz w:val="23"/>
          <w:szCs w:val="23"/>
        </w:rPr>
        <w:tab/>
        <w:t>(1)</w:t>
      </w:r>
      <w:r>
        <w:rPr>
          <w:color w:val="000000"/>
          <w:sz w:val="23"/>
          <w:szCs w:val="23"/>
        </w:rPr>
        <w:tab/>
        <w:t>A surveyor must, if requested to do so in writing by the Surveyor</w:t>
      </w:r>
      <w:r>
        <w:rPr>
          <w:color w:val="000000"/>
          <w:sz w:val="23"/>
          <w:szCs w:val="23"/>
        </w:rPr>
        <w:noBreakHyphen/>
        <w:t>General, provide the Surveyor</w:t>
      </w:r>
      <w:r>
        <w:rPr>
          <w:color w:val="000000"/>
          <w:sz w:val="23"/>
          <w:szCs w:val="23"/>
        </w:rPr>
        <w:noBreakHyphen/>
        <w:t>General with a report under this regulation in relation to a cadastral survey in respect of which the surveyor has certified a plan within 14 days of receiving the request.</w:t>
      </w:r>
      <w:bookmarkEnd w:id="72"/>
    </w:p>
    <w:p w:rsidR="0070372E"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73" w:name="id82d67987_f32c_42ab_af72_bde7620683"/>
      <w:r>
        <w:rPr>
          <w:color w:val="000000"/>
          <w:sz w:val="23"/>
          <w:szCs w:val="23"/>
        </w:rPr>
        <w:tab/>
        <w:t>(2)</w:t>
      </w:r>
      <w:r>
        <w:rPr>
          <w:color w:val="000000"/>
          <w:sz w:val="23"/>
          <w:szCs w:val="23"/>
        </w:rPr>
        <w:tab/>
        <w:t>The Surveyor</w:t>
      </w:r>
      <w:r>
        <w:rPr>
          <w:color w:val="000000"/>
          <w:sz w:val="23"/>
          <w:szCs w:val="23"/>
        </w:rPr>
        <w:noBreakHyphen/>
        <w:t xml:space="preserve">General may direct that </w:t>
      </w:r>
      <w:hyperlink w:anchor="idef79dd97_0b73_442d_8d53_c9a880099b" w:history="1">
        <w:r>
          <w:rPr>
            <w:color w:val="000000"/>
            <w:sz w:val="23"/>
            <w:szCs w:val="23"/>
          </w:rPr>
          <w:t>subregulation (1)</w:t>
        </w:r>
      </w:hyperlink>
      <w:r>
        <w:rPr>
          <w:color w:val="000000"/>
          <w:sz w:val="23"/>
          <w:szCs w:val="23"/>
        </w:rPr>
        <w:t xml:space="preserve"> does not apply to a cadastral survey of a particular class, and that the report be provided immediately after certifying the plan or such longer period as is allowed by the Surveyor</w:t>
      </w:r>
      <w:r>
        <w:rPr>
          <w:color w:val="000000"/>
          <w:sz w:val="23"/>
          <w:szCs w:val="23"/>
        </w:rPr>
        <w:noBreakHyphen/>
        <w:t>General.</w:t>
      </w:r>
      <w:bookmarkEnd w:id="73"/>
    </w:p>
    <w:p w:rsidR="0070372E"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A report under this regulation must include the information required, and be in a form approved, by the Surveyor</w:t>
      </w:r>
      <w:r>
        <w:rPr>
          <w:color w:val="000000"/>
          <w:sz w:val="23"/>
          <w:szCs w:val="23"/>
        </w:rPr>
        <w:noBreakHyphen/>
        <w:t>General.</w:t>
      </w:r>
    </w:p>
    <w:p w:rsidR="0070372E" w:rsidRDefault="0070372E" w:rsidP="00610049">
      <w:pPr>
        <w:pStyle w:val="clauseheadlevel2"/>
      </w:pPr>
      <w:bookmarkStart w:id="74" w:name="Elkera_Print_TOC24"/>
      <w:bookmarkStart w:id="75" w:name="Elkera_Print_BK24"/>
      <w:r>
        <w:t>17—Identification surveys to comply with code</w:t>
      </w:r>
      <w:bookmarkEnd w:id="74"/>
      <w:bookmarkEnd w:id="75"/>
    </w:p>
    <w:p w:rsidR="0070372E"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 surveyor who carries out an identification survey must comply with the provisions of the Lodgement of Boundary Identification Surveys Code (</w:t>
      </w:r>
      <w:r>
        <w:rPr>
          <w:b/>
          <w:bCs/>
          <w:i/>
          <w:iCs/>
          <w:color w:val="000000"/>
          <w:sz w:val="23"/>
          <w:szCs w:val="23"/>
        </w:rPr>
        <w:t>the code</w:t>
      </w:r>
      <w:r>
        <w:rPr>
          <w:color w:val="000000"/>
          <w:sz w:val="23"/>
          <w:szCs w:val="23"/>
        </w:rPr>
        <w:t>).</w:t>
      </w:r>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In order to comply with the provisions of the code, the surveyor must—</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comply with any provisions in the code that are expressed as mandatory;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have regard to any provisions in the code that are not expressed as mandatory but are expressed as recommendations.</w:t>
      </w:r>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In this regulation—</w:t>
      </w:r>
    </w:p>
    <w:p w:rsidR="0070372E" w:rsidRDefault="0070372E" w:rsidP="00610049">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identification survey</w:t>
      </w:r>
      <w:r>
        <w:rPr>
          <w:color w:val="000000"/>
          <w:sz w:val="23"/>
          <w:szCs w:val="23"/>
        </w:rPr>
        <w:t xml:space="preserve"> means a cadastral survey of existing boundaries of land for which a plan is not required by law (other than by this regulation) to be lodged in the Lands Titles Registration Office;</w:t>
      </w:r>
    </w:p>
    <w:p w:rsidR="0070372E" w:rsidRDefault="0070372E" w:rsidP="00610049">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Lodgement of Boundary Identification Surveys Code</w:t>
      </w:r>
      <w:r>
        <w:rPr>
          <w:color w:val="000000"/>
          <w:sz w:val="23"/>
          <w:szCs w:val="23"/>
        </w:rPr>
        <w:t xml:space="preserve"> means the </w:t>
      </w:r>
      <w:r>
        <w:rPr>
          <w:i/>
          <w:iCs/>
          <w:color w:val="000000"/>
          <w:sz w:val="23"/>
          <w:szCs w:val="23"/>
        </w:rPr>
        <w:t>Code of Practice—Lodgement of Boundary Identification Surveys</w:t>
      </w:r>
      <w:r>
        <w:rPr>
          <w:color w:val="000000"/>
          <w:sz w:val="23"/>
          <w:szCs w:val="23"/>
        </w:rPr>
        <w:t>, prepared by the Surveyors Board of South Australia, 17 March 2016, as in force from time to time.</w:t>
      </w:r>
    </w:p>
    <w:p w:rsidR="0070372E" w:rsidRDefault="0070372E" w:rsidP="00610049">
      <w:pPr>
        <w:pStyle w:val="clauseheadlevel2"/>
      </w:pPr>
      <w:bookmarkStart w:id="76" w:name="Elkera_Print_TOC25"/>
      <w:bookmarkStart w:id="77" w:name="Elkera_Print_BK25"/>
      <w:r>
        <w:t>18—Plans</w:t>
      </w:r>
      <w:bookmarkEnd w:id="76"/>
      <w:bookmarkEnd w:id="77"/>
    </w:p>
    <w:p w:rsidR="0070372E" w:rsidRDefault="0070372E" w:rsidP="00610049">
      <w:pPr>
        <w:keepLines/>
        <w:autoSpaceDE w:val="0"/>
        <w:autoSpaceDN w:val="0"/>
        <w:adjustRightInd w:val="0"/>
        <w:spacing w:before="120" w:after="0" w:line="240" w:lineRule="auto"/>
        <w:ind w:left="794"/>
        <w:jc w:val="left"/>
        <w:rPr>
          <w:color w:val="000000"/>
          <w:sz w:val="23"/>
          <w:szCs w:val="23"/>
        </w:rPr>
      </w:pPr>
      <w:r>
        <w:rPr>
          <w:color w:val="000000"/>
          <w:sz w:val="23"/>
          <w:szCs w:val="23"/>
        </w:rPr>
        <w:t>A plan of a cadastral survey lodged in the Lands Titles Registration Office must comply with the plan presentation guidelines published by the Surveyor</w:t>
      </w:r>
      <w:r>
        <w:rPr>
          <w:color w:val="000000"/>
          <w:sz w:val="23"/>
          <w:szCs w:val="23"/>
        </w:rPr>
        <w:noBreakHyphen/>
        <w:t>General and the Registrar</w:t>
      </w:r>
      <w:r>
        <w:rPr>
          <w:color w:val="000000"/>
          <w:sz w:val="23"/>
          <w:szCs w:val="23"/>
        </w:rPr>
        <w:noBreakHyphen/>
        <w:t>General as in force from time to time.</w:t>
      </w:r>
    </w:p>
    <w:p w:rsidR="0070372E" w:rsidRDefault="0070372E" w:rsidP="00610049">
      <w:pPr>
        <w:pStyle w:val="clauseheadlevel2"/>
      </w:pPr>
      <w:bookmarkStart w:id="78" w:name="Elkera_Print_TOC26"/>
      <w:bookmarkStart w:id="79" w:name="Elkera_Print_BK26"/>
      <w:r>
        <w:t>19—Certification of plans</w:t>
      </w:r>
      <w:bookmarkEnd w:id="78"/>
      <w:bookmarkEnd w:id="79"/>
    </w:p>
    <w:p w:rsidR="00F22BD0"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 surveyor must certify a plan of a cadastral survey by completing a certificate, in a form approved by the Surveyor</w:t>
      </w:r>
      <w:r>
        <w:rPr>
          <w:color w:val="000000"/>
          <w:sz w:val="23"/>
          <w:szCs w:val="23"/>
        </w:rPr>
        <w:noBreakHyphen/>
        <w:t>General.</w:t>
      </w:r>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If a surveyor certifies a plan of a cadastral survey undertaken by another surveyor, the certifying surveyor must certify that—</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survey was undertaken under the supervision of the certifying surveyor;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survey complied with all requirements of the Act.</w:t>
      </w:r>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A surveyor must not certify a plan of a cadastral survey unless satisfied that—</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survey has been carried out in accordance with this Part;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plan complies with the requirements of this Part; and</w:t>
      </w:r>
    </w:p>
    <w:p w:rsidR="00367F52" w:rsidRDefault="00367F52" w:rsidP="00610049">
      <w:pPr>
        <w:spacing w:after="0" w:line="240" w:lineRule="auto"/>
        <w:jc w:val="left"/>
        <w:rPr>
          <w:color w:val="000000"/>
          <w:sz w:val="23"/>
          <w:szCs w:val="23"/>
        </w:rPr>
      </w:pPr>
      <w:r>
        <w:rPr>
          <w:color w:val="000000"/>
          <w:sz w:val="23"/>
          <w:szCs w:val="23"/>
        </w:rPr>
        <w:br w:type="page"/>
      </w:r>
    </w:p>
    <w:p w:rsidR="00367F52" w:rsidRPr="00367F52" w:rsidRDefault="00367F52" w:rsidP="00610049">
      <w:pPr>
        <w:keepNext/>
        <w:keepLines/>
        <w:tabs>
          <w:tab w:val="center" w:pos="1191"/>
          <w:tab w:val="left" w:pos="1588"/>
        </w:tabs>
        <w:autoSpaceDE w:val="0"/>
        <w:autoSpaceDN w:val="0"/>
        <w:adjustRightInd w:val="0"/>
        <w:spacing w:after="0" w:line="20" w:lineRule="exact"/>
        <w:ind w:left="1588" w:hanging="794"/>
        <w:jc w:val="left"/>
        <w:rPr>
          <w:color w:val="000000"/>
          <w:szCs w:val="17"/>
        </w:rPr>
      </w:pPr>
    </w:p>
    <w:p w:rsidR="0070372E" w:rsidRDefault="0070372E" w:rsidP="00610049">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certificate complies with the requirements of this regulation.</w:t>
      </w:r>
    </w:p>
    <w:p w:rsidR="0070372E" w:rsidRDefault="0070372E" w:rsidP="00610049">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$2 000.</w:t>
      </w:r>
    </w:p>
    <w:p w:rsidR="0070372E" w:rsidRDefault="0070372E" w:rsidP="00610049">
      <w:pPr>
        <w:pStyle w:val="clauseheadlevel2"/>
      </w:pPr>
      <w:bookmarkStart w:id="80" w:name="Elkera_Print_TOC27"/>
      <w:bookmarkStart w:id="81" w:name="Elkera_Print_BK27"/>
      <w:r>
        <w:t>20—Boundaries of land within coordinated cadastre</w:t>
      </w:r>
      <w:bookmarkEnd w:id="80"/>
      <w:bookmarkEnd w:id="81"/>
    </w:p>
    <w:p w:rsidR="0070372E" w:rsidRDefault="0070372E" w:rsidP="00610049">
      <w:pPr>
        <w:keepLines/>
        <w:autoSpaceDE w:val="0"/>
        <w:autoSpaceDN w:val="0"/>
        <w:adjustRightInd w:val="0"/>
        <w:spacing w:before="120" w:after="0" w:line="240" w:lineRule="auto"/>
        <w:ind w:left="794"/>
        <w:jc w:val="left"/>
        <w:rPr>
          <w:color w:val="000000"/>
          <w:sz w:val="23"/>
          <w:szCs w:val="23"/>
        </w:rPr>
      </w:pPr>
      <w:r>
        <w:rPr>
          <w:color w:val="000000"/>
          <w:sz w:val="23"/>
          <w:szCs w:val="23"/>
        </w:rPr>
        <w:t>In carrying out a cadastral survey of land within the coordinated cadastre, a surveyor must accept the Map Grid of Australia 2020 coordinates describing the boundaries of the land, as recorded in the plan of the area filed in the Lands Titles Registration Office pursuant to Part 5 Division 1 of the Act.</w:t>
      </w:r>
    </w:p>
    <w:p w:rsidR="0070372E" w:rsidRDefault="0070372E" w:rsidP="00610049">
      <w:pPr>
        <w:pStyle w:val="clauseheadlevel2"/>
      </w:pPr>
      <w:bookmarkStart w:id="82" w:name="Elkera_Print_TOC29"/>
      <w:bookmarkStart w:id="83" w:name="id4cb96dcf_2b4b_4356_bbca_67dd1bd119"/>
      <w:r>
        <w:t>21—Survey of land</w:t>
      </w:r>
      <w:bookmarkEnd w:id="82"/>
      <w:bookmarkEnd w:id="83"/>
    </w:p>
    <w:p w:rsidR="0070372E" w:rsidRDefault="0070372E" w:rsidP="00610049">
      <w:pPr>
        <w:keepNext/>
        <w:keepLines/>
        <w:autoSpaceDE w:val="0"/>
        <w:autoSpaceDN w:val="0"/>
        <w:adjustRightInd w:val="0"/>
        <w:spacing w:before="120" w:after="0" w:line="240" w:lineRule="auto"/>
        <w:ind w:left="794"/>
        <w:jc w:val="left"/>
        <w:rPr>
          <w:color w:val="000000"/>
          <w:sz w:val="23"/>
          <w:szCs w:val="23"/>
        </w:rPr>
      </w:pPr>
      <w:r>
        <w:rPr>
          <w:color w:val="000000"/>
          <w:sz w:val="23"/>
          <w:szCs w:val="23"/>
        </w:rPr>
        <w:t>In carrying out a cadastral survey of land, a surveyor must comply with the following additional requirements:</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survey must connect to at least 3 permanent survey marks for which the Map Grid of Australia 2020 coordinates are known or established;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survey must be adjusted to the scale and orientation dictated by the known or established Map Grid of Australia 2020 coordinates of the permanent survey marks to which the survey is connected;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84" w:name="id81633122_6172_46c6_99d0_2b968da52d"/>
      <w:r>
        <w:rPr>
          <w:color w:val="000000"/>
          <w:sz w:val="23"/>
          <w:szCs w:val="23"/>
        </w:rPr>
        <w:tab/>
        <w:t>(c)</w:t>
      </w:r>
      <w:r>
        <w:rPr>
          <w:color w:val="000000"/>
          <w:sz w:val="23"/>
          <w:szCs w:val="23"/>
        </w:rPr>
        <w:tab/>
        <w:t>if the survey does not agree with the coordinates of the permanent survey marks to which the survey is connected within the standards of accuracy required by the Surveyor</w:t>
      </w:r>
      <w:r>
        <w:rPr>
          <w:color w:val="000000"/>
          <w:sz w:val="23"/>
          <w:szCs w:val="23"/>
        </w:rPr>
        <w:noBreakHyphen/>
        <w:t>General under this Part, the matter must be reported to the Surveyor</w:t>
      </w:r>
      <w:r>
        <w:rPr>
          <w:color w:val="000000"/>
          <w:sz w:val="23"/>
          <w:szCs w:val="23"/>
        </w:rPr>
        <w:noBreakHyphen/>
        <w:t>General and any directions given by the Surveyor</w:t>
      </w:r>
      <w:r>
        <w:rPr>
          <w:color w:val="000000"/>
          <w:sz w:val="23"/>
          <w:szCs w:val="23"/>
        </w:rPr>
        <w:noBreakHyphen/>
        <w:t>General in relation to the matter followed.</w:t>
      </w:r>
      <w:bookmarkEnd w:id="84"/>
    </w:p>
    <w:p w:rsidR="0070372E" w:rsidRDefault="0070372E" w:rsidP="00610049">
      <w:pPr>
        <w:pStyle w:val="clauseheadlevel2"/>
      </w:pPr>
      <w:bookmarkStart w:id="85" w:name="Elkera_Print_TOC30"/>
      <w:bookmarkStart w:id="86" w:name="Elkera_Print_BK30"/>
      <w:r>
        <w:t>22—Reinstatement of marks after land division complete</w:t>
      </w:r>
      <w:bookmarkEnd w:id="85"/>
      <w:bookmarkEnd w:id="86"/>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87" w:name="id1862a7f2_ac13_4368_b28d_408d414a1199_6"/>
      <w:r>
        <w:rPr>
          <w:color w:val="000000"/>
          <w:sz w:val="23"/>
          <w:szCs w:val="23"/>
        </w:rPr>
        <w:tab/>
        <w:t>(1)</w:t>
      </w:r>
      <w:r>
        <w:rPr>
          <w:color w:val="000000"/>
          <w:sz w:val="23"/>
          <w:szCs w:val="23"/>
        </w:rPr>
        <w:tab/>
        <w:t>A surveyor who has carried out a cadastral survey for a division of land into more than 5 allotments must, as soon as practicable but not later than 30 days after completion of works for the provision of roads, drains or other services in association with the division of land—</w:t>
      </w:r>
      <w:bookmarkEnd w:id="87"/>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place in position all survey marks required in relation to the survey by the Surveyor</w:t>
      </w:r>
      <w:r>
        <w:rPr>
          <w:color w:val="000000"/>
          <w:sz w:val="23"/>
          <w:szCs w:val="23"/>
        </w:rPr>
        <w:noBreakHyphen/>
        <w:t>General;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provide to the Surveyor</w:t>
      </w:r>
      <w:r>
        <w:rPr>
          <w:color w:val="000000"/>
          <w:sz w:val="23"/>
          <w:szCs w:val="23"/>
        </w:rPr>
        <w:noBreakHyphen/>
        <w:t>General any information in relation to the survey as required by the Surveyor</w:t>
      </w:r>
      <w:r>
        <w:rPr>
          <w:color w:val="000000"/>
          <w:sz w:val="23"/>
          <w:szCs w:val="23"/>
        </w:rPr>
        <w:noBreakHyphen/>
        <w:t>General.</w:t>
      </w:r>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88" w:name="id49f14aa9_19d5_42b7_b955_8e380fb1e0f2_5"/>
      <w:r>
        <w:rPr>
          <w:color w:val="000000"/>
          <w:sz w:val="23"/>
          <w:szCs w:val="23"/>
        </w:rPr>
        <w:tab/>
        <w:t>(2)</w:t>
      </w:r>
      <w:r>
        <w:rPr>
          <w:color w:val="000000"/>
          <w:sz w:val="23"/>
          <w:szCs w:val="23"/>
        </w:rPr>
        <w:tab/>
        <w:t xml:space="preserve">If a surveyor fails to comply with </w:t>
      </w:r>
      <w:hyperlink w:anchor="id1862a7f2_ac13_4368_b28d_408d414a1199_6" w:history="1">
        <w:r>
          <w:rPr>
            <w:color w:val="000000"/>
            <w:sz w:val="23"/>
            <w:szCs w:val="23"/>
          </w:rPr>
          <w:t>subregulation (1)</w:t>
        </w:r>
      </w:hyperlink>
      <w:r>
        <w:rPr>
          <w:color w:val="000000"/>
          <w:sz w:val="23"/>
          <w:szCs w:val="23"/>
        </w:rPr>
        <w:t>, the Surveyor</w:t>
      </w:r>
      <w:r>
        <w:rPr>
          <w:color w:val="000000"/>
          <w:sz w:val="23"/>
          <w:szCs w:val="23"/>
        </w:rPr>
        <w:noBreakHyphen/>
        <w:t>General—</w:t>
      </w:r>
      <w:bookmarkEnd w:id="88"/>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89" w:name="id0c57778c_782f_4f6e_8ec1_e8d1cf17bb6c_e"/>
      <w:r>
        <w:rPr>
          <w:color w:val="000000"/>
          <w:sz w:val="23"/>
          <w:szCs w:val="23"/>
        </w:rPr>
        <w:tab/>
        <w:t>(a)</w:t>
      </w:r>
      <w:r>
        <w:rPr>
          <w:color w:val="000000"/>
          <w:sz w:val="23"/>
          <w:szCs w:val="23"/>
        </w:rPr>
        <w:tab/>
        <w:t>may, after giving the surveyor not less than 14 days notice in writing—</w:t>
      </w:r>
      <w:bookmarkEnd w:id="89"/>
    </w:p>
    <w:p w:rsidR="0070372E" w:rsidRDefault="0070372E" w:rsidP="00610049">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undertake any additional survey work that may be required; and</w:t>
      </w:r>
    </w:p>
    <w:p w:rsidR="00272E40" w:rsidRDefault="0070372E" w:rsidP="00610049">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place any survey marks required in relation to the survey;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may, after taking any action under </w:t>
      </w:r>
      <w:hyperlink w:anchor="id0c57778c_782f_4f6e_8ec1_e8d1cf17bb6c_e" w:history="1">
        <w:r>
          <w:rPr>
            <w:color w:val="000000"/>
            <w:sz w:val="23"/>
            <w:szCs w:val="23"/>
          </w:rPr>
          <w:t>paragraph (a)</w:t>
        </w:r>
      </w:hyperlink>
      <w:r>
        <w:rPr>
          <w:color w:val="000000"/>
          <w:sz w:val="23"/>
          <w:szCs w:val="23"/>
        </w:rPr>
        <w:t>—</w:t>
      </w:r>
    </w:p>
    <w:p w:rsidR="0070372E" w:rsidRDefault="0070372E" w:rsidP="00610049">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amend a survey plan; and</w:t>
      </w:r>
    </w:p>
    <w:p w:rsidR="0070372E" w:rsidRDefault="0070372E" w:rsidP="00610049">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recover as a debt from the surveyor the costs of undertaking the additional survey work, placing the required survey marks and amending a survey plan.</w:t>
      </w:r>
    </w:p>
    <w:p w:rsidR="0012158F" w:rsidRDefault="0012158F" w:rsidP="00610049">
      <w:pPr>
        <w:spacing w:after="0" w:line="240" w:lineRule="auto"/>
        <w:jc w:val="left"/>
        <w:rPr>
          <w:rFonts w:eastAsia="Times New Roman"/>
          <w:b/>
          <w:bCs/>
          <w:color w:val="000000"/>
          <w:sz w:val="26"/>
          <w:szCs w:val="26"/>
          <w:lang w:eastAsia="en-AU"/>
        </w:rPr>
      </w:pPr>
      <w:bookmarkStart w:id="90" w:name="Elkera_Print_TOC31"/>
      <w:bookmarkStart w:id="91" w:name="Elkera_Print_BK31"/>
      <w:r>
        <w:br w:type="page"/>
      </w:r>
    </w:p>
    <w:p w:rsidR="0012158F" w:rsidRPr="0012158F" w:rsidRDefault="0012158F" w:rsidP="00610049">
      <w:pPr>
        <w:pStyle w:val="clauseheadlevel2"/>
        <w:spacing w:before="0" w:line="20" w:lineRule="exact"/>
        <w:rPr>
          <w:sz w:val="17"/>
          <w:szCs w:val="17"/>
        </w:rPr>
      </w:pPr>
    </w:p>
    <w:p w:rsidR="0070372E" w:rsidRDefault="0070372E" w:rsidP="00610049">
      <w:pPr>
        <w:pStyle w:val="clauseheadlevel2"/>
      </w:pPr>
      <w:r>
        <w:t>23—Removal of marks</w:t>
      </w:r>
      <w:bookmarkEnd w:id="90"/>
      <w:bookmarkEnd w:id="91"/>
    </w:p>
    <w:p w:rsidR="0070372E" w:rsidRDefault="0070372E" w:rsidP="00610049">
      <w:pPr>
        <w:keepNext/>
        <w:keepLines/>
        <w:autoSpaceDE w:val="0"/>
        <w:autoSpaceDN w:val="0"/>
        <w:adjustRightInd w:val="0"/>
        <w:spacing w:before="120" w:after="0" w:line="240" w:lineRule="auto"/>
        <w:ind w:left="794"/>
        <w:jc w:val="left"/>
        <w:rPr>
          <w:color w:val="000000"/>
          <w:sz w:val="23"/>
          <w:szCs w:val="23"/>
        </w:rPr>
      </w:pPr>
      <w:r>
        <w:rPr>
          <w:color w:val="000000"/>
          <w:sz w:val="23"/>
          <w:szCs w:val="23"/>
        </w:rPr>
        <w:t>If the Surveyor</w:t>
      </w:r>
      <w:r>
        <w:rPr>
          <w:color w:val="000000"/>
          <w:sz w:val="23"/>
          <w:szCs w:val="23"/>
        </w:rPr>
        <w:noBreakHyphen/>
        <w:t>General is satisfied that a survey mark or reference mark has been incorrectly or unlawfully placed by a person, the Surveyor</w:t>
      </w:r>
      <w:r>
        <w:rPr>
          <w:color w:val="000000"/>
          <w:sz w:val="23"/>
          <w:szCs w:val="23"/>
        </w:rPr>
        <w:noBreakHyphen/>
        <w:t>General may—</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remove the mark;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if the Surveyor</w:t>
      </w:r>
      <w:r>
        <w:rPr>
          <w:color w:val="000000"/>
          <w:sz w:val="23"/>
          <w:szCs w:val="23"/>
        </w:rPr>
        <w:noBreakHyphen/>
        <w:t>General considers it appropriate—reinstate the mark in the correct position;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recover the costs of so removing the mark, or removing and reinstating the mark, from the person.</w:t>
      </w:r>
    </w:p>
    <w:p w:rsidR="0070372E" w:rsidRDefault="0070372E" w:rsidP="00610049">
      <w:pPr>
        <w:pStyle w:val="clauseheadlevel2"/>
      </w:pPr>
      <w:bookmarkStart w:id="92" w:name="Elkera_Print_TOC32"/>
      <w:bookmarkStart w:id="93" w:name="Elkera_Print_BK32"/>
      <w:r>
        <w:t>24—Exemptions by Surveyor</w:t>
      </w:r>
      <w:r>
        <w:noBreakHyphen/>
        <w:t>General</w:t>
      </w:r>
      <w:bookmarkEnd w:id="92"/>
      <w:bookmarkEnd w:id="93"/>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94" w:name="id0366cf33_09b0_4963_9fa5_477146c65d"/>
      <w:r>
        <w:rPr>
          <w:color w:val="000000"/>
          <w:sz w:val="23"/>
          <w:szCs w:val="23"/>
        </w:rPr>
        <w:tab/>
        <w:t>(1)</w:t>
      </w:r>
      <w:r>
        <w:rPr>
          <w:color w:val="000000"/>
          <w:sz w:val="23"/>
          <w:szCs w:val="23"/>
        </w:rPr>
        <w:tab/>
        <w:t>The Surveyor</w:t>
      </w:r>
      <w:r>
        <w:rPr>
          <w:color w:val="000000"/>
          <w:sz w:val="23"/>
          <w:szCs w:val="23"/>
        </w:rPr>
        <w:noBreakHyphen/>
        <w:t>General may, by notice in writing to a surveyor, exempt the surveyor from any specified requirement of this Part in relation to a specified cadastral survey if—</w:t>
      </w:r>
      <w:bookmarkEnd w:id="94"/>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compliance is not practicable; or</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surveyor wishes to use an alternative method of survey,</w:t>
      </w:r>
    </w:p>
    <w:p w:rsidR="0070372E" w:rsidRDefault="0070372E" w:rsidP="00610049">
      <w:pPr>
        <w:keepLines/>
        <w:autoSpaceDE w:val="0"/>
        <w:autoSpaceDN w:val="0"/>
        <w:adjustRightInd w:val="0"/>
        <w:spacing w:before="120" w:after="0" w:line="240" w:lineRule="auto"/>
        <w:ind w:left="794"/>
        <w:jc w:val="left"/>
        <w:rPr>
          <w:color w:val="000000"/>
          <w:sz w:val="23"/>
          <w:szCs w:val="23"/>
        </w:rPr>
      </w:pPr>
      <w:r>
        <w:rPr>
          <w:color w:val="000000"/>
          <w:sz w:val="23"/>
          <w:szCs w:val="23"/>
        </w:rPr>
        <w:t>and the Surveyor</w:t>
      </w:r>
      <w:r>
        <w:rPr>
          <w:color w:val="000000"/>
          <w:sz w:val="23"/>
          <w:szCs w:val="23"/>
        </w:rPr>
        <w:noBreakHyphen/>
        <w:t>General is satisfied that the accuracy of the survey will not be jeopardised.</w:t>
      </w:r>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An exemption under </w:t>
      </w:r>
      <w:hyperlink w:anchor="id0366cf33_09b0_4963_9fa5_477146c65d" w:history="1">
        <w:r>
          <w:rPr>
            <w:color w:val="000000"/>
            <w:sz w:val="23"/>
            <w:szCs w:val="23"/>
          </w:rPr>
          <w:t>subregulation (1)</w:t>
        </w:r>
      </w:hyperlink>
      <w:r>
        <w:rPr>
          <w:color w:val="000000"/>
          <w:sz w:val="23"/>
          <w:szCs w:val="23"/>
        </w:rPr>
        <w:t>—</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may be made on application by a surveyor;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may be subject to conditions determined by the Surveyor</w:t>
      </w:r>
      <w:r>
        <w:rPr>
          <w:color w:val="000000"/>
          <w:sz w:val="23"/>
          <w:szCs w:val="23"/>
        </w:rPr>
        <w:noBreakHyphen/>
        <w:t>General;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may be varied or revoked by the Surveyor</w:t>
      </w:r>
      <w:r>
        <w:rPr>
          <w:color w:val="000000"/>
          <w:sz w:val="23"/>
          <w:szCs w:val="23"/>
        </w:rPr>
        <w:noBreakHyphen/>
        <w:t>General by notice in writing to the surveyor.</w:t>
      </w:r>
    </w:p>
    <w:p w:rsidR="0070372E"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95" w:name="id4a5345c1_9252_4d57_9646_9f82b8e64b"/>
      <w:r>
        <w:rPr>
          <w:color w:val="000000"/>
          <w:sz w:val="23"/>
          <w:szCs w:val="23"/>
        </w:rPr>
        <w:tab/>
        <w:t>(3)</w:t>
      </w:r>
      <w:r>
        <w:rPr>
          <w:color w:val="000000"/>
          <w:sz w:val="23"/>
          <w:szCs w:val="23"/>
        </w:rPr>
        <w:tab/>
        <w:t>The Surveyor</w:t>
      </w:r>
      <w:r>
        <w:rPr>
          <w:color w:val="000000"/>
          <w:sz w:val="23"/>
          <w:szCs w:val="23"/>
        </w:rPr>
        <w:noBreakHyphen/>
        <w:t>General may, by notice in the Gazette, exempt a class of surveys from any specified requirement of this Part.</w:t>
      </w:r>
      <w:bookmarkEnd w:id="95"/>
    </w:p>
    <w:p w:rsidR="0070372E" w:rsidRDefault="0070372E" w:rsidP="00610049">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 xml:space="preserve">An exemption under </w:t>
      </w:r>
      <w:hyperlink w:anchor="id4a5345c1_9252_4d57_9646_9f82b8e64b" w:history="1">
        <w:r>
          <w:rPr>
            <w:color w:val="000000"/>
            <w:sz w:val="23"/>
            <w:szCs w:val="23"/>
          </w:rPr>
          <w:t>subregulation (3)</w:t>
        </w:r>
      </w:hyperlink>
      <w:r>
        <w:rPr>
          <w:color w:val="000000"/>
          <w:sz w:val="23"/>
          <w:szCs w:val="23"/>
        </w:rPr>
        <w:t>—</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may be subject to conditions determined by the Surveyor</w:t>
      </w:r>
      <w:r>
        <w:rPr>
          <w:color w:val="000000"/>
          <w:sz w:val="23"/>
          <w:szCs w:val="23"/>
        </w:rPr>
        <w:noBreakHyphen/>
        <w:t>General; and</w:t>
      </w:r>
    </w:p>
    <w:p w:rsidR="0070372E" w:rsidRDefault="0070372E" w:rsidP="00610049">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may be varied or revoked by the Surveyor</w:t>
      </w:r>
      <w:r>
        <w:rPr>
          <w:color w:val="000000"/>
          <w:sz w:val="23"/>
          <w:szCs w:val="23"/>
        </w:rPr>
        <w:noBreakHyphen/>
        <w:t>General by subsequent notice in the Gazette.</w:t>
      </w:r>
    </w:p>
    <w:p w:rsidR="0070372E" w:rsidRDefault="0070372E" w:rsidP="00610049">
      <w:pPr>
        <w:pStyle w:val="clauseheadlevel2"/>
      </w:pPr>
      <w:bookmarkStart w:id="96" w:name="Elkera_Print_TOC33"/>
      <w:bookmarkStart w:id="97" w:name="Elkera_Print_BK33"/>
      <w:r>
        <w:t>25—Additional work required by Surveyor</w:t>
      </w:r>
      <w:r>
        <w:noBreakHyphen/>
        <w:t>General</w:t>
      </w:r>
      <w:bookmarkEnd w:id="96"/>
      <w:bookmarkEnd w:id="97"/>
    </w:p>
    <w:p w:rsidR="0070372E"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If the Surveyor</w:t>
      </w:r>
      <w:r>
        <w:rPr>
          <w:color w:val="000000"/>
          <w:sz w:val="23"/>
          <w:szCs w:val="23"/>
        </w:rPr>
        <w:noBreakHyphen/>
        <w:t>General believes on reasonable grounds that the definition of boundaries as shown on a survey plan may not be accurate by reason of the survey not being carried out in accordance with these regulations, the Surveyor</w:t>
      </w:r>
      <w:r>
        <w:rPr>
          <w:color w:val="000000"/>
          <w:sz w:val="23"/>
          <w:szCs w:val="23"/>
        </w:rPr>
        <w:noBreakHyphen/>
        <w:t>General may, in order to enable the Surveyor</w:t>
      </w:r>
      <w:r>
        <w:rPr>
          <w:color w:val="000000"/>
          <w:sz w:val="23"/>
          <w:szCs w:val="23"/>
        </w:rPr>
        <w:noBreakHyphen/>
        <w:t>General to verify the definition of boundaries, require the surveyor by whom or under whose supervision the survey was carried out to undertake additional work, or to provide additional information, in relation to the survey.</w:t>
      </w:r>
    </w:p>
    <w:p w:rsidR="0070372E" w:rsidRDefault="0070372E" w:rsidP="00610049">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surveyor must comply with any such requirement within 14 days or such longer period as is allowed by the Surveyor</w:t>
      </w:r>
      <w:r>
        <w:rPr>
          <w:color w:val="000000"/>
          <w:sz w:val="23"/>
          <w:szCs w:val="23"/>
        </w:rPr>
        <w:noBreakHyphen/>
        <w:t>General.</w:t>
      </w:r>
    </w:p>
    <w:p w:rsidR="00601EB2" w:rsidRDefault="00601EB2" w:rsidP="00610049">
      <w:pPr>
        <w:spacing w:after="0" w:line="240" w:lineRule="auto"/>
        <w:jc w:val="left"/>
        <w:rPr>
          <w:rFonts w:eastAsia="Times New Roman"/>
          <w:b/>
          <w:bCs/>
          <w:color w:val="000000"/>
          <w:sz w:val="26"/>
          <w:szCs w:val="26"/>
          <w:lang w:eastAsia="en-AU"/>
        </w:rPr>
      </w:pPr>
      <w:bookmarkStart w:id="98" w:name="Elkera_Print_TOC35"/>
      <w:bookmarkStart w:id="99" w:name="id555fe483_374d_48f0_a2c2_8c436bbf61"/>
      <w:r>
        <w:br w:type="page"/>
      </w:r>
    </w:p>
    <w:p w:rsidR="00601EB2" w:rsidRPr="00601EB2" w:rsidRDefault="00601EB2" w:rsidP="00610049">
      <w:pPr>
        <w:pStyle w:val="clauseheadlevel2"/>
        <w:spacing w:before="0" w:line="20" w:lineRule="exact"/>
        <w:rPr>
          <w:sz w:val="17"/>
          <w:szCs w:val="17"/>
        </w:rPr>
      </w:pPr>
    </w:p>
    <w:p w:rsidR="0070372E" w:rsidRDefault="0070372E" w:rsidP="00610049">
      <w:pPr>
        <w:pStyle w:val="clauseheadlevel2"/>
      </w:pPr>
      <w:r>
        <w:t>26—Directions of Surveyor</w:t>
      </w:r>
      <w:r>
        <w:noBreakHyphen/>
        <w:t>General</w:t>
      </w:r>
      <w:bookmarkEnd w:id="98"/>
      <w:bookmarkEnd w:id="99"/>
    </w:p>
    <w:p w:rsidR="0070372E" w:rsidRDefault="0070372E" w:rsidP="00610049">
      <w:pPr>
        <w:keepLines/>
        <w:autoSpaceDE w:val="0"/>
        <w:autoSpaceDN w:val="0"/>
        <w:adjustRightInd w:val="0"/>
        <w:spacing w:before="120" w:after="0" w:line="240" w:lineRule="auto"/>
        <w:ind w:left="794"/>
        <w:jc w:val="left"/>
        <w:rPr>
          <w:color w:val="000000"/>
          <w:sz w:val="23"/>
          <w:szCs w:val="23"/>
        </w:rPr>
      </w:pPr>
      <w:r>
        <w:rPr>
          <w:color w:val="000000"/>
          <w:sz w:val="23"/>
          <w:szCs w:val="23"/>
        </w:rPr>
        <w:t>If the Surveyor</w:t>
      </w:r>
      <w:r>
        <w:rPr>
          <w:color w:val="000000"/>
          <w:sz w:val="23"/>
          <w:szCs w:val="23"/>
        </w:rPr>
        <w:noBreakHyphen/>
        <w:t>General gives a direction for the purposes of this Part, the direction must be published in the Gazette and on a website determined by the Surveyor</w:t>
      </w:r>
      <w:r>
        <w:rPr>
          <w:color w:val="000000"/>
          <w:sz w:val="23"/>
          <w:szCs w:val="23"/>
        </w:rPr>
        <w:noBreakHyphen/>
        <w:t>General.</w:t>
      </w:r>
    </w:p>
    <w:p w:rsidR="0070372E" w:rsidRDefault="0070372E" w:rsidP="00610049">
      <w:pPr>
        <w:pStyle w:val="partheadlevel1"/>
      </w:pPr>
      <w:bookmarkStart w:id="100" w:name="Elkera_Print_TOC36"/>
      <w:bookmarkStart w:id="101" w:name="Elkera_Print_BK36"/>
      <w:r>
        <w:t>Part 4—Miscellaneous</w:t>
      </w:r>
      <w:bookmarkEnd w:id="100"/>
      <w:bookmarkEnd w:id="101"/>
    </w:p>
    <w:p w:rsidR="0070372E" w:rsidRDefault="0070372E" w:rsidP="00610049">
      <w:pPr>
        <w:pStyle w:val="clauseheadlevel2"/>
      </w:pPr>
      <w:bookmarkStart w:id="102" w:name="Elkera_Print_TOC37"/>
      <w:bookmarkStart w:id="103" w:name="Elkera_Print_BK37"/>
      <w:r>
        <w:t>27—Adoption of Code of Ethics</w:t>
      </w:r>
      <w:bookmarkEnd w:id="102"/>
      <w:bookmarkEnd w:id="103"/>
    </w:p>
    <w:p w:rsidR="0070372E" w:rsidRDefault="0070372E" w:rsidP="00610049">
      <w:pPr>
        <w:keepNext/>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For the purposes of section 63(3)(b) of the Act, a surveyor to whom the Act applies must comply with the provisions of the </w:t>
      </w:r>
      <w:r>
        <w:rPr>
          <w:i/>
          <w:iCs/>
          <w:color w:val="000000"/>
          <w:sz w:val="23"/>
          <w:szCs w:val="23"/>
        </w:rPr>
        <w:t>Professional Practice Rules of the Surveyors Board</w:t>
      </w:r>
      <w:r>
        <w:rPr>
          <w:i/>
          <w:iCs/>
          <w:color w:val="000000"/>
          <w:sz w:val="23"/>
          <w:szCs w:val="23"/>
        </w:rPr>
        <w:noBreakHyphen/>
        <w:t>Code of Ethics</w:t>
      </w:r>
      <w:r>
        <w:rPr>
          <w:color w:val="000000"/>
          <w:sz w:val="23"/>
          <w:szCs w:val="23"/>
        </w:rPr>
        <w:t>, published in the Gazette by the Institution of Surveyors, as in force from time to time.</w:t>
      </w:r>
    </w:p>
    <w:p w:rsidR="0070372E" w:rsidRDefault="0070372E" w:rsidP="00610049">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$2 000.</w:t>
      </w:r>
    </w:p>
    <w:p w:rsidR="0070372E" w:rsidRDefault="0070372E" w:rsidP="00610049">
      <w:pPr>
        <w:keepNext/>
        <w:keepLines/>
        <w:autoSpaceDE w:val="0"/>
        <w:autoSpaceDN w:val="0"/>
        <w:adjustRightInd w:val="0"/>
        <w:spacing w:before="280" w:after="0" w:line="240" w:lineRule="auto"/>
        <w:ind w:left="567" w:hanging="567"/>
        <w:jc w:val="left"/>
        <w:rPr>
          <w:b/>
          <w:bCs/>
          <w:color w:val="000000"/>
          <w:sz w:val="32"/>
          <w:szCs w:val="32"/>
        </w:rPr>
      </w:pPr>
      <w:bookmarkStart w:id="104" w:name="Elkera_Print_TOC38"/>
      <w:bookmarkStart w:id="105" w:name="Elkera_Print_BK38"/>
      <w:r>
        <w:rPr>
          <w:b/>
          <w:bCs/>
          <w:color w:val="000000"/>
          <w:sz w:val="32"/>
          <w:szCs w:val="32"/>
        </w:rPr>
        <w:t xml:space="preserve">Schedule 1—Revocation of </w:t>
      </w:r>
      <w:r>
        <w:rPr>
          <w:b/>
          <w:bCs/>
          <w:i/>
          <w:iCs/>
          <w:color w:val="000000"/>
          <w:sz w:val="32"/>
          <w:szCs w:val="32"/>
        </w:rPr>
        <w:t>Survey Regulations 2007</w:t>
      </w:r>
      <w:bookmarkEnd w:id="104"/>
      <w:bookmarkEnd w:id="105"/>
    </w:p>
    <w:p w:rsidR="0070372E" w:rsidRDefault="0070372E" w:rsidP="00610049">
      <w:pPr>
        <w:keepLines/>
        <w:autoSpaceDE w:val="0"/>
        <w:autoSpaceDN w:val="0"/>
        <w:adjustRightInd w:val="0"/>
        <w:spacing w:before="120" w:after="0" w:line="240" w:lineRule="auto"/>
        <w:jc w:val="left"/>
        <w:rPr>
          <w:color w:val="000000"/>
          <w:sz w:val="23"/>
          <w:szCs w:val="23"/>
        </w:rPr>
      </w:pPr>
      <w:r>
        <w:rPr>
          <w:color w:val="000000"/>
          <w:sz w:val="23"/>
          <w:szCs w:val="23"/>
        </w:rPr>
        <w:t xml:space="preserve">The </w:t>
      </w:r>
      <w:hyperlink r:id="rId34" w:history="1">
        <w:r>
          <w:rPr>
            <w:i/>
            <w:iCs/>
            <w:color w:val="000000"/>
            <w:sz w:val="23"/>
            <w:szCs w:val="23"/>
          </w:rPr>
          <w:t>Survey Regulations 2007</w:t>
        </w:r>
      </w:hyperlink>
      <w:r>
        <w:rPr>
          <w:color w:val="000000"/>
          <w:sz w:val="23"/>
          <w:szCs w:val="23"/>
        </w:rPr>
        <w:t xml:space="preserve"> are revoked.</w:t>
      </w:r>
    </w:p>
    <w:p w:rsidR="0070372E" w:rsidRDefault="0070372E" w:rsidP="00610049">
      <w:pPr>
        <w:keepNext/>
        <w:keepLines/>
        <w:autoSpaceDE w:val="0"/>
        <w:autoSpaceDN w:val="0"/>
        <w:adjustRightInd w:val="0"/>
        <w:spacing w:before="120" w:after="0" w:line="240" w:lineRule="auto"/>
        <w:ind w:left="794" w:hanging="794"/>
        <w:jc w:val="left"/>
        <w:rPr>
          <w:b/>
          <w:bCs/>
          <w:color w:val="000000"/>
          <w:sz w:val="20"/>
          <w:szCs w:val="20"/>
        </w:rPr>
      </w:pPr>
      <w:r>
        <w:rPr>
          <w:b/>
          <w:bCs/>
          <w:color w:val="000000"/>
          <w:sz w:val="20"/>
          <w:szCs w:val="20"/>
        </w:rPr>
        <w:t>Note—</w:t>
      </w:r>
    </w:p>
    <w:p w:rsidR="0070372E" w:rsidRDefault="0070372E" w:rsidP="00610049">
      <w:pPr>
        <w:keepLines/>
        <w:autoSpaceDE w:val="0"/>
        <w:autoSpaceDN w:val="0"/>
        <w:adjustRightInd w:val="0"/>
        <w:spacing w:before="120" w:after="0" w:line="240" w:lineRule="auto"/>
        <w:ind w:left="794"/>
        <w:jc w:val="left"/>
        <w:rPr>
          <w:color w:val="000000"/>
          <w:sz w:val="20"/>
          <w:szCs w:val="20"/>
        </w:rPr>
      </w:pPr>
      <w:r>
        <w:rPr>
          <w:color w:val="000000"/>
          <w:sz w:val="20"/>
          <w:szCs w:val="20"/>
        </w:rPr>
        <w:t xml:space="preserve">As required by section 10AA(2) of the </w:t>
      </w:r>
      <w:hyperlink r:id="rId35" w:history="1">
        <w:r>
          <w:rPr>
            <w:i/>
            <w:iCs/>
            <w:color w:val="000000"/>
            <w:sz w:val="20"/>
            <w:szCs w:val="20"/>
          </w:rPr>
          <w:t>Subordinate Legislation Act 1978</w:t>
        </w:r>
      </w:hyperlink>
      <w:r>
        <w:rPr>
          <w:color w:val="000000"/>
          <w:sz w:val="20"/>
          <w:szCs w:val="20"/>
        </w:rPr>
        <w:t>, the Minister has certified that, in the Minister's opinion, it is necessary or appropriate that these regulations come into operation as set out in these regulations.</w:t>
      </w:r>
    </w:p>
    <w:p w:rsidR="0070372E" w:rsidRDefault="0070372E" w:rsidP="00610049">
      <w:pPr>
        <w:keepNext/>
        <w:keepLines/>
        <w:autoSpaceDE w:val="0"/>
        <w:autoSpaceDN w:val="0"/>
        <w:adjustRightInd w:val="0"/>
        <w:spacing w:before="120" w:after="0" w:line="240" w:lineRule="auto"/>
        <w:jc w:val="left"/>
        <w:rPr>
          <w:b/>
          <w:bCs/>
          <w:color w:val="000000"/>
          <w:sz w:val="26"/>
          <w:szCs w:val="26"/>
        </w:rPr>
      </w:pPr>
      <w:r>
        <w:rPr>
          <w:b/>
          <w:bCs/>
          <w:color w:val="000000"/>
          <w:sz w:val="26"/>
          <w:szCs w:val="26"/>
        </w:rPr>
        <w:t>Made by the Governor</w:t>
      </w:r>
    </w:p>
    <w:p w:rsidR="0070372E" w:rsidRDefault="0070372E" w:rsidP="00610049">
      <w:pPr>
        <w:keepNext/>
        <w:keepLines/>
        <w:autoSpaceDE w:val="0"/>
        <w:autoSpaceDN w:val="0"/>
        <w:adjustRightInd w:val="0"/>
        <w:spacing w:before="120" w:after="0" w:line="240" w:lineRule="auto"/>
        <w:jc w:val="left"/>
        <w:rPr>
          <w:color w:val="000000"/>
          <w:sz w:val="23"/>
          <w:szCs w:val="23"/>
        </w:rPr>
      </w:pPr>
      <w:r>
        <w:rPr>
          <w:color w:val="000000"/>
          <w:sz w:val="23"/>
          <w:szCs w:val="23"/>
        </w:rPr>
        <w:t>with the advice and consent of the Executive Council</w:t>
      </w:r>
    </w:p>
    <w:p w:rsidR="0070372E" w:rsidRDefault="0070372E" w:rsidP="00610049">
      <w:pPr>
        <w:keepNext/>
        <w:keepLines/>
        <w:autoSpaceDE w:val="0"/>
        <w:autoSpaceDN w:val="0"/>
        <w:adjustRightInd w:val="0"/>
        <w:spacing w:after="0" w:line="240" w:lineRule="auto"/>
        <w:jc w:val="left"/>
        <w:rPr>
          <w:color w:val="000000"/>
          <w:sz w:val="23"/>
          <w:szCs w:val="23"/>
        </w:rPr>
      </w:pPr>
      <w:r>
        <w:rPr>
          <w:color w:val="000000"/>
          <w:sz w:val="23"/>
          <w:szCs w:val="23"/>
        </w:rPr>
        <w:t>on 23 July 2020</w:t>
      </w:r>
    </w:p>
    <w:p w:rsidR="0070372E" w:rsidRDefault="0070372E" w:rsidP="00610049">
      <w:pPr>
        <w:keepNext/>
        <w:keepLines/>
        <w:autoSpaceDE w:val="0"/>
        <w:autoSpaceDN w:val="0"/>
        <w:adjustRightInd w:val="0"/>
        <w:spacing w:before="120" w:after="0" w:line="240" w:lineRule="auto"/>
        <w:jc w:val="left"/>
        <w:rPr>
          <w:color w:val="000000"/>
          <w:sz w:val="23"/>
          <w:szCs w:val="23"/>
        </w:rPr>
      </w:pPr>
      <w:r>
        <w:rPr>
          <w:color w:val="000000"/>
          <w:sz w:val="23"/>
          <w:szCs w:val="23"/>
        </w:rPr>
        <w:t>No 238 of 2020</w:t>
      </w:r>
    </w:p>
    <w:p w:rsidR="0070372E" w:rsidRDefault="0070372E" w:rsidP="0070372E">
      <w:pPr>
        <w:pBdr>
          <w:top w:val="single" w:sz="4" w:space="1" w:color="auto"/>
        </w:pBdr>
        <w:autoSpaceDE w:val="0"/>
        <w:autoSpaceDN w:val="0"/>
        <w:adjustRightInd w:val="0"/>
        <w:spacing w:before="100" w:after="0" w:line="14" w:lineRule="exact"/>
        <w:jc w:val="center"/>
        <w:rPr>
          <w:color w:val="000000"/>
          <w:sz w:val="23"/>
          <w:szCs w:val="23"/>
        </w:rPr>
      </w:pPr>
    </w:p>
    <w:p w:rsidR="0070372E" w:rsidRPr="0070372E" w:rsidRDefault="0070372E" w:rsidP="0070372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olor w:val="000000"/>
          <w:sz w:val="23"/>
          <w:szCs w:val="23"/>
        </w:rPr>
      </w:pPr>
    </w:p>
    <w:p w:rsidR="00F9553F" w:rsidRPr="00AA26C2" w:rsidRDefault="00F9553F">
      <w:pPr>
        <w:spacing w:after="0" w:line="240" w:lineRule="auto"/>
        <w:jc w:val="left"/>
        <w:rPr>
          <w:b/>
          <w:smallCaps/>
          <w:color w:val="000000"/>
          <w:szCs w:val="17"/>
          <w:lang w:val="en-US"/>
        </w:rPr>
      </w:pPr>
      <w:r>
        <w:rPr>
          <w:lang w:val="en-US"/>
        </w:rPr>
        <w:br w:type="page"/>
      </w:r>
    </w:p>
    <w:p w:rsidR="0045094D" w:rsidRPr="0045094D" w:rsidRDefault="0045094D" w:rsidP="0045094D">
      <w:pPr>
        <w:keepLines/>
        <w:autoSpaceDE w:val="0"/>
        <w:autoSpaceDN w:val="0"/>
        <w:adjustRightInd w:val="0"/>
        <w:spacing w:after="0" w:line="20" w:lineRule="exact"/>
        <w:rPr>
          <w:color w:val="000000"/>
          <w:szCs w:val="17"/>
        </w:rPr>
      </w:pPr>
    </w:p>
    <w:p w:rsidR="0045094D" w:rsidRDefault="0045094D" w:rsidP="00CE424B">
      <w:pPr>
        <w:keepLines/>
        <w:autoSpaceDE w:val="0"/>
        <w:autoSpaceDN w:val="0"/>
        <w:adjustRightInd w:val="0"/>
        <w:spacing w:before="240" w:after="0" w:line="240" w:lineRule="auto"/>
        <w:jc w:val="left"/>
        <w:rPr>
          <w:color w:val="000000"/>
          <w:sz w:val="28"/>
          <w:szCs w:val="28"/>
        </w:rPr>
      </w:pPr>
      <w:r>
        <w:rPr>
          <w:color w:val="000000"/>
          <w:sz w:val="28"/>
          <w:szCs w:val="28"/>
        </w:rPr>
        <w:t>South Australia</w:t>
      </w:r>
    </w:p>
    <w:p w:rsidR="0045094D" w:rsidRDefault="0045094D" w:rsidP="004647A7">
      <w:pPr>
        <w:pStyle w:val="Heading3"/>
      </w:pPr>
      <w:bookmarkStart w:id="106" w:name="_Toc46398090"/>
      <w:r>
        <w:t>Real Property (Survey) Variation Regulations 2020</w:t>
      </w:r>
      <w:bookmarkEnd w:id="106"/>
    </w:p>
    <w:p w:rsidR="0045094D" w:rsidRDefault="0045094D" w:rsidP="00CE424B">
      <w:pPr>
        <w:keepLines/>
        <w:autoSpaceDE w:val="0"/>
        <w:autoSpaceDN w:val="0"/>
        <w:adjustRightInd w:val="0"/>
        <w:spacing w:before="80" w:after="240" w:line="240" w:lineRule="auto"/>
        <w:jc w:val="left"/>
        <w:rPr>
          <w:color w:val="000000"/>
          <w:sz w:val="24"/>
          <w:szCs w:val="24"/>
        </w:rPr>
      </w:pPr>
      <w:r>
        <w:rPr>
          <w:color w:val="000000"/>
          <w:sz w:val="24"/>
          <w:szCs w:val="24"/>
        </w:rPr>
        <w:t xml:space="preserve">under the </w:t>
      </w:r>
      <w:r>
        <w:rPr>
          <w:i/>
          <w:iCs/>
          <w:color w:val="000000"/>
          <w:sz w:val="24"/>
          <w:szCs w:val="24"/>
        </w:rPr>
        <w:t>Real Property Act 1886</w:t>
      </w:r>
    </w:p>
    <w:p w:rsidR="0045094D" w:rsidRDefault="0045094D" w:rsidP="00CE424B">
      <w:pPr>
        <w:keepLines/>
        <w:pBdr>
          <w:top w:val="single" w:sz="4" w:space="0" w:color="auto"/>
        </w:pBdr>
        <w:autoSpaceDE w:val="0"/>
        <w:autoSpaceDN w:val="0"/>
        <w:adjustRightInd w:val="0"/>
        <w:spacing w:before="120" w:after="120" w:line="240" w:lineRule="auto"/>
        <w:jc w:val="left"/>
        <w:rPr>
          <w:color w:val="000000"/>
          <w:sz w:val="2"/>
          <w:szCs w:val="2"/>
        </w:rPr>
      </w:pPr>
    </w:p>
    <w:p w:rsidR="0045094D" w:rsidRDefault="0045094D" w:rsidP="00CE424B">
      <w:pPr>
        <w:pStyle w:val="contentshead"/>
      </w:pPr>
      <w:r>
        <w:t>Contents</w:t>
      </w:r>
    </w:p>
    <w:p w:rsidR="0045094D" w:rsidRDefault="00123FDA" w:rsidP="00CE424B">
      <w:pPr>
        <w:keepNext/>
        <w:keepLines/>
        <w:autoSpaceDE w:val="0"/>
        <w:autoSpaceDN w:val="0"/>
        <w:adjustRightInd w:val="0"/>
        <w:spacing w:before="120" w:after="120" w:line="240" w:lineRule="auto"/>
        <w:jc w:val="left"/>
        <w:rPr>
          <w:color w:val="000000"/>
          <w:sz w:val="28"/>
          <w:szCs w:val="28"/>
        </w:rPr>
      </w:pPr>
      <w:hyperlink w:anchor="Elkera_Print_BK1" w:history="1">
        <w:r w:rsidR="0045094D">
          <w:rPr>
            <w:color w:val="000000"/>
            <w:sz w:val="28"/>
            <w:szCs w:val="28"/>
          </w:rPr>
          <w:t>Part 1—Preliminary</w:t>
        </w:r>
      </w:hyperlink>
    </w:p>
    <w:p w:rsidR="0045094D" w:rsidRDefault="00123FDA" w:rsidP="00CE424B">
      <w:pPr>
        <w:keepLines/>
        <w:tabs>
          <w:tab w:val="left" w:pos="850"/>
        </w:tabs>
        <w:autoSpaceDE w:val="0"/>
        <w:autoSpaceDN w:val="0"/>
        <w:adjustRightInd w:val="0"/>
        <w:spacing w:after="0" w:line="240" w:lineRule="auto"/>
        <w:ind w:left="794" w:hanging="794"/>
        <w:jc w:val="left"/>
        <w:rPr>
          <w:color w:val="000000"/>
        </w:rPr>
      </w:pPr>
      <w:hyperlink w:anchor="Elkera_Print_BK2" w:history="1">
        <w:r w:rsidR="0045094D">
          <w:rPr>
            <w:color w:val="000000"/>
          </w:rPr>
          <w:t>1</w:t>
        </w:r>
        <w:r w:rsidR="0045094D">
          <w:rPr>
            <w:color w:val="000000"/>
          </w:rPr>
          <w:tab/>
          <w:t>Short title</w:t>
        </w:r>
      </w:hyperlink>
    </w:p>
    <w:p w:rsidR="0045094D" w:rsidRDefault="00123FDA" w:rsidP="00CE424B">
      <w:pPr>
        <w:keepLines/>
        <w:tabs>
          <w:tab w:val="left" w:pos="850"/>
        </w:tabs>
        <w:autoSpaceDE w:val="0"/>
        <w:autoSpaceDN w:val="0"/>
        <w:adjustRightInd w:val="0"/>
        <w:spacing w:after="0" w:line="240" w:lineRule="auto"/>
        <w:ind w:left="794" w:hanging="794"/>
        <w:jc w:val="left"/>
        <w:rPr>
          <w:color w:val="000000"/>
        </w:rPr>
      </w:pPr>
      <w:hyperlink w:anchor="Elkera_Print_BK3" w:history="1">
        <w:r w:rsidR="0045094D">
          <w:rPr>
            <w:color w:val="000000"/>
          </w:rPr>
          <w:t>2</w:t>
        </w:r>
        <w:r w:rsidR="0045094D">
          <w:rPr>
            <w:color w:val="000000"/>
          </w:rPr>
          <w:tab/>
          <w:t>Commencement</w:t>
        </w:r>
      </w:hyperlink>
    </w:p>
    <w:p w:rsidR="0045094D" w:rsidRDefault="00123FDA" w:rsidP="00CE424B">
      <w:pPr>
        <w:keepLines/>
        <w:tabs>
          <w:tab w:val="left" w:pos="850"/>
        </w:tabs>
        <w:autoSpaceDE w:val="0"/>
        <w:autoSpaceDN w:val="0"/>
        <w:adjustRightInd w:val="0"/>
        <w:spacing w:after="0" w:line="240" w:lineRule="auto"/>
        <w:ind w:left="794" w:hanging="794"/>
        <w:jc w:val="left"/>
        <w:rPr>
          <w:color w:val="000000"/>
        </w:rPr>
      </w:pPr>
      <w:hyperlink w:anchor="Elkera_Print_BK4" w:history="1">
        <w:r w:rsidR="0045094D">
          <w:rPr>
            <w:color w:val="000000"/>
          </w:rPr>
          <w:t>3</w:t>
        </w:r>
        <w:r w:rsidR="0045094D">
          <w:rPr>
            <w:color w:val="000000"/>
          </w:rPr>
          <w:tab/>
          <w:t>Variation provisions</w:t>
        </w:r>
      </w:hyperlink>
    </w:p>
    <w:p w:rsidR="0045094D" w:rsidRDefault="00123FDA" w:rsidP="00CE424B">
      <w:pPr>
        <w:keepNext/>
        <w:keepLines/>
        <w:autoSpaceDE w:val="0"/>
        <w:autoSpaceDN w:val="0"/>
        <w:adjustRightInd w:val="0"/>
        <w:spacing w:before="120" w:after="120" w:line="240" w:lineRule="auto"/>
        <w:jc w:val="left"/>
        <w:rPr>
          <w:color w:val="000000"/>
          <w:sz w:val="28"/>
          <w:szCs w:val="28"/>
        </w:rPr>
      </w:pPr>
      <w:hyperlink w:anchor="Elkera_Print_BK5" w:history="1">
        <w:r w:rsidR="0045094D">
          <w:rPr>
            <w:color w:val="000000"/>
            <w:sz w:val="28"/>
            <w:szCs w:val="28"/>
          </w:rPr>
          <w:t xml:space="preserve">Part 2—Variation of </w:t>
        </w:r>
        <w:r w:rsidR="0045094D">
          <w:rPr>
            <w:i/>
            <w:iCs/>
            <w:color w:val="000000"/>
            <w:sz w:val="28"/>
            <w:szCs w:val="28"/>
          </w:rPr>
          <w:t>Real Property Regulations 2009</w:t>
        </w:r>
      </w:hyperlink>
    </w:p>
    <w:p w:rsidR="0045094D" w:rsidRDefault="00123FDA" w:rsidP="00CE424B">
      <w:pPr>
        <w:keepLines/>
        <w:tabs>
          <w:tab w:val="left" w:pos="850"/>
        </w:tabs>
        <w:autoSpaceDE w:val="0"/>
        <w:autoSpaceDN w:val="0"/>
        <w:adjustRightInd w:val="0"/>
        <w:spacing w:after="0" w:line="240" w:lineRule="auto"/>
        <w:ind w:left="794" w:hanging="794"/>
        <w:jc w:val="left"/>
        <w:rPr>
          <w:color w:val="000000"/>
        </w:rPr>
      </w:pPr>
      <w:hyperlink w:anchor="Elkera_Print_BK6" w:history="1">
        <w:r w:rsidR="0045094D">
          <w:rPr>
            <w:color w:val="000000"/>
          </w:rPr>
          <w:t>4</w:t>
        </w:r>
        <w:r w:rsidR="0045094D">
          <w:rPr>
            <w:color w:val="000000"/>
          </w:rPr>
          <w:tab/>
          <w:t>Variation of regulation 5—Certificate of licensed surveyor</w:t>
        </w:r>
      </w:hyperlink>
    </w:p>
    <w:p w:rsidR="0045094D" w:rsidRDefault="0045094D" w:rsidP="00CE424B">
      <w:pPr>
        <w:keepLines/>
        <w:pBdr>
          <w:top w:val="single" w:sz="4" w:space="0" w:color="auto"/>
        </w:pBdr>
        <w:autoSpaceDE w:val="0"/>
        <w:autoSpaceDN w:val="0"/>
        <w:adjustRightInd w:val="0"/>
        <w:spacing w:before="120" w:after="120" w:line="240" w:lineRule="auto"/>
        <w:jc w:val="left"/>
        <w:rPr>
          <w:color w:val="000000"/>
          <w:sz w:val="2"/>
          <w:szCs w:val="2"/>
        </w:rPr>
      </w:pPr>
    </w:p>
    <w:p w:rsidR="0045094D" w:rsidRDefault="0045094D" w:rsidP="00CE424B">
      <w:pPr>
        <w:pStyle w:val="partheadlevel1"/>
      </w:pPr>
      <w:r>
        <w:t>Part 1—Preliminary</w:t>
      </w:r>
    </w:p>
    <w:p w:rsidR="0045094D" w:rsidRDefault="0045094D" w:rsidP="00CE424B">
      <w:pPr>
        <w:pStyle w:val="clauseheadlevel2"/>
      </w:pPr>
      <w:r>
        <w:t>1—Short title</w:t>
      </w:r>
    </w:p>
    <w:p w:rsidR="0045094D" w:rsidRDefault="0045094D" w:rsidP="00CE424B">
      <w:pPr>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These regulations may be cited as the </w:t>
      </w:r>
      <w:r>
        <w:rPr>
          <w:i/>
          <w:iCs/>
          <w:color w:val="000000"/>
          <w:sz w:val="23"/>
          <w:szCs w:val="23"/>
        </w:rPr>
        <w:t>Real Property (Survey) Variation Regulations 2020</w:t>
      </w:r>
      <w:r>
        <w:rPr>
          <w:color w:val="000000"/>
          <w:sz w:val="23"/>
          <w:szCs w:val="23"/>
        </w:rPr>
        <w:t>.</w:t>
      </w:r>
    </w:p>
    <w:p w:rsidR="0045094D" w:rsidRDefault="0045094D" w:rsidP="00CE424B">
      <w:pPr>
        <w:pStyle w:val="clauseheadlevel2"/>
      </w:pPr>
      <w:r>
        <w:t>2—Commencement</w:t>
      </w:r>
    </w:p>
    <w:p w:rsidR="0045094D" w:rsidRDefault="0045094D" w:rsidP="00CE424B">
      <w:pPr>
        <w:keepLines/>
        <w:autoSpaceDE w:val="0"/>
        <w:autoSpaceDN w:val="0"/>
        <w:adjustRightInd w:val="0"/>
        <w:spacing w:before="120" w:after="0" w:line="240" w:lineRule="auto"/>
        <w:ind w:left="794"/>
        <w:jc w:val="left"/>
        <w:rPr>
          <w:color w:val="000000"/>
          <w:sz w:val="23"/>
          <w:szCs w:val="23"/>
        </w:rPr>
      </w:pPr>
      <w:r>
        <w:rPr>
          <w:color w:val="000000"/>
          <w:sz w:val="23"/>
          <w:szCs w:val="23"/>
        </w:rPr>
        <w:t>These regulations come into operation on 24 August 2020.</w:t>
      </w:r>
    </w:p>
    <w:p w:rsidR="0045094D" w:rsidRDefault="0045094D" w:rsidP="00CE424B">
      <w:pPr>
        <w:pStyle w:val="clauseheadlevel2"/>
      </w:pPr>
      <w:r>
        <w:t>3—Variation provisions</w:t>
      </w:r>
    </w:p>
    <w:p w:rsidR="0045094D" w:rsidRDefault="0045094D" w:rsidP="00CE424B">
      <w:pPr>
        <w:keepLines/>
        <w:autoSpaceDE w:val="0"/>
        <w:autoSpaceDN w:val="0"/>
        <w:adjustRightInd w:val="0"/>
        <w:spacing w:before="120" w:after="0" w:line="240" w:lineRule="auto"/>
        <w:ind w:left="794"/>
        <w:jc w:val="left"/>
        <w:rPr>
          <w:color w:val="000000"/>
          <w:sz w:val="23"/>
          <w:szCs w:val="23"/>
        </w:rPr>
      </w:pPr>
      <w:r>
        <w:rPr>
          <w:color w:val="000000"/>
          <w:sz w:val="23"/>
          <w:szCs w:val="23"/>
        </w:rPr>
        <w:t>In these regulations, a provision under a heading referring to the variation of specified regulations varies the regulations so specified.</w:t>
      </w:r>
    </w:p>
    <w:p w:rsidR="0045094D" w:rsidRDefault="0045094D" w:rsidP="00CE424B">
      <w:pPr>
        <w:pStyle w:val="partheadlevel1"/>
      </w:pPr>
      <w:r>
        <w:t xml:space="preserve">Part 2—Variation of </w:t>
      </w:r>
      <w:r>
        <w:rPr>
          <w:i/>
          <w:iCs/>
        </w:rPr>
        <w:t>Real Property Regulations 2009</w:t>
      </w:r>
    </w:p>
    <w:p w:rsidR="0045094D" w:rsidRDefault="0045094D" w:rsidP="00CE424B">
      <w:pPr>
        <w:pStyle w:val="clauseheadlevel2"/>
      </w:pPr>
      <w:r>
        <w:t>4—Variation of regulation 5—Certificate of licensed surveyor</w:t>
      </w:r>
    </w:p>
    <w:p w:rsidR="0045094D" w:rsidRDefault="0045094D" w:rsidP="00CE424B">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Regulation 5(1)—delete "regulation 20 of the </w:t>
      </w:r>
      <w:hyperlink r:id="rId36" w:history="1">
        <w:r>
          <w:rPr>
            <w:i/>
            <w:iCs/>
            <w:color w:val="000000"/>
            <w:sz w:val="23"/>
            <w:szCs w:val="23"/>
          </w:rPr>
          <w:t>Survey Regulations 2007</w:t>
        </w:r>
      </w:hyperlink>
      <w:r>
        <w:rPr>
          <w:color w:val="000000"/>
          <w:sz w:val="23"/>
          <w:szCs w:val="23"/>
        </w:rPr>
        <w:t>" and substitute:</w:t>
      </w:r>
    </w:p>
    <w:p w:rsidR="0045094D" w:rsidRDefault="0045094D" w:rsidP="00CE424B">
      <w:pPr>
        <w:keepLines/>
        <w:autoSpaceDE w:val="0"/>
        <w:autoSpaceDN w:val="0"/>
        <w:adjustRightInd w:val="0"/>
        <w:spacing w:before="120" w:after="0" w:line="240" w:lineRule="auto"/>
        <w:ind w:left="1588"/>
        <w:jc w:val="left"/>
        <w:rPr>
          <w:color w:val="000000"/>
          <w:sz w:val="23"/>
          <w:szCs w:val="23"/>
        </w:rPr>
      </w:pPr>
      <w:r>
        <w:rPr>
          <w:color w:val="000000"/>
          <w:sz w:val="23"/>
          <w:szCs w:val="23"/>
        </w:rPr>
        <w:t>the requirements prescribed by the regulations</w:t>
      </w:r>
    </w:p>
    <w:p w:rsidR="0045094D" w:rsidRDefault="0045094D" w:rsidP="00CE424B">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Regulation 5(2)(f)—after "</w:t>
      </w:r>
      <w:hyperlink r:id="rId37" w:history="1">
        <w:r>
          <w:rPr>
            <w:i/>
            <w:iCs/>
            <w:color w:val="000000"/>
            <w:sz w:val="23"/>
            <w:szCs w:val="23"/>
          </w:rPr>
          <w:t>Development Act 1993</w:t>
        </w:r>
      </w:hyperlink>
      <w:r>
        <w:rPr>
          <w:color w:val="000000"/>
          <w:sz w:val="23"/>
          <w:szCs w:val="23"/>
        </w:rPr>
        <w:t>" insert:</w:t>
      </w:r>
    </w:p>
    <w:p w:rsidR="0045094D" w:rsidRDefault="0045094D" w:rsidP="00CE424B">
      <w:pPr>
        <w:keepLines/>
        <w:autoSpaceDE w:val="0"/>
        <w:autoSpaceDN w:val="0"/>
        <w:adjustRightInd w:val="0"/>
        <w:spacing w:before="120" w:after="0" w:line="240" w:lineRule="auto"/>
        <w:ind w:left="1588"/>
        <w:jc w:val="left"/>
        <w:rPr>
          <w:color w:val="000000"/>
          <w:sz w:val="23"/>
          <w:szCs w:val="23"/>
        </w:rPr>
      </w:pPr>
      <w:r>
        <w:rPr>
          <w:color w:val="000000"/>
          <w:sz w:val="23"/>
          <w:szCs w:val="23"/>
        </w:rPr>
        <w:t xml:space="preserve">or the Planning and Design Code under the </w:t>
      </w:r>
      <w:hyperlink r:id="rId38" w:history="1">
        <w:r>
          <w:rPr>
            <w:i/>
            <w:iCs/>
            <w:color w:val="000000"/>
            <w:sz w:val="23"/>
            <w:szCs w:val="23"/>
          </w:rPr>
          <w:t>Planning, Development and Infrastructure Act 2016</w:t>
        </w:r>
      </w:hyperlink>
    </w:p>
    <w:p w:rsidR="0045094D" w:rsidRDefault="0045094D" w:rsidP="00CE424B">
      <w:pPr>
        <w:keepNext/>
        <w:keepLines/>
        <w:autoSpaceDE w:val="0"/>
        <w:autoSpaceDN w:val="0"/>
        <w:adjustRightInd w:val="0"/>
        <w:spacing w:before="120" w:after="0" w:line="240" w:lineRule="auto"/>
        <w:ind w:left="794" w:hanging="794"/>
        <w:jc w:val="left"/>
        <w:rPr>
          <w:b/>
          <w:bCs/>
          <w:color w:val="000000"/>
          <w:sz w:val="20"/>
          <w:szCs w:val="20"/>
        </w:rPr>
      </w:pPr>
      <w:r>
        <w:rPr>
          <w:b/>
          <w:bCs/>
          <w:color w:val="000000"/>
          <w:sz w:val="20"/>
          <w:szCs w:val="20"/>
        </w:rPr>
        <w:t>Note—</w:t>
      </w:r>
    </w:p>
    <w:p w:rsidR="0045094D" w:rsidRDefault="0045094D" w:rsidP="00CE424B">
      <w:pPr>
        <w:keepLines/>
        <w:autoSpaceDE w:val="0"/>
        <w:autoSpaceDN w:val="0"/>
        <w:adjustRightInd w:val="0"/>
        <w:spacing w:before="120" w:after="0" w:line="240" w:lineRule="auto"/>
        <w:ind w:left="794"/>
        <w:jc w:val="left"/>
        <w:rPr>
          <w:color w:val="000000"/>
          <w:sz w:val="20"/>
          <w:szCs w:val="20"/>
        </w:rPr>
      </w:pPr>
      <w:r>
        <w:rPr>
          <w:color w:val="000000"/>
          <w:sz w:val="20"/>
          <w:szCs w:val="20"/>
        </w:rPr>
        <w:t xml:space="preserve">As required by section 10AA(2) of the </w:t>
      </w:r>
      <w:hyperlink r:id="rId39" w:history="1">
        <w:r>
          <w:rPr>
            <w:i/>
            <w:iCs/>
            <w:color w:val="000000"/>
            <w:sz w:val="20"/>
            <w:szCs w:val="20"/>
          </w:rPr>
          <w:t>Subordinate Legislation Act 1978</w:t>
        </w:r>
      </w:hyperlink>
      <w:r>
        <w:rPr>
          <w:color w:val="000000"/>
          <w:sz w:val="20"/>
          <w:szCs w:val="20"/>
        </w:rPr>
        <w:t>, the Minister has certified that, in the Minister's opinion, it is necessary or appropriate that these regulations come into operation as set out in these regulations.</w:t>
      </w:r>
    </w:p>
    <w:p w:rsidR="0045094D" w:rsidRDefault="0045094D" w:rsidP="00CE424B">
      <w:pPr>
        <w:keepNext/>
        <w:keepLines/>
        <w:autoSpaceDE w:val="0"/>
        <w:autoSpaceDN w:val="0"/>
        <w:adjustRightInd w:val="0"/>
        <w:spacing w:before="120" w:after="0" w:line="240" w:lineRule="auto"/>
        <w:jc w:val="left"/>
        <w:rPr>
          <w:b/>
          <w:bCs/>
          <w:color w:val="000000"/>
          <w:sz w:val="26"/>
          <w:szCs w:val="26"/>
        </w:rPr>
      </w:pPr>
      <w:r>
        <w:rPr>
          <w:b/>
          <w:bCs/>
          <w:color w:val="000000"/>
          <w:sz w:val="26"/>
          <w:szCs w:val="26"/>
        </w:rPr>
        <w:t>Made by the Governor</w:t>
      </w:r>
    </w:p>
    <w:p w:rsidR="0045094D" w:rsidRDefault="0045094D" w:rsidP="00CE424B">
      <w:pPr>
        <w:keepNext/>
        <w:keepLines/>
        <w:autoSpaceDE w:val="0"/>
        <w:autoSpaceDN w:val="0"/>
        <w:adjustRightInd w:val="0"/>
        <w:spacing w:before="120" w:after="0" w:line="240" w:lineRule="auto"/>
        <w:jc w:val="left"/>
        <w:rPr>
          <w:color w:val="000000"/>
          <w:sz w:val="23"/>
          <w:szCs w:val="23"/>
        </w:rPr>
      </w:pPr>
      <w:r>
        <w:rPr>
          <w:color w:val="000000"/>
          <w:sz w:val="23"/>
          <w:szCs w:val="23"/>
        </w:rPr>
        <w:t>with the advice and consent of the Executive Council</w:t>
      </w:r>
    </w:p>
    <w:p w:rsidR="0045094D" w:rsidRDefault="0045094D" w:rsidP="00CE424B">
      <w:pPr>
        <w:keepNext/>
        <w:keepLines/>
        <w:autoSpaceDE w:val="0"/>
        <w:autoSpaceDN w:val="0"/>
        <w:adjustRightInd w:val="0"/>
        <w:spacing w:after="0" w:line="240" w:lineRule="auto"/>
        <w:jc w:val="left"/>
        <w:rPr>
          <w:color w:val="000000"/>
          <w:sz w:val="23"/>
          <w:szCs w:val="23"/>
        </w:rPr>
      </w:pPr>
      <w:r>
        <w:rPr>
          <w:color w:val="000000"/>
          <w:sz w:val="23"/>
          <w:szCs w:val="23"/>
        </w:rPr>
        <w:t>on 23 July 2020</w:t>
      </w:r>
    </w:p>
    <w:p w:rsidR="0045094D" w:rsidRDefault="0045094D" w:rsidP="00CE424B">
      <w:pPr>
        <w:keepNext/>
        <w:keepLines/>
        <w:autoSpaceDE w:val="0"/>
        <w:autoSpaceDN w:val="0"/>
        <w:adjustRightInd w:val="0"/>
        <w:spacing w:before="120" w:after="0" w:line="240" w:lineRule="auto"/>
        <w:jc w:val="left"/>
        <w:rPr>
          <w:color w:val="000000"/>
          <w:sz w:val="23"/>
          <w:szCs w:val="23"/>
        </w:rPr>
      </w:pPr>
      <w:r>
        <w:rPr>
          <w:color w:val="000000"/>
          <w:sz w:val="23"/>
          <w:szCs w:val="23"/>
        </w:rPr>
        <w:t>No 239 of 2020</w:t>
      </w:r>
    </w:p>
    <w:p w:rsidR="0045094D" w:rsidRDefault="0045094D" w:rsidP="0045094D">
      <w:pPr>
        <w:pBdr>
          <w:top w:val="single" w:sz="4" w:space="1" w:color="auto"/>
        </w:pBdr>
        <w:autoSpaceDE w:val="0"/>
        <w:autoSpaceDN w:val="0"/>
        <w:adjustRightInd w:val="0"/>
        <w:spacing w:before="100" w:after="0" w:line="14" w:lineRule="exact"/>
        <w:jc w:val="center"/>
        <w:rPr>
          <w:color w:val="000000"/>
          <w:sz w:val="23"/>
          <w:szCs w:val="23"/>
        </w:rPr>
      </w:pPr>
    </w:p>
    <w:p w:rsidR="0045094D" w:rsidRDefault="0045094D">
      <w:pPr>
        <w:spacing w:after="0" w:line="240" w:lineRule="auto"/>
        <w:jc w:val="left"/>
        <w:rPr>
          <w:b/>
          <w:smallCaps/>
          <w:color w:val="000000"/>
          <w:sz w:val="36"/>
          <w:lang w:val="en-US"/>
        </w:rPr>
      </w:pPr>
      <w:r>
        <w:rPr>
          <w:lang w:val="en-US"/>
        </w:rPr>
        <w:br w:type="page"/>
      </w:r>
    </w:p>
    <w:p w:rsidR="004D6E0B" w:rsidRPr="004D6E0B" w:rsidRDefault="004D6E0B" w:rsidP="004D6E0B">
      <w:pPr>
        <w:keepLines/>
        <w:autoSpaceDE w:val="0"/>
        <w:autoSpaceDN w:val="0"/>
        <w:adjustRightInd w:val="0"/>
        <w:spacing w:after="0" w:line="20" w:lineRule="exact"/>
        <w:rPr>
          <w:color w:val="000000"/>
          <w:szCs w:val="17"/>
        </w:rPr>
      </w:pPr>
    </w:p>
    <w:p w:rsidR="0065609F" w:rsidRDefault="0065609F" w:rsidP="00762261">
      <w:pPr>
        <w:keepLines/>
        <w:autoSpaceDE w:val="0"/>
        <w:autoSpaceDN w:val="0"/>
        <w:adjustRightInd w:val="0"/>
        <w:spacing w:before="240" w:after="0" w:line="240" w:lineRule="auto"/>
        <w:jc w:val="left"/>
        <w:rPr>
          <w:color w:val="000000"/>
          <w:sz w:val="28"/>
          <w:szCs w:val="28"/>
        </w:rPr>
      </w:pPr>
      <w:r>
        <w:rPr>
          <w:color w:val="000000"/>
          <w:sz w:val="28"/>
          <w:szCs w:val="28"/>
        </w:rPr>
        <w:t>South Australia</w:t>
      </w:r>
    </w:p>
    <w:p w:rsidR="0065609F" w:rsidRDefault="0065609F" w:rsidP="00B6196F">
      <w:pPr>
        <w:pStyle w:val="Heading3"/>
      </w:pPr>
      <w:bookmarkStart w:id="107" w:name="_Toc46398091"/>
      <w:r>
        <w:t>Petroleum (Submerged Lands) Regulations 2020</w:t>
      </w:r>
      <w:bookmarkEnd w:id="107"/>
    </w:p>
    <w:p w:rsidR="0065609F" w:rsidRDefault="0065609F" w:rsidP="00762261">
      <w:pPr>
        <w:keepLines/>
        <w:autoSpaceDE w:val="0"/>
        <w:autoSpaceDN w:val="0"/>
        <w:adjustRightInd w:val="0"/>
        <w:spacing w:before="80" w:after="240" w:line="240" w:lineRule="auto"/>
        <w:jc w:val="left"/>
        <w:rPr>
          <w:color w:val="000000"/>
          <w:sz w:val="24"/>
          <w:szCs w:val="24"/>
        </w:rPr>
      </w:pPr>
      <w:r>
        <w:rPr>
          <w:color w:val="000000"/>
          <w:sz w:val="24"/>
          <w:szCs w:val="24"/>
        </w:rPr>
        <w:t xml:space="preserve">under the </w:t>
      </w:r>
      <w:r>
        <w:rPr>
          <w:i/>
          <w:iCs/>
          <w:color w:val="000000"/>
          <w:sz w:val="24"/>
          <w:szCs w:val="24"/>
        </w:rPr>
        <w:t>Petroleum (Submerged Lands) Act 1982</w:t>
      </w:r>
    </w:p>
    <w:p w:rsidR="0065609F" w:rsidRDefault="0065609F" w:rsidP="00762261">
      <w:pPr>
        <w:keepLines/>
        <w:pBdr>
          <w:top w:val="single" w:sz="4" w:space="0" w:color="auto"/>
        </w:pBdr>
        <w:autoSpaceDE w:val="0"/>
        <w:autoSpaceDN w:val="0"/>
        <w:adjustRightInd w:val="0"/>
        <w:spacing w:before="120" w:after="120" w:line="240" w:lineRule="auto"/>
        <w:jc w:val="left"/>
        <w:rPr>
          <w:color w:val="000000"/>
          <w:sz w:val="2"/>
          <w:szCs w:val="2"/>
        </w:rPr>
      </w:pPr>
    </w:p>
    <w:p w:rsidR="0065609F" w:rsidRDefault="0065609F" w:rsidP="00762261">
      <w:pPr>
        <w:pStyle w:val="contentshead"/>
      </w:pPr>
      <w:r>
        <w:t>Contents</w:t>
      </w:r>
    </w:p>
    <w:p w:rsidR="0065609F" w:rsidRDefault="00123FDA" w:rsidP="00762261">
      <w:pPr>
        <w:keepNext/>
        <w:keepLines/>
        <w:autoSpaceDE w:val="0"/>
        <w:autoSpaceDN w:val="0"/>
        <w:adjustRightInd w:val="0"/>
        <w:spacing w:before="120" w:after="120" w:line="240" w:lineRule="auto"/>
        <w:jc w:val="left"/>
        <w:rPr>
          <w:color w:val="000000"/>
          <w:sz w:val="28"/>
          <w:szCs w:val="28"/>
        </w:rPr>
      </w:pPr>
      <w:hyperlink w:anchor="Elkera_Print_BK1" w:history="1">
        <w:r w:rsidR="0065609F">
          <w:rPr>
            <w:color w:val="000000"/>
            <w:sz w:val="28"/>
            <w:szCs w:val="28"/>
          </w:rPr>
          <w:t>Part 1—Preliminary</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 w:history="1">
        <w:r w:rsidR="0065609F">
          <w:rPr>
            <w:color w:val="000000"/>
          </w:rPr>
          <w:t>1</w:t>
        </w:r>
        <w:r w:rsidR="0065609F">
          <w:rPr>
            <w:color w:val="000000"/>
          </w:rPr>
          <w:tab/>
          <w:t>Short title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3" w:history="1">
        <w:r w:rsidR="0065609F">
          <w:rPr>
            <w:color w:val="000000"/>
          </w:rPr>
          <w:t>2</w:t>
        </w:r>
        <w:r w:rsidR="0065609F">
          <w:rPr>
            <w:color w:val="000000"/>
          </w:rPr>
          <w:tab/>
          <w:t>Commencement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4" w:history="1">
        <w:r w:rsidR="0065609F">
          <w:rPr>
            <w:color w:val="000000"/>
          </w:rPr>
          <w:t>3</w:t>
        </w:r>
        <w:r w:rsidR="0065609F">
          <w:rPr>
            <w:color w:val="000000"/>
          </w:rPr>
          <w:tab/>
          <w:t>Definitions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5" w:history="1">
        <w:r w:rsidR="0065609F">
          <w:rPr>
            <w:color w:val="000000"/>
          </w:rPr>
          <w:t>4</w:t>
        </w:r>
        <w:r w:rsidR="0065609F">
          <w:rPr>
            <w:color w:val="000000"/>
          </w:rPr>
          <w:tab/>
          <w:t>Forms, notices and reports</w:t>
        </w:r>
      </w:hyperlink>
    </w:p>
    <w:p w:rsidR="0065609F" w:rsidRDefault="00123FDA" w:rsidP="00762261">
      <w:pPr>
        <w:keepNext/>
        <w:keepLines/>
        <w:autoSpaceDE w:val="0"/>
        <w:autoSpaceDN w:val="0"/>
        <w:adjustRightInd w:val="0"/>
        <w:spacing w:before="120" w:after="120" w:line="240" w:lineRule="auto"/>
        <w:jc w:val="left"/>
        <w:rPr>
          <w:color w:val="000000"/>
          <w:sz w:val="28"/>
          <w:szCs w:val="28"/>
        </w:rPr>
      </w:pPr>
      <w:hyperlink w:anchor="id47f1126e_fe79_485d_a8f1_bb9869096645_0" w:history="1">
        <w:r w:rsidR="0065609F">
          <w:rPr>
            <w:color w:val="000000"/>
            <w:sz w:val="28"/>
            <w:szCs w:val="28"/>
          </w:rPr>
          <w:t>Part 2—Occupational health and safety</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8" w:history="1">
        <w:r w:rsidR="0065609F">
          <w:rPr>
            <w:color w:val="000000"/>
            <w:sz w:val="26"/>
            <w:szCs w:val="26"/>
          </w:rPr>
          <w:t>Division 1—Preliminary</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9" w:history="1">
        <w:r w:rsidR="0065609F">
          <w:rPr>
            <w:color w:val="000000"/>
          </w:rPr>
          <w:t>5</w:t>
        </w:r>
        <w:r w:rsidR="0065609F">
          <w:rPr>
            <w:color w:val="000000"/>
          </w:rPr>
          <w:tab/>
          <w:t>Object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0" w:history="1">
        <w:r w:rsidR="0065609F">
          <w:rPr>
            <w:color w:val="000000"/>
          </w:rPr>
          <w:t>6</w:t>
        </w:r>
        <w:r w:rsidR="0065609F">
          <w:rPr>
            <w:color w:val="000000"/>
          </w:rPr>
          <w:tab/>
          <w:t>Relationship with other Parts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1" w:history="1">
        <w:r w:rsidR="0065609F">
          <w:rPr>
            <w:color w:val="000000"/>
          </w:rPr>
          <w:t>7</w:t>
        </w:r>
        <w:r w:rsidR="0065609F">
          <w:rPr>
            <w:color w:val="000000"/>
          </w:rPr>
          <w:tab/>
          <w:t>Definitions</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12" w:history="1">
        <w:r w:rsidR="0065609F">
          <w:rPr>
            <w:color w:val="000000"/>
            <w:sz w:val="26"/>
            <w:szCs w:val="26"/>
          </w:rPr>
          <w:t>Division 2—Regulations relating to health and safety</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3" w:history="1">
        <w:r w:rsidR="0065609F">
          <w:rPr>
            <w:color w:val="000000"/>
          </w:rPr>
          <w:t>8</w:t>
        </w:r>
        <w:r w:rsidR="0065609F">
          <w:rPr>
            <w:color w:val="000000"/>
          </w:rPr>
          <w:tab/>
          <w:t>Avoiding fatigue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4" w:history="1">
        <w:r w:rsidR="0065609F">
          <w:rPr>
            <w:color w:val="000000"/>
          </w:rPr>
          <w:t>9</w:t>
        </w:r>
        <w:r w:rsidR="0065609F">
          <w:rPr>
            <w:color w:val="000000"/>
          </w:rPr>
          <w:tab/>
          <w:t>Possession or control of drugs or intoxicants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5" w:history="1">
        <w:r w:rsidR="0065609F">
          <w:rPr>
            <w:color w:val="000000"/>
          </w:rPr>
          <w:t>10</w:t>
        </w:r>
        <w:r w:rsidR="0065609F">
          <w:rPr>
            <w:color w:val="000000"/>
          </w:rPr>
          <w:tab/>
          <w:t>Person must leave the facility when instructed to do so</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f5d7d445_a165_49dc_bf55_5672a6833bcd_b" w:history="1">
        <w:r w:rsidR="0065609F">
          <w:rPr>
            <w:color w:val="000000"/>
          </w:rPr>
          <w:t>11</w:t>
        </w:r>
        <w:r w:rsidR="0065609F">
          <w:rPr>
            <w:color w:val="000000"/>
          </w:rPr>
          <w:tab/>
          <w:t>Prohibition on the use of certain hazardous substances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a1de7040_27be_4ac6_a588_a7f75890da20_9" w:history="1">
        <w:r w:rsidR="0065609F">
          <w:rPr>
            <w:color w:val="000000"/>
          </w:rPr>
          <w:t>12</w:t>
        </w:r>
        <w:r w:rsidR="0065609F">
          <w:rPr>
            <w:color w:val="000000"/>
          </w:rPr>
          <w:tab/>
          <w:t>Limitations on exposure to certain hazardous substances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b4387b34_d076_4197_b16a_fd33af115143_0" w:history="1">
        <w:r w:rsidR="0065609F">
          <w:rPr>
            <w:color w:val="000000"/>
          </w:rPr>
          <w:t>13</w:t>
        </w:r>
        <w:r w:rsidR="0065609F">
          <w:rPr>
            <w:color w:val="000000"/>
          </w:rPr>
          <w:tab/>
          <w:t>Exposure to noise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c6fcce13_e6fe_4599_a918_2447db18aafb_a" w:history="1">
        <w:r w:rsidR="0065609F">
          <w:rPr>
            <w:color w:val="000000"/>
          </w:rPr>
          <w:t>14</w:t>
        </w:r>
        <w:r w:rsidR="0065609F">
          <w:rPr>
            <w:color w:val="000000"/>
          </w:rPr>
          <w:tab/>
          <w:t>Exemptions from hazardous substances and noise requirements</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24" w:history="1">
        <w:r w:rsidR="0065609F">
          <w:rPr>
            <w:color w:val="000000"/>
            <w:sz w:val="26"/>
            <w:szCs w:val="26"/>
          </w:rPr>
          <w:t>Division 3—Elections of health and safety representatives</w:t>
        </w:r>
      </w:hyperlink>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Elkera_Print_BK25" w:history="1">
        <w:r w:rsidR="0065609F">
          <w:rPr>
            <w:color w:val="000000"/>
            <w:sz w:val="24"/>
            <w:szCs w:val="24"/>
          </w:rPr>
          <w:t>Subdivision 1—Returning officer</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a40e34b8_a750_4845_be58_d12837104274_8" w:history="1">
        <w:r w:rsidR="0065609F">
          <w:rPr>
            <w:color w:val="000000"/>
          </w:rPr>
          <w:t>15</w:t>
        </w:r>
        <w:r w:rsidR="0065609F">
          <w:rPr>
            <w:color w:val="000000"/>
          </w:rPr>
          <w:tab/>
          <w:t>Appointment of returning officer</w:t>
        </w:r>
      </w:hyperlink>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Elkera_Print_BK28" w:history="1">
        <w:r w:rsidR="0065609F">
          <w:rPr>
            <w:color w:val="000000"/>
            <w:sz w:val="24"/>
            <w:szCs w:val="24"/>
          </w:rPr>
          <w:t>Subdivision 2—The poll</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9" w:history="1">
        <w:r w:rsidR="0065609F">
          <w:rPr>
            <w:color w:val="000000"/>
          </w:rPr>
          <w:t>16</w:t>
        </w:r>
        <w:r w:rsidR="0065609F">
          <w:rPr>
            <w:color w:val="000000"/>
          </w:rPr>
          <w:tab/>
          <w:t>Number of votes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f33618ff_2de1_43ce_8118_e7d6af3ed61a_d" w:history="1">
        <w:r w:rsidR="0065609F">
          <w:rPr>
            <w:color w:val="000000"/>
          </w:rPr>
          <w:t>17</w:t>
        </w:r>
        <w:r w:rsidR="0065609F">
          <w:rPr>
            <w:color w:val="000000"/>
          </w:rPr>
          <w:tab/>
          <w:t>Right to secret ballot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32" w:history="1">
        <w:r w:rsidR="0065609F">
          <w:rPr>
            <w:color w:val="000000"/>
          </w:rPr>
          <w:t>18</w:t>
        </w:r>
        <w:r w:rsidR="0065609F">
          <w:rPr>
            <w:color w:val="000000"/>
          </w:rPr>
          <w:tab/>
          <w:t>Conduct of poll by secret ballot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33" w:history="1">
        <w:r w:rsidR="0065609F">
          <w:rPr>
            <w:color w:val="000000"/>
          </w:rPr>
          <w:t>19</w:t>
        </w:r>
        <w:r w:rsidR="0065609F">
          <w:rPr>
            <w:color w:val="000000"/>
          </w:rPr>
          <w:tab/>
          <w:t>Conduct of poll if no request made for secret ballot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34" w:history="1">
        <w:r w:rsidR="0065609F">
          <w:rPr>
            <w:color w:val="000000"/>
          </w:rPr>
          <w:t>20</w:t>
        </w:r>
        <w:r w:rsidR="0065609F">
          <w:rPr>
            <w:color w:val="000000"/>
          </w:rPr>
          <w:tab/>
          <w:t>If no candidate is elected</w:t>
        </w:r>
      </w:hyperlink>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idfc812682_eb32_4246_bfc1_a8a583a087a8_0" w:history="1">
        <w:r w:rsidR="0065609F">
          <w:rPr>
            <w:color w:val="000000"/>
            <w:sz w:val="24"/>
            <w:szCs w:val="24"/>
          </w:rPr>
          <w:t>Subdivision 3—Polling by secret ballot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37" w:history="1">
        <w:r w:rsidR="0065609F">
          <w:rPr>
            <w:color w:val="000000"/>
          </w:rPr>
          <w:t>21</w:t>
        </w:r>
        <w:r w:rsidR="0065609F">
          <w:rPr>
            <w:color w:val="000000"/>
          </w:rPr>
          <w:tab/>
          <w:t>Ballot papers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f0fafaf5_9d68_4d13_b1e6_16b63dde2358_4" w:history="1">
        <w:r w:rsidR="0065609F">
          <w:rPr>
            <w:color w:val="000000"/>
          </w:rPr>
          <w:t>22</w:t>
        </w:r>
        <w:r w:rsidR="0065609F">
          <w:rPr>
            <w:color w:val="000000"/>
          </w:rPr>
          <w:tab/>
          <w:t>Distribution of ballot papers</w:t>
        </w:r>
      </w:hyperlink>
    </w:p>
    <w:p w:rsidR="00A06585"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40" w:history="1">
        <w:r w:rsidR="0065609F">
          <w:rPr>
            <w:color w:val="000000"/>
          </w:rPr>
          <w:t>23</w:t>
        </w:r>
        <w:r w:rsidR="0065609F">
          <w:rPr>
            <w:color w:val="000000"/>
          </w:rPr>
          <w:tab/>
          <w:t>Manner of voting by secret ballot</w:t>
        </w:r>
      </w:hyperlink>
    </w:p>
    <w:p w:rsidR="00A06585" w:rsidRDefault="00A06585" w:rsidP="00762261">
      <w:pPr>
        <w:spacing w:after="0" w:line="240" w:lineRule="auto"/>
        <w:jc w:val="left"/>
        <w:rPr>
          <w:color w:val="000000"/>
        </w:rPr>
      </w:pPr>
      <w:r>
        <w:rPr>
          <w:color w:val="000000"/>
        </w:rPr>
        <w:br w:type="page"/>
      </w:r>
    </w:p>
    <w:p w:rsidR="0065609F" w:rsidRDefault="0065609F" w:rsidP="00762261">
      <w:pPr>
        <w:pStyle w:val="RegSpace"/>
        <w:jc w:val="left"/>
      </w:pPr>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idbec723ad_f684_4bb9_bb31_84b6756060" w:history="1">
        <w:r w:rsidR="0065609F">
          <w:rPr>
            <w:color w:val="000000"/>
            <w:sz w:val="24"/>
            <w:szCs w:val="24"/>
          </w:rPr>
          <w:t>Subdivision 4—The count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43" w:history="1">
        <w:r w:rsidR="0065609F">
          <w:rPr>
            <w:color w:val="000000"/>
          </w:rPr>
          <w:t>24</w:t>
        </w:r>
        <w:r w:rsidR="0065609F">
          <w:rPr>
            <w:color w:val="000000"/>
          </w:rPr>
          <w:tab/>
          <w:t>Envelopes given to returning officer</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4005f574_559c_437e_92ba_42317be457bb_6" w:history="1">
        <w:r w:rsidR="0065609F">
          <w:rPr>
            <w:color w:val="000000"/>
          </w:rPr>
          <w:t>25</w:t>
        </w:r>
        <w:r w:rsidR="0065609F">
          <w:rPr>
            <w:color w:val="000000"/>
          </w:rPr>
          <w:tab/>
          <w:t>Scrutineers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46" w:history="1">
        <w:r w:rsidR="0065609F">
          <w:rPr>
            <w:color w:val="000000"/>
          </w:rPr>
          <w:t>26</w:t>
        </w:r>
        <w:r w:rsidR="0065609F">
          <w:rPr>
            <w:color w:val="000000"/>
          </w:rPr>
          <w:tab/>
          <w:t>Returning officer to be advised of scrutineers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47" w:history="1">
        <w:r w:rsidR="0065609F">
          <w:rPr>
            <w:color w:val="000000"/>
          </w:rPr>
          <w:t>27</w:t>
        </w:r>
        <w:r w:rsidR="0065609F">
          <w:rPr>
            <w:color w:val="000000"/>
          </w:rPr>
          <w:tab/>
          <w:t>Persons present at the count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ea7333d4_9756_41a4_9ff5_a1d3367c68ea_e" w:history="1">
        <w:r w:rsidR="0065609F">
          <w:rPr>
            <w:color w:val="000000"/>
          </w:rPr>
          <w:t>28</w:t>
        </w:r>
        <w:r w:rsidR="0065609F">
          <w:rPr>
            <w:color w:val="000000"/>
          </w:rPr>
          <w:tab/>
          <w:t>Conduct of the count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50" w:history="1">
        <w:r w:rsidR="0065609F">
          <w:rPr>
            <w:color w:val="000000"/>
          </w:rPr>
          <w:t>29</w:t>
        </w:r>
        <w:r w:rsidR="0065609F">
          <w:rPr>
            <w:color w:val="000000"/>
          </w:rPr>
          <w:tab/>
          <w:t>Informal ballot papers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8ad7d699_ac4c_4754_9e06_0954f9341ee1_5" w:history="1">
        <w:r w:rsidR="0065609F">
          <w:rPr>
            <w:color w:val="000000"/>
          </w:rPr>
          <w:t>30</w:t>
        </w:r>
        <w:r w:rsidR="0065609F">
          <w:rPr>
            <w:color w:val="000000"/>
          </w:rPr>
          <w:tab/>
          <w:t>Completion of the count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53" w:history="1">
        <w:r w:rsidR="0065609F">
          <w:rPr>
            <w:color w:val="000000"/>
          </w:rPr>
          <w:t>31</w:t>
        </w:r>
        <w:r w:rsidR="0065609F">
          <w:rPr>
            <w:color w:val="000000"/>
          </w:rPr>
          <w:tab/>
          <w:t>Destruction of election material</w:t>
        </w:r>
      </w:hyperlink>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id1af552ae_3561_48b3_8d0b_2f2833429a" w:history="1">
        <w:r w:rsidR="0065609F">
          <w:rPr>
            <w:color w:val="000000"/>
            <w:sz w:val="24"/>
            <w:szCs w:val="24"/>
          </w:rPr>
          <w:t>Subdivision 5—Result of election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56" w:history="1">
        <w:r w:rsidR="0065609F">
          <w:rPr>
            <w:color w:val="000000"/>
          </w:rPr>
          <w:t>32</w:t>
        </w:r>
        <w:r w:rsidR="0065609F">
          <w:rPr>
            <w:color w:val="000000"/>
          </w:rPr>
          <w:tab/>
          <w:t>Request for recount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57" w:history="1">
        <w:r w:rsidR="0065609F">
          <w:rPr>
            <w:color w:val="000000"/>
          </w:rPr>
          <w:t>33</w:t>
        </w:r>
        <w:r w:rsidR="0065609F">
          <w:rPr>
            <w:color w:val="000000"/>
          </w:rPr>
          <w:tab/>
          <w:t>Irregularities at election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36ea39e8_577b_4644_a7ac_3225e2d2dd60_4" w:history="1">
        <w:r w:rsidR="0065609F">
          <w:rPr>
            <w:color w:val="000000"/>
          </w:rPr>
          <w:t>34</w:t>
        </w:r>
        <w:r w:rsidR="0065609F">
          <w:rPr>
            <w:color w:val="000000"/>
          </w:rPr>
          <w:tab/>
          <w:t>Result of poll</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60" w:history="1">
        <w:r w:rsidR="0065609F">
          <w:rPr>
            <w:color w:val="000000"/>
            <w:sz w:val="26"/>
            <w:szCs w:val="26"/>
          </w:rPr>
          <w:t>Division 4—Advice, investigations and inquiries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b183a7c2_5fa0_460c_acad_b0a32d95240b_9" w:history="1">
        <w:r w:rsidR="0065609F">
          <w:rPr>
            <w:color w:val="000000"/>
          </w:rPr>
          <w:t>35</w:t>
        </w:r>
        <w:r w:rsidR="0065609F">
          <w:rPr>
            <w:color w:val="000000"/>
          </w:rPr>
          <w:tab/>
          <w:t>Taking samples for testing etc</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63" w:history="1">
        <w:r w:rsidR="0065609F">
          <w:rPr>
            <w:color w:val="000000"/>
          </w:rPr>
          <w:t>36</w:t>
        </w:r>
        <w:r w:rsidR="0065609F">
          <w:rPr>
            <w:color w:val="000000"/>
          </w:rPr>
          <w:tab/>
          <w:t>Form of certain notices</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64" w:history="1">
        <w:r w:rsidR="0065609F">
          <w:rPr>
            <w:color w:val="000000"/>
            <w:sz w:val="26"/>
            <w:szCs w:val="26"/>
          </w:rPr>
          <w:t>Division 5—Exemptions from the requirements in Part 3 of Schedule 7 of the Act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65" w:history="1">
        <w:r w:rsidR="0065609F">
          <w:rPr>
            <w:color w:val="000000"/>
          </w:rPr>
          <w:t>37</w:t>
        </w:r>
        <w:r w:rsidR="0065609F">
          <w:rPr>
            <w:color w:val="000000"/>
          </w:rPr>
          <w:tab/>
          <w:t>Orders under clause 45 of Schedule 7 of the Act</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66" w:history="1">
        <w:r w:rsidR="0065609F">
          <w:rPr>
            <w:color w:val="000000"/>
            <w:sz w:val="26"/>
            <w:szCs w:val="26"/>
          </w:rPr>
          <w:t>Division 6—State laws that do not apply</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67" w:history="1">
        <w:r w:rsidR="0065609F">
          <w:rPr>
            <w:color w:val="000000"/>
          </w:rPr>
          <w:t>38</w:t>
        </w:r>
        <w:r w:rsidR="0065609F">
          <w:rPr>
            <w:color w:val="000000"/>
          </w:rPr>
          <w:tab/>
          <w:t>Prescribed occupational health and safety laws</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68" w:history="1">
        <w:r w:rsidR="0065609F">
          <w:rPr>
            <w:color w:val="000000"/>
            <w:sz w:val="26"/>
            <w:szCs w:val="26"/>
          </w:rPr>
          <w:t>Division 7—Miscellaneous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69" w:history="1">
        <w:r w:rsidR="0065609F">
          <w:rPr>
            <w:color w:val="000000"/>
          </w:rPr>
          <w:t>39</w:t>
        </w:r>
        <w:r w:rsidR="0065609F">
          <w:rPr>
            <w:color w:val="000000"/>
          </w:rPr>
          <w:tab/>
          <w:t>Service of notices</w:t>
        </w:r>
      </w:hyperlink>
    </w:p>
    <w:p w:rsidR="0065609F" w:rsidRDefault="00123FDA" w:rsidP="00762261">
      <w:pPr>
        <w:keepNext/>
        <w:keepLines/>
        <w:autoSpaceDE w:val="0"/>
        <w:autoSpaceDN w:val="0"/>
        <w:adjustRightInd w:val="0"/>
        <w:spacing w:before="120" w:after="120" w:line="240" w:lineRule="auto"/>
        <w:jc w:val="left"/>
        <w:rPr>
          <w:color w:val="000000"/>
          <w:sz w:val="28"/>
          <w:szCs w:val="28"/>
        </w:rPr>
      </w:pPr>
      <w:hyperlink w:anchor="idf237fbff_7873_468a_a0b8_69e7b266d965_a" w:history="1">
        <w:r w:rsidR="0065609F">
          <w:rPr>
            <w:color w:val="000000"/>
            <w:sz w:val="28"/>
            <w:szCs w:val="28"/>
          </w:rPr>
          <w:t>Part 3—Management of safety on offshore facilities</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72" w:history="1">
        <w:r w:rsidR="0065609F">
          <w:rPr>
            <w:color w:val="000000"/>
            <w:sz w:val="26"/>
            <w:szCs w:val="26"/>
          </w:rPr>
          <w:t>Division 1—Preliminary</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73" w:history="1">
        <w:r w:rsidR="0065609F">
          <w:rPr>
            <w:color w:val="000000"/>
          </w:rPr>
          <w:t>40</w:t>
        </w:r>
        <w:r w:rsidR="0065609F">
          <w:rPr>
            <w:color w:val="000000"/>
          </w:rPr>
          <w:tab/>
          <w:t>Object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74" w:history="1">
        <w:r w:rsidR="0065609F">
          <w:rPr>
            <w:color w:val="000000"/>
          </w:rPr>
          <w:t>41</w:t>
        </w:r>
        <w:r w:rsidR="0065609F">
          <w:rPr>
            <w:color w:val="000000"/>
          </w:rPr>
          <w:tab/>
          <w:t>Relationship with other Parts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59648780_7cc1_4b4b_8f5a_73ae1547857d_9" w:history="1">
        <w:r w:rsidR="0065609F">
          <w:rPr>
            <w:color w:val="000000"/>
          </w:rPr>
          <w:t>42</w:t>
        </w:r>
        <w:r w:rsidR="0065609F">
          <w:rPr>
            <w:color w:val="000000"/>
          </w:rPr>
          <w:tab/>
          <w:t>Definitions</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79" w:history="1">
        <w:r w:rsidR="0065609F">
          <w:rPr>
            <w:color w:val="000000"/>
            <w:sz w:val="26"/>
            <w:szCs w:val="26"/>
          </w:rPr>
          <w:t>Division 2—Operators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80" w:history="1">
        <w:r w:rsidR="0065609F">
          <w:rPr>
            <w:color w:val="000000"/>
          </w:rPr>
          <w:t>43</w:t>
        </w:r>
        <w:r w:rsidR="0065609F">
          <w:rPr>
            <w:color w:val="000000"/>
          </w:rPr>
          <w:tab/>
          <w:t>Nomination of operator</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55a491cf_9953_4bef_9a0a_52f28a902b29_6" w:history="1">
        <w:r w:rsidR="0065609F">
          <w:rPr>
            <w:color w:val="000000"/>
          </w:rPr>
          <w:t>44</w:t>
        </w:r>
        <w:r w:rsidR="0065609F">
          <w:rPr>
            <w:color w:val="000000"/>
          </w:rPr>
          <w:tab/>
          <w:t>Acceptance or rejection of nomination of operator</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83" w:history="1">
        <w:r w:rsidR="0065609F">
          <w:rPr>
            <w:color w:val="000000"/>
          </w:rPr>
          <w:t>45</w:t>
        </w:r>
        <w:r w:rsidR="0065609F">
          <w:rPr>
            <w:color w:val="000000"/>
          </w:rPr>
          <w:tab/>
          <w:t>Register of operators</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84" w:history="1">
        <w:r w:rsidR="0065609F">
          <w:rPr>
            <w:color w:val="000000"/>
            <w:sz w:val="26"/>
            <w:szCs w:val="26"/>
          </w:rPr>
          <w:t>Division 3—Safety cases</w:t>
        </w:r>
      </w:hyperlink>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Elkera_Print_BK85" w:history="1">
        <w:r w:rsidR="0065609F">
          <w:rPr>
            <w:color w:val="000000"/>
            <w:sz w:val="24"/>
            <w:szCs w:val="24"/>
          </w:rPr>
          <w:t>Subdivision 1—Contents of safety case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4a39e714_31cb_4c70_a6b1_2a5a00543ee5_0" w:history="1">
        <w:r w:rsidR="0065609F">
          <w:rPr>
            <w:color w:val="000000"/>
          </w:rPr>
          <w:t>46</w:t>
        </w:r>
        <w:r w:rsidR="0065609F">
          <w:rPr>
            <w:color w:val="000000"/>
          </w:rPr>
          <w:tab/>
          <w:t>Facility description, formal safety assessment and safety management system</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88" w:history="1">
        <w:r w:rsidR="0065609F">
          <w:rPr>
            <w:color w:val="000000"/>
          </w:rPr>
          <w:t>47</w:t>
        </w:r>
        <w:r w:rsidR="0065609F">
          <w:rPr>
            <w:color w:val="000000"/>
          </w:rPr>
          <w:tab/>
          <w:t>Implementation and improvement of the safety management system</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89" w:history="1">
        <w:r w:rsidR="0065609F">
          <w:rPr>
            <w:color w:val="000000"/>
          </w:rPr>
          <w:t>48</w:t>
        </w:r>
        <w:r w:rsidR="0065609F">
          <w:rPr>
            <w:color w:val="000000"/>
          </w:rPr>
          <w:tab/>
          <w:t>Standards to be applied</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90" w:history="1">
        <w:r w:rsidR="0065609F">
          <w:rPr>
            <w:color w:val="000000"/>
          </w:rPr>
          <w:t>49</w:t>
        </w:r>
        <w:r w:rsidR="0065609F">
          <w:rPr>
            <w:color w:val="000000"/>
          </w:rPr>
          <w:tab/>
          <w:t>Command structure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91" w:history="1">
        <w:r w:rsidR="0065609F">
          <w:rPr>
            <w:color w:val="000000"/>
          </w:rPr>
          <w:t>50</w:t>
        </w:r>
        <w:r w:rsidR="0065609F">
          <w:rPr>
            <w:color w:val="000000"/>
          </w:rPr>
          <w:tab/>
          <w:t>Members of the workforce must be competent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92" w:history="1">
        <w:r w:rsidR="0065609F">
          <w:rPr>
            <w:color w:val="000000"/>
          </w:rPr>
          <w:t>51</w:t>
        </w:r>
        <w:r w:rsidR="0065609F">
          <w:rPr>
            <w:color w:val="000000"/>
          </w:rPr>
          <w:tab/>
          <w:t>"Permit to work" system for safe performance of various activities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93" w:history="1">
        <w:r w:rsidR="0065609F">
          <w:rPr>
            <w:color w:val="000000"/>
          </w:rPr>
          <w:t>52</w:t>
        </w:r>
        <w:r w:rsidR="0065609F">
          <w:rPr>
            <w:color w:val="000000"/>
          </w:rPr>
          <w:tab/>
          <w:t>Involvement of members of the workforce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94" w:history="1">
        <w:r w:rsidR="0065609F">
          <w:rPr>
            <w:color w:val="000000"/>
          </w:rPr>
          <w:t>53</w:t>
        </w:r>
        <w:r w:rsidR="0065609F">
          <w:rPr>
            <w:color w:val="000000"/>
          </w:rPr>
          <w:tab/>
          <w:t>Design, construction, installation, maintenance and modification</w:t>
        </w:r>
      </w:hyperlink>
    </w:p>
    <w:p w:rsidR="00145CDF" w:rsidRDefault="00145CDF" w:rsidP="00762261">
      <w:pPr>
        <w:spacing w:after="0" w:line="240" w:lineRule="auto"/>
        <w:jc w:val="left"/>
        <w:rPr>
          <w:color w:val="000000"/>
        </w:rPr>
      </w:pPr>
      <w:r>
        <w:rPr>
          <w:color w:val="000000"/>
        </w:rPr>
        <w:br w:type="page"/>
      </w:r>
    </w:p>
    <w:p w:rsidR="00145CDF" w:rsidRDefault="00145CDF" w:rsidP="00762261">
      <w:pPr>
        <w:pStyle w:val="RegSpace"/>
        <w:jc w:val="left"/>
      </w:pPr>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95" w:history="1">
        <w:r w:rsidR="0065609F">
          <w:rPr>
            <w:color w:val="000000"/>
          </w:rPr>
          <w:t>54</w:t>
        </w:r>
        <w:r w:rsidR="0065609F">
          <w:rPr>
            <w:color w:val="000000"/>
          </w:rPr>
          <w:tab/>
          <w:t>Medical and pharmaceutical supplies and services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96" w:history="1">
        <w:r w:rsidR="0065609F">
          <w:rPr>
            <w:color w:val="000000"/>
          </w:rPr>
          <w:t>55</w:t>
        </w:r>
        <w:r w:rsidR="0065609F">
          <w:rPr>
            <w:color w:val="000000"/>
          </w:rPr>
          <w:tab/>
          <w:t>Machinery and equipment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97" w:history="1">
        <w:r w:rsidR="0065609F">
          <w:rPr>
            <w:color w:val="000000"/>
          </w:rPr>
          <w:t>56</w:t>
        </w:r>
        <w:r w:rsidR="0065609F">
          <w:rPr>
            <w:color w:val="000000"/>
          </w:rPr>
          <w:tab/>
          <w:t>Drugs and intoxicants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98" w:history="1">
        <w:r w:rsidR="0065609F">
          <w:rPr>
            <w:color w:val="000000"/>
          </w:rPr>
          <w:t>57</w:t>
        </w:r>
        <w:r w:rsidR="0065609F">
          <w:rPr>
            <w:color w:val="000000"/>
          </w:rPr>
          <w:tab/>
          <w:t>Evacuation, escape and rescue analysis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99" w:history="1">
        <w:r w:rsidR="0065609F">
          <w:rPr>
            <w:color w:val="000000"/>
          </w:rPr>
          <w:t>58</w:t>
        </w:r>
        <w:r w:rsidR="0065609F">
          <w:rPr>
            <w:color w:val="000000"/>
          </w:rPr>
          <w:tab/>
          <w:t>Fire and explosion risk analysis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00" w:history="1">
        <w:r w:rsidR="0065609F">
          <w:rPr>
            <w:color w:val="000000"/>
          </w:rPr>
          <w:t>59</w:t>
        </w:r>
        <w:r w:rsidR="0065609F">
          <w:rPr>
            <w:color w:val="000000"/>
          </w:rPr>
          <w:tab/>
          <w:t>Emergency communications systems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01" w:history="1">
        <w:r w:rsidR="0065609F">
          <w:rPr>
            <w:color w:val="000000"/>
          </w:rPr>
          <w:t>60</w:t>
        </w:r>
        <w:r w:rsidR="0065609F">
          <w:rPr>
            <w:color w:val="000000"/>
          </w:rPr>
          <w:tab/>
          <w:t>Control systems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02" w:history="1">
        <w:r w:rsidR="0065609F">
          <w:rPr>
            <w:color w:val="000000"/>
          </w:rPr>
          <w:t>61</w:t>
        </w:r>
        <w:r w:rsidR="0065609F">
          <w:rPr>
            <w:color w:val="000000"/>
          </w:rPr>
          <w:tab/>
          <w:t>Emergency preparedness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03" w:history="1">
        <w:r w:rsidR="0065609F">
          <w:rPr>
            <w:color w:val="000000"/>
          </w:rPr>
          <w:t>62</w:t>
        </w:r>
        <w:r w:rsidR="0065609F">
          <w:rPr>
            <w:color w:val="000000"/>
          </w:rPr>
          <w:tab/>
          <w:t>Pipelines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0e189e8e_ac97_4345_a207_376f3bc15026_3" w:history="1">
        <w:r w:rsidR="0065609F">
          <w:rPr>
            <w:color w:val="000000"/>
          </w:rPr>
          <w:t>63</w:t>
        </w:r>
        <w:r w:rsidR="0065609F">
          <w:rPr>
            <w:color w:val="000000"/>
          </w:rPr>
          <w:tab/>
          <w:t>Vessel and aircraft control</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36fac36a_1cfb_40bd_933b_83c7bb4dda5c_7" w:history="1">
        <w:r w:rsidR="0065609F">
          <w:rPr>
            <w:color w:val="000000"/>
          </w:rPr>
          <w:t>64</w:t>
        </w:r>
        <w:r w:rsidR="0065609F">
          <w:rPr>
            <w:color w:val="000000"/>
          </w:rPr>
          <w:tab/>
          <w:t>Arrangements for records</w:t>
        </w:r>
      </w:hyperlink>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Elkera_Print_BK108" w:history="1">
        <w:r w:rsidR="0065609F">
          <w:rPr>
            <w:color w:val="000000"/>
            <w:sz w:val="24"/>
            <w:szCs w:val="24"/>
          </w:rPr>
          <w:t>Subdivision 2—Submission and acceptance of safety cases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5512dbc8_83bc_4c21_8d49_1601de127910_8" w:history="1">
        <w:r w:rsidR="0065609F">
          <w:rPr>
            <w:color w:val="000000"/>
          </w:rPr>
          <w:t>65</w:t>
        </w:r>
        <w:r w:rsidR="0065609F">
          <w:rPr>
            <w:color w:val="000000"/>
          </w:rPr>
          <w:tab/>
          <w:t>Safety case to be submitted to Safety Authority</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11" w:history="1">
        <w:r w:rsidR="0065609F">
          <w:rPr>
            <w:color w:val="000000"/>
          </w:rPr>
          <w:t>66</w:t>
        </w:r>
        <w:r w:rsidR="0065609F">
          <w:rPr>
            <w:color w:val="000000"/>
          </w:rPr>
          <w:tab/>
          <w:t>Safety Authority may request more information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4874cbef_89c7_424f_9df6_2e4346e6edb3_9" w:history="1">
        <w:r w:rsidR="0065609F">
          <w:rPr>
            <w:color w:val="000000"/>
          </w:rPr>
          <w:t>67</w:t>
        </w:r>
        <w:r w:rsidR="0065609F">
          <w:rPr>
            <w:color w:val="000000"/>
          </w:rPr>
          <w:tab/>
          <w:t>Acceptance or rejection of a safety case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14" w:history="1">
        <w:r w:rsidR="0065609F">
          <w:rPr>
            <w:color w:val="000000"/>
          </w:rPr>
          <w:t>68</w:t>
        </w:r>
        <w:r w:rsidR="0065609F">
          <w:rPr>
            <w:color w:val="000000"/>
          </w:rPr>
          <w:tab/>
          <w:t>Notice of decision on safety case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ba0a87cd_e0c3_4662_8d56_40f8796f3353_6" w:history="1">
        <w:r w:rsidR="0065609F">
          <w:rPr>
            <w:color w:val="000000"/>
          </w:rPr>
          <w:t>69</w:t>
        </w:r>
        <w:r w:rsidR="0065609F">
          <w:rPr>
            <w:color w:val="000000"/>
          </w:rPr>
          <w:tab/>
          <w:t>Consent to undertake work outside of the requirements of the safety case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17" w:history="1">
        <w:r w:rsidR="0065609F">
          <w:rPr>
            <w:color w:val="000000"/>
          </w:rPr>
          <w:t>70</w:t>
        </w:r>
        <w:r w:rsidR="0065609F">
          <w:rPr>
            <w:color w:val="000000"/>
          </w:rPr>
          <w:tab/>
          <w:t>Duties under Part 2 of Schedule 7 of the Act</w:t>
        </w:r>
      </w:hyperlink>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Elkera_Print_BK118" w:history="1">
        <w:r w:rsidR="0065609F">
          <w:rPr>
            <w:color w:val="000000"/>
            <w:sz w:val="24"/>
            <w:szCs w:val="24"/>
          </w:rPr>
          <w:t>Subdivision 3—Revised safety cases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fdcea7e2_8dda_4269_bc22_b083174d640f_f" w:history="1">
        <w:r w:rsidR="0065609F">
          <w:rPr>
            <w:color w:val="000000"/>
          </w:rPr>
          <w:t>71</w:t>
        </w:r>
        <w:r w:rsidR="0065609F">
          <w:rPr>
            <w:color w:val="000000"/>
          </w:rPr>
          <w:tab/>
          <w:t>Revision of a safety case because of a change of circumstances or operations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2d7a31eb_12b7_4dfe_82e1_2f8dc037fd29_9" w:history="1">
        <w:r w:rsidR="0065609F">
          <w:rPr>
            <w:color w:val="000000"/>
          </w:rPr>
          <w:t>72</w:t>
        </w:r>
        <w:r w:rsidR="0065609F">
          <w:rPr>
            <w:color w:val="000000"/>
          </w:rPr>
          <w:tab/>
          <w:t>Revision on request by the Safety Authority</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f9cf3389_2f4a_47cc_be36_597fc7854d09_9" w:history="1">
        <w:r w:rsidR="0065609F">
          <w:rPr>
            <w:color w:val="000000"/>
          </w:rPr>
          <w:t>73</w:t>
        </w:r>
        <w:r w:rsidR="0065609F">
          <w:rPr>
            <w:color w:val="000000"/>
          </w:rPr>
          <w:tab/>
          <w:t>Revision after 5 years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25" w:history="1">
        <w:r w:rsidR="0065609F">
          <w:rPr>
            <w:color w:val="000000"/>
          </w:rPr>
          <w:t>74</w:t>
        </w:r>
        <w:r w:rsidR="0065609F">
          <w:rPr>
            <w:color w:val="000000"/>
          </w:rPr>
          <w:tab/>
          <w:t>Safety Authority may request more information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7eb436fc_076d_48b3_b254_e93984c4e378_d" w:history="1">
        <w:r w:rsidR="0065609F">
          <w:rPr>
            <w:color w:val="000000"/>
          </w:rPr>
          <w:t>75</w:t>
        </w:r>
        <w:r w:rsidR="0065609F">
          <w:rPr>
            <w:color w:val="000000"/>
          </w:rPr>
          <w:tab/>
          <w:t>Acceptance or rejection of a revised safety case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28" w:history="1">
        <w:r w:rsidR="0065609F">
          <w:rPr>
            <w:color w:val="000000"/>
          </w:rPr>
          <w:t>76</w:t>
        </w:r>
        <w:r w:rsidR="0065609F">
          <w:rPr>
            <w:color w:val="000000"/>
          </w:rPr>
          <w:tab/>
          <w:t>Notice of decision on revised safety case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29" w:history="1">
        <w:r w:rsidR="0065609F">
          <w:rPr>
            <w:color w:val="000000"/>
          </w:rPr>
          <w:t>77</w:t>
        </w:r>
        <w:r w:rsidR="0065609F">
          <w:rPr>
            <w:color w:val="000000"/>
          </w:rPr>
          <w:tab/>
          <w:t>Effect of rejection of revised safety case</w:t>
        </w:r>
      </w:hyperlink>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Elkera_Print_BK130" w:history="1">
        <w:r w:rsidR="0065609F">
          <w:rPr>
            <w:color w:val="000000"/>
            <w:sz w:val="24"/>
            <w:szCs w:val="24"/>
          </w:rPr>
          <w:t>Subdivision 4—Withdrawal of acceptance of a safety case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31" w:history="1">
        <w:r w:rsidR="0065609F">
          <w:rPr>
            <w:color w:val="000000"/>
          </w:rPr>
          <w:t>78</w:t>
        </w:r>
        <w:r w:rsidR="0065609F">
          <w:rPr>
            <w:color w:val="000000"/>
          </w:rPr>
          <w:tab/>
          <w:t>Grounds for withdrawal of acceptance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32" w:history="1">
        <w:r w:rsidR="0065609F">
          <w:rPr>
            <w:color w:val="000000"/>
          </w:rPr>
          <w:t>79</w:t>
        </w:r>
        <w:r w:rsidR="0065609F">
          <w:rPr>
            <w:color w:val="000000"/>
          </w:rPr>
          <w:tab/>
          <w:t>Notice before withdrawal of acceptance</w:t>
        </w:r>
      </w:hyperlink>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Elkera_Print_BK133" w:history="1">
        <w:r w:rsidR="0065609F">
          <w:rPr>
            <w:color w:val="000000"/>
            <w:sz w:val="24"/>
            <w:szCs w:val="24"/>
          </w:rPr>
          <w:t>Subdivision 5—Exemptions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0995b712_f742_4251_975d_3351f800b0fb_9" w:history="1">
        <w:r w:rsidR="0065609F">
          <w:rPr>
            <w:color w:val="000000"/>
          </w:rPr>
          <w:t>80</w:t>
        </w:r>
        <w:r w:rsidR="0065609F">
          <w:rPr>
            <w:color w:val="000000"/>
          </w:rPr>
          <w:tab/>
          <w:t>Safety Authority may give an exemption</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136" w:history="1">
        <w:r w:rsidR="0065609F">
          <w:rPr>
            <w:color w:val="000000"/>
            <w:sz w:val="26"/>
            <w:szCs w:val="26"/>
          </w:rPr>
          <w:t>Division 4—Validation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aeaf6f72_1e83_47e2_bf34_57bf8f4dc309_c" w:history="1">
        <w:r w:rsidR="0065609F">
          <w:rPr>
            <w:color w:val="000000"/>
          </w:rPr>
          <w:t>81</w:t>
        </w:r>
        <w:r w:rsidR="0065609F">
          <w:rPr>
            <w:color w:val="000000"/>
          </w:rPr>
          <w:tab/>
          <w:t>Validation of design, construction and installation, significant modification or decommissioning of a facility</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139" w:history="1">
        <w:r w:rsidR="0065609F">
          <w:rPr>
            <w:color w:val="000000"/>
            <w:sz w:val="26"/>
            <w:szCs w:val="26"/>
          </w:rPr>
          <w:t>Division 5—Notifying and reporting accidents and dangerous occurrences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aa501acf_3345_4152_a8b1_d62e90dae10a_6" w:history="1">
        <w:r w:rsidR="0065609F">
          <w:rPr>
            <w:color w:val="000000"/>
          </w:rPr>
          <w:t>82</w:t>
        </w:r>
        <w:r w:rsidR="0065609F">
          <w:rPr>
            <w:color w:val="000000"/>
          </w:rPr>
          <w:tab/>
          <w:t>Prescribed period of incapacity</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ca8a9f49_7d37_43f3_9180_fe452d4d41d9_3" w:history="1">
        <w:r w:rsidR="0065609F">
          <w:rPr>
            <w:color w:val="000000"/>
          </w:rPr>
          <w:t>83</w:t>
        </w:r>
        <w:r w:rsidR="0065609F">
          <w:rPr>
            <w:color w:val="000000"/>
          </w:rPr>
          <w:tab/>
          <w:t>Meaning of dangerous occurrence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5027c6b9_7d70_4fd1_b570_564dbbb5c387_3" w:history="1">
        <w:r w:rsidR="0065609F">
          <w:rPr>
            <w:color w:val="000000"/>
          </w:rPr>
          <w:t>84</w:t>
        </w:r>
        <w:r w:rsidR="0065609F">
          <w:rPr>
            <w:color w:val="000000"/>
          </w:rPr>
          <w:tab/>
          <w:t>Reporting accidents and dangerous occurrences</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146" w:history="1">
        <w:r w:rsidR="0065609F">
          <w:rPr>
            <w:color w:val="000000"/>
            <w:sz w:val="26"/>
            <w:szCs w:val="26"/>
          </w:rPr>
          <w:t>Division 6—Penalty provisions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47" w:history="1">
        <w:r w:rsidR="0065609F">
          <w:rPr>
            <w:color w:val="000000"/>
          </w:rPr>
          <w:t>85</w:t>
        </w:r>
        <w:r w:rsidR="0065609F">
          <w:rPr>
            <w:color w:val="000000"/>
          </w:rPr>
          <w:tab/>
          <w:t>Facility must have registered operator</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48" w:history="1">
        <w:r w:rsidR="0065609F">
          <w:rPr>
            <w:color w:val="000000"/>
          </w:rPr>
          <w:t>86</w:t>
        </w:r>
        <w:r w:rsidR="0065609F">
          <w:rPr>
            <w:color w:val="000000"/>
          </w:rPr>
          <w:tab/>
          <w:t>Safety case required for the relevant stage in the life of a facility</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49" w:history="1">
        <w:r w:rsidR="0065609F">
          <w:rPr>
            <w:color w:val="000000"/>
          </w:rPr>
          <w:t>87</w:t>
        </w:r>
        <w:r w:rsidR="0065609F">
          <w:rPr>
            <w:color w:val="000000"/>
          </w:rPr>
          <w:tab/>
          <w:t>Work on a facility must comply with the safety case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50" w:history="1">
        <w:r w:rsidR="0065609F">
          <w:rPr>
            <w:color w:val="000000"/>
          </w:rPr>
          <w:t>88</w:t>
        </w:r>
        <w:r w:rsidR="0065609F">
          <w:rPr>
            <w:color w:val="000000"/>
          </w:rPr>
          <w:tab/>
          <w:t>New health and safety risk</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51" w:history="1">
        <w:r w:rsidR="0065609F">
          <w:rPr>
            <w:color w:val="000000"/>
          </w:rPr>
          <w:t>89</w:t>
        </w:r>
        <w:r w:rsidR="0065609F">
          <w:rPr>
            <w:color w:val="000000"/>
          </w:rPr>
          <w:tab/>
          <w:t>Maintaining records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52" w:history="1">
        <w:r w:rsidR="0065609F">
          <w:rPr>
            <w:color w:val="000000"/>
          </w:rPr>
          <w:t>90</w:t>
        </w:r>
        <w:r w:rsidR="0065609F">
          <w:rPr>
            <w:color w:val="000000"/>
          </w:rPr>
          <w:tab/>
          <w:t>Person on a facility must comply with safety case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53" w:history="1">
        <w:r w:rsidR="0065609F">
          <w:rPr>
            <w:color w:val="000000"/>
          </w:rPr>
          <w:t>91</w:t>
        </w:r>
        <w:r w:rsidR="0065609F">
          <w:rPr>
            <w:color w:val="000000"/>
          </w:rPr>
          <w:tab/>
          <w:t>Interference with accident sites</w:t>
        </w:r>
      </w:hyperlink>
    </w:p>
    <w:p w:rsidR="00F14E21" w:rsidRDefault="00F14E21" w:rsidP="00762261">
      <w:pPr>
        <w:spacing w:after="0" w:line="240" w:lineRule="auto"/>
        <w:jc w:val="left"/>
        <w:rPr>
          <w:color w:val="000000"/>
          <w:sz w:val="26"/>
          <w:szCs w:val="26"/>
        </w:rPr>
      </w:pPr>
      <w:r>
        <w:rPr>
          <w:color w:val="000000"/>
          <w:sz w:val="26"/>
          <w:szCs w:val="26"/>
        </w:rPr>
        <w:br w:type="page"/>
      </w:r>
    </w:p>
    <w:p w:rsidR="00F14E21" w:rsidRDefault="00F14E21" w:rsidP="00762261">
      <w:pPr>
        <w:pStyle w:val="RegSpace"/>
        <w:jc w:val="left"/>
      </w:pPr>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154" w:history="1">
        <w:r w:rsidR="0065609F">
          <w:rPr>
            <w:color w:val="000000"/>
            <w:sz w:val="26"/>
            <w:szCs w:val="26"/>
          </w:rPr>
          <w:t>Division 7—Miscellaneous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55" w:history="1">
        <w:r w:rsidR="0065609F">
          <w:rPr>
            <w:color w:val="000000"/>
          </w:rPr>
          <w:t>92</w:t>
        </w:r>
        <w:r w:rsidR="0065609F">
          <w:rPr>
            <w:color w:val="000000"/>
          </w:rPr>
          <w:tab/>
          <w:t>Details in applications or submissions</w:t>
        </w:r>
      </w:hyperlink>
    </w:p>
    <w:p w:rsidR="0065609F" w:rsidRDefault="00123FDA" w:rsidP="00762261">
      <w:pPr>
        <w:keepNext/>
        <w:keepLines/>
        <w:autoSpaceDE w:val="0"/>
        <w:autoSpaceDN w:val="0"/>
        <w:adjustRightInd w:val="0"/>
        <w:spacing w:before="120" w:after="120" w:line="240" w:lineRule="auto"/>
        <w:jc w:val="left"/>
        <w:rPr>
          <w:color w:val="000000"/>
          <w:sz w:val="28"/>
          <w:szCs w:val="28"/>
        </w:rPr>
      </w:pPr>
      <w:hyperlink w:anchor="id2f5dbadc_2a01_47ca_a9bb_87d2e628c4a1_2" w:history="1">
        <w:r w:rsidR="0065609F">
          <w:rPr>
            <w:color w:val="000000"/>
            <w:sz w:val="28"/>
            <w:szCs w:val="28"/>
          </w:rPr>
          <w:t>Part 4—Pipelines</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158" w:history="1">
        <w:r w:rsidR="0065609F">
          <w:rPr>
            <w:color w:val="000000"/>
            <w:sz w:val="26"/>
            <w:szCs w:val="26"/>
          </w:rPr>
          <w:t>Division 1—Preliminary</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59" w:history="1">
        <w:r w:rsidR="0065609F">
          <w:rPr>
            <w:color w:val="000000"/>
          </w:rPr>
          <w:t>93</w:t>
        </w:r>
        <w:r w:rsidR="0065609F">
          <w:rPr>
            <w:color w:val="000000"/>
          </w:rPr>
          <w:tab/>
          <w:t>Object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e1706533_85ce_4f58_800d_8205b37cb097_1" w:history="1">
        <w:r w:rsidR="0065609F">
          <w:rPr>
            <w:color w:val="000000"/>
          </w:rPr>
          <w:t>94</w:t>
        </w:r>
        <w:r w:rsidR="0065609F">
          <w:rPr>
            <w:color w:val="000000"/>
          </w:rPr>
          <w:tab/>
          <w:t>Definitions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82569e6a_a4da_4f36_9770_6777ec019786_2" w:history="1">
        <w:r w:rsidR="0065609F">
          <w:rPr>
            <w:color w:val="000000"/>
          </w:rPr>
          <w:t>95</w:t>
        </w:r>
        <w:r w:rsidR="0065609F">
          <w:rPr>
            <w:color w:val="000000"/>
          </w:rPr>
          <w:tab/>
          <w:t>Meaning of validation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64" w:history="1">
        <w:r w:rsidR="0065609F">
          <w:rPr>
            <w:color w:val="000000"/>
          </w:rPr>
          <w:t>96</w:t>
        </w:r>
        <w:r w:rsidR="0065609F">
          <w:rPr>
            <w:color w:val="000000"/>
          </w:rPr>
          <w:tab/>
          <w:t>Relationship with other Parts</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165" w:history="1">
        <w:r w:rsidR="0065609F">
          <w:rPr>
            <w:color w:val="000000"/>
            <w:sz w:val="26"/>
            <w:szCs w:val="26"/>
          </w:rPr>
          <w:t>Division 2—Operators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66" w:history="1">
        <w:r w:rsidR="0065609F">
          <w:rPr>
            <w:color w:val="000000"/>
          </w:rPr>
          <w:t>97</w:t>
        </w:r>
        <w:r w:rsidR="0065609F">
          <w:rPr>
            <w:color w:val="000000"/>
          </w:rPr>
          <w:tab/>
          <w:t>Nomination of operator</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67" w:history="1">
        <w:r w:rsidR="0065609F">
          <w:rPr>
            <w:color w:val="000000"/>
          </w:rPr>
          <w:t>98</w:t>
        </w:r>
        <w:r w:rsidR="0065609F">
          <w:rPr>
            <w:color w:val="000000"/>
          </w:rPr>
          <w:tab/>
          <w:t>Acceptance or rejection of nomination of operator</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f9a34f4f_ac2c_4ad6_ad6d_3df794652d52_b" w:history="1">
        <w:r w:rsidR="0065609F">
          <w:rPr>
            <w:color w:val="000000"/>
          </w:rPr>
          <w:t>99</w:t>
        </w:r>
        <w:r w:rsidR="0065609F">
          <w:rPr>
            <w:color w:val="000000"/>
          </w:rPr>
          <w:tab/>
          <w:t>Register of operators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71ceb2aa_85be_4ab4_95e3_9bc4ce87a8a5_c" w:history="1">
        <w:r w:rsidR="0065609F">
          <w:rPr>
            <w:color w:val="000000"/>
          </w:rPr>
          <w:t>100</w:t>
        </w:r>
        <w:r w:rsidR="0065609F">
          <w:rPr>
            <w:color w:val="000000"/>
          </w:rPr>
          <w:tab/>
          <w:t>Pipeline must have registered operator</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id82dc4ef1_cf65_421f_ba24_063aeb2b258d_f" w:history="1">
        <w:r w:rsidR="0065609F">
          <w:rPr>
            <w:color w:val="000000"/>
            <w:sz w:val="26"/>
            <w:szCs w:val="26"/>
          </w:rPr>
          <w:t>Division 3—Consents to construct and operate a pipeline</w:t>
        </w:r>
      </w:hyperlink>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Elkera_Print_BK174" w:history="1">
        <w:r w:rsidR="0065609F">
          <w:rPr>
            <w:color w:val="000000"/>
            <w:sz w:val="24"/>
            <w:szCs w:val="24"/>
          </w:rPr>
          <w:t>Subdivision 1—Consent to construct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75" w:history="1">
        <w:r w:rsidR="0065609F">
          <w:rPr>
            <w:color w:val="000000"/>
          </w:rPr>
          <w:t>101</w:t>
        </w:r>
        <w:r w:rsidR="0065609F">
          <w:rPr>
            <w:color w:val="000000"/>
          </w:rPr>
          <w:tab/>
          <w:t>Consent to construct required to construct a pipeline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ff833d37_d7ea_47d6_80b8_41ba3d48fa13_c" w:history="1">
        <w:r w:rsidR="0065609F">
          <w:rPr>
            <w:color w:val="000000"/>
          </w:rPr>
          <w:t>102</w:t>
        </w:r>
        <w:r w:rsidR="0065609F">
          <w:rPr>
            <w:color w:val="000000"/>
          </w:rPr>
          <w:tab/>
          <w:t>Matters to be agreed before pipeline licensee applies for consent to construct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6b7aa0dc_565c_49e2_8116_88a69040dc83_d" w:history="1">
        <w:r w:rsidR="0065609F">
          <w:rPr>
            <w:color w:val="000000"/>
          </w:rPr>
          <w:t>103</w:t>
        </w:r>
        <w:r w:rsidR="0065609F">
          <w:rPr>
            <w:color w:val="000000"/>
          </w:rPr>
          <w:tab/>
          <w:t>Application for consent to construct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d0663d29_1939_4697_89aa_36a7ba78f860_a" w:history="1">
        <w:r w:rsidR="0065609F">
          <w:rPr>
            <w:color w:val="000000"/>
          </w:rPr>
          <w:t>104</w:t>
        </w:r>
        <w:r w:rsidR="0065609F">
          <w:rPr>
            <w:color w:val="000000"/>
          </w:rPr>
          <w:tab/>
          <w:t>Deciding an application for a consent to construct</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ec1cb355_bd75_4b3a_bce3_1e114438b2ee_0" w:history="1">
        <w:r w:rsidR="0065609F">
          <w:rPr>
            <w:color w:val="000000"/>
          </w:rPr>
          <w:t>105</w:t>
        </w:r>
        <w:r w:rsidR="0065609F">
          <w:rPr>
            <w:color w:val="000000"/>
          </w:rPr>
          <w:tab/>
          <w:t>Construction must comply with pipeline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2f0df0ef_429f_4f00_b772_b6987b42db65_a" w:history="1">
        <w:r w:rsidR="0065609F">
          <w:rPr>
            <w:color w:val="000000"/>
          </w:rPr>
          <w:t>106</w:t>
        </w:r>
        <w:r w:rsidR="0065609F">
          <w:rPr>
            <w:color w:val="000000"/>
          </w:rPr>
          <w:tab/>
          <w:t>Notice of route followed by pipeline</w:t>
        </w:r>
      </w:hyperlink>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id49e91f2e_5615_444a_80a1_441387d580a9_5" w:history="1">
        <w:r w:rsidR="0065609F">
          <w:rPr>
            <w:color w:val="000000"/>
            <w:sz w:val="24"/>
            <w:szCs w:val="24"/>
          </w:rPr>
          <w:t>Subdivision 2—Consent to operate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88" w:history="1">
        <w:r w:rsidR="0065609F">
          <w:rPr>
            <w:color w:val="000000"/>
          </w:rPr>
          <w:t>107</w:t>
        </w:r>
        <w:r w:rsidR="0065609F">
          <w:rPr>
            <w:color w:val="000000"/>
          </w:rPr>
          <w:tab/>
          <w:t>Consent to operate required before a pipeline is operated</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3a123840_3642_4066_8d76_a02b0b37c4dc_e" w:history="1">
        <w:r w:rsidR="0065609F">
          <w:rPr>
            <w:color w:val="000000"/>
          </w:rPr>
          <w:t>108</w:t>
        </w:r>
        <w:r w:rsidR="0065609F">
          <w:rPr>
            <w:color w:val="000000"/>
          </w:rPr>
          <w:tab/>
          <w:t>Matters to be agreed before pipeline licensee applies for consent to operate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aa724cd8_4fab_4436_ac97_09b82f89f48f_f" w:history="1">
        <w:r w:rsidR="0065609F">
          <w:rPr>
            <w:color w:val="000000"/>
          </w:rPr>
          <w:t>109</w:t>
        </w:r>
        <w:r w:rsidR="0065609F">
          <w:rPr>
            <w:color w:val="000000"/>
          </w:rPr>
          <w:tab/>
          <w:t>Application for consent to operate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a16b7278_e61b_47e8_b08a_51adbb41e754_3" w:history="1">
        <w:r w:rsidR="0065609F">
          <w:rPr>
            <w:color w:val="000000"/>
          </w:rPr>
          <w:t>110</w:t>
        </w:r>
        <w:r w:rsidR="0065609F">
          <w:rPr>
            <w:color w:val="000000"/>
          </w:rPr>
          <w:tab/>
          <w:t>Deciding an application for a consent to operate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9de07bb9_74dc_422e_a6b5_ad27afe07eca_e" w:history="1">
        <w:r w:rsidR="0065609F">
          <w:rPr>
            <w:color w:val="000000"/>
          </w:rPr>
          <w:t>111</w:t>
        </w:r>
        <w:r w:rsidR="0065609F">
          <w:rPr>
            <w:color w:val="000000"/>
          </w:rPr>
          <w:tab/>
          <w:t>Operation must comply with pipeline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97" w:history="1">
        <w:r w:rsidR="0065609F">
          <w:rPr>
            <w:color w:val="000000"/>
          </w:rPr>
          <w:t>112</w:t>
        </w:r>
        <w:r w:rsidR="0065609F">
          <w:rPr>
            <w:color w:val="000000"/>
          </w:rPr>
          <w:tab/>
          <w:t>Using pipeline to convey compositions of petroleum</w:t>
        </w:r>
      </w:hyperlink>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Elkera_Print_BK198" w:history="1">
        <w:r w:rsidR="0065609F">
          <w:rPr>
            <w:color w:val="000000"/>
            <w:sz w:val="24"/>
            <w:szCs w:val="24"/>
          </w:rPr>
          <w:t>Subdivision 3—Modifying or decommissioning a pipeline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199" w:history="1">
        <w:r w:rsidR="0065609F">
          <w:rPr>
            <w:color w:val="000000"/>
          </w:rPr>
          <w:t>113</w:t>
        </w:r>
        <w:r w:rsidR="0065609F">
          <w:rPr>
            <w:color w:val="000000"/>
          </w:rPr>
          <w:tab/>
          <w:t>Modifying or decommissioning a pipeline</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idbdf9b864_3c6a_484e_a5be_5908440abc23_3" w:history="1">
        <w:r w:rsidR="0065609F">
          <w:rPr>
            <w:color w:val="000000"/>
            <w:sz w:val="26"/>
            <w:szCs w:val="26"/>
          </w:rPr>
          <w:t>Division 4—Pipeline management plans</w:t>
        </w:r>
      </w:hyperlink>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Elkera_Print_BK202" w:history="1">
        <w:r w:rsidR="0065609F">
          <w:rPr>
            <w:color w:val="000000"/>
            <w:sz w:val="24"/>
            <w:szCs w:val="24"/>
          </w:rPr>
          <w:t>Subdivision 1—Acceptance of a pipeline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38bacb2c_20d3_4fe6_89e4_3817263f902a_d" w:history="1">
        <w:r w:rsidR="0065609F">
          <w:rPr>
            <w:color w:val="000000"/>
          </w:rPr>
          <w:t>114</w:t>
        </w:r>
        <w:r w:rsidR="0065609F">
          <w:rPr>
            <w:color w:val="000000"/>
          </w:rPr>
          <w:tab/>
          <w:t>Submission of a pipeline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05" w:history="1">
        <w:r w:rsidR="0065609F">
          <w:rPr>
            <w:color w:val="000000"/>
          </w:rPr>
          <w:t>115</w:t>
        </w:r>
        <w:r w:rsidR="0065609F">
          <w:rPr>
            <w:color w:val="000000"/>
          </w:rPr>
          <w:tab/>
          <w:t>Handling pipeline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10ba871c_4dfc_4d9b_a2a2_dbfc93274727_6" w:history="1">
        <w:r w:rsidR="0065609F">
          <w:rPr>
            <w:color w:val="000000"/>
          </w:rPr>
          <w:t>116</w:t>
        </w:r>
        <w:r w:rsidR="0065609F">
          <w:rPr>
            <w:color w:val="000000"/>
          </w:rPr>
          <w:tab/>
          <w:t>Time limit for accepting or not accepting a pipeline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5cc73a29_4f77_46a8_ac04_58d7014a02bf_9" w:history="1">
        <w:r w:rsidR="0065609F">
          <w:rPr>
            <w:color w:val="000000"/>
          </w:rPr>
          <w:t>117</w:t>
        </w:r>
        <w:r w:rsidR="0065609F">
          <w:rPr>
            <w:color w:val="000000"/>
          </w:rPr>
          <w:tab/>
          <w:t>Acceptance of a pipeline management plan</w:t>
        </w:r>
      </w:hyperlink>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Elkera_Print_BK210" w:history="1">
        <w:r w:rsidR="0065609F">
          <w:rPr>
            <w:color w:val="000000"/>
            <w:sz w:val="24"/>
            <w:szCs w:val="24"/>
          </w:rPr>
          <w:t>Subdivision 2—Contents of a pipeline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11" w:history="1">
        <w:r w:rsidR="0065609F">
          <w:rPr>
            <w:color w:val="000000"/>
          </w:rPr>
          <w:t>118</w:t>
        </w:r>
        <w:r w:rsidR="0065609F">
          <w:rPr>
            <w:color w:val="000000"/>
          </w:rPr>
          <w:tab/>
          <w:t>Contents of a pipeline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c95023ac_1247_411b_91b7_acbe19abb709_c" w:history="1">
        <w:r w:rsidR="0065609F">
          <w:rPr>
            <w:color w:val="000000"/>
          </w:rPr>
          <w:t>119</w:t>
        </w:r>
        <w:r w:rsidR="0065609F">
          <w:rPr>
            <w:color w:val="000000"/>
          </w:rPr>
          <w:tab/>
          <w:t>Description of safety policy</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4367e338_1907_42bd_a217_2e9b116c0fa1_e" w:history="1">
        <w:r w:rsidR="0065609F">
          <w:rPr>
            <w:color w:val="000000"/>
          </w:rPr>
          <w:t>120</w:t>
        </w:r>
        <w:r w:rsidR="0065609F">
          <w:rPr>
            <w:color w:val="000000"/>
          </w:rPr>
          <w:tab/>
          <w:t>Description of pipeline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a75a6eb9_3e14_40e9_acb7_56b3154583d0_a" w:history="1">
        <w:r w:rsidR="0065609F">
          <w:rPr>
            <w:color w:val="000000"/>
          </w:rPr>
          <w:t>121</w:t>
        </w:r>
        <w:r w:rsidR="0065609F">
          <w:rPr>
            <w:color w:val="000000"/>
          </w:rPr>
          <w:tab/>
          <w:t>Description of pipeline management system</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51fc7f5f_719e_4ea2_944a_2b4a213f2565_9" w:history="1">
        <w:r w:rsidR="0065609F">
          <w:rPr>
            <w:color w:val="000000"/>
          </w:rPr>
          <w:t>122</w:t>
        </w:r>
        <w:r w:rsidR="0065609F">
          <w:rPr>
            <w:color w:val="000000"/>
          </w:rPr>
          <w:tab/>
          <w:t>Statement of standards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51aba9e4_1288_4fca_abcc_53d9570c9824_e" w:history="1">
        <w:r w:rsidR="0065609F">
          <w:rPr>
            <w:color w:val="000000"/>
          </w:rPr>
          <w:t>123</w:t>
        </w:r>
        <w:r w:rsidR="0065609F">
          <w:rPr>
            <w:color w:val="000000"/>
          </w:rPr>
          <w:tab/>
          <w:t>Arrangements for documents</w:t>
        </w:r>
      </w:hyperlink>
    </w:p>
    <w:p w:rsidR="005F65D3" w:rsidRPr="00FC3E87"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fe22233f_e060_4f4d_85ba_06b8bce93027_3" w:history="1">
        <w:r w:rsidR="0065609F">
          <w:rPr>
            <w:color w:val="000000"/>
          </w:rPr>
          <w:t>124</w:t>
        </w:r>
        <w:r w:rsidR="0065609F">
          <w:rPr>
            <w:color w:val="000000"/>
          </w:rPr>
          <w:tab/>
          <w:t>Arrangements for reporting</w:t>
        </w:r>
      </w:hyperlink>
    </w:p>
    <w:p w:rsidR="00F07F60" w:rsidRDefault="00F07F60" w:rsidP="00762261">
      <w:pPr>
        <w:spacing w:after="0" w:line="240" w:lineRule="auto"/>
        <w:jc w:val="left"/>
        <w:rPr>
          <w:color w:val="000000"/>
          <w:sz w:val="24"/>
          <w:szCs w:val="24"/>
        </w:rPr>
      </w:pPr>
      <w:r>
        <w:rPr>
          <w:color w:val="000000"/>
          <w:sz w:val="24"/>
          <w:szCs w:val="24"/>
        </w:rPr>
        <w:br w:type="page"/>
      </w:r>
    </w:p>
    <w:p w:rsidR="00F07F60" w:rsidRDefault="00F07F60" w:rsidP="00762261">
      <w:pPr>
        <w:pStyle w:val="RegSpace"/>
        <w:jc w:val="left"/>
      </w:pPr>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Elkera_Print_BK224" w:history="1">
        <w:r w:rsidR="0065609F">
          <w:rPr>
            <w:color w:val="000000"/>
            <w:sz w:val="24"/>
            <w:szCs w:val="24"/>
          </w:rPr>
          <w:t>Subdivision 3—Revision of a pipeline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33df2c3b_9bd5_436c_a109_59fdc7f29b40_9" w:history="1">
        <w:r w:rsidR="0065609F">
          <w:rPr>
            <w:color w:val="000000"/>
          </w:rPr>
          <w:t>125</w:t>
        </w:r>
        <w:r w:rsidR="0065609F">
          <w:rPr>
            <w:color w:val="000000"/>
          </w:rPr>
          <w:tab/>
          <w:t>Revision because of a change, or proposed change, of circumstances or operations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614cd66c_99e8_40c1_866c_6dcf27e65ab6_a" w:history="1">
        <w:r w:rsidR="0065609F">
          <w:rPr>
            <w:color w:val="000000"/>
          </w:rPr>
          <w:t>126</w:t>
        </w:r>
        <w:r w:rsidR="0065609F">
          <w:rPr>
            <w:color w:val="000000"/>
          </w:rPr>
          <w:tab/>
          <w:t>Revision on request by the Minister</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a8c71cc7_cced_4034_a686_427bd4698c95_3" w:history="1">
        <w:r w:rsidR="0065609F">
          <w:rPr>
            <w:color w:val="000000"/>
          </w:rPr>
          <w:t>127</w:t>
        </w:r>
        <w:r w:rsidR="0065609F">
          <w:rPr>
            <w:color w:val="000000"/>
          </w:rPr>
          <w:tab/>
          <w:t>Revision at the end of each 5 years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31" w:history="1">
        <w:r w:rsidR="0065609F">
          <w:rPr>
            <w:color w:val="000000"/>
          </w:rPr>
          <w:t>128</w:t>
        </w:r>
        <w:r w:rsidR="0065609F">
          <w:rPr>
            <w:color w:val="000000"/>
          </w:rPr>
          <w:tab/>
          <w:t>Form of proposed revision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3108c788_e559_491a_b443_c537f14975b7_d" w:history="1">
        <w:r w:rsidR="0065609F">
          <w:rPr>
            <w:color w:val="000000"/>
          </w:rPr>
          <w:t>129</w:t>
        </w:r>
        <w:r w:rsidR="0065609F">
          <w:rPr>
            <w:color w:val="000000"/>
          </w:rPr>
          <w:tab/>
          <w:t>Time limit for accepting or not accepting a proposed revision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19f01783_b802_41a9_801a_b0aab9addf32_c" w:history="1">
        <w:r w:rsidR="0065609F">
          <w:rPr>
            <w:color w:val="000000"/>
          </w:rPr>
          <w:t>130</w:t>
        </w:r>
        <w:r w:rsidR="0065609F">
          <w:rPr>
            <w:color w:val="000000"/>
          </w:rPr>
          <w:tab/>
          <w:t>Acceptance of a proposed revision of a pipeline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36" w:history="1">
        <w:r w:rsidR="0065609F">
          <w:rPr>
            <w:color w:val="000000"/>
          </w:rPr>
          <w:t>131</w:t>
        </w:r>
        <w:r w:rsidR="0065609F">
          <w:rPr>
            <w:color w:val="000000"/>
          </w:rPr>
          <w:tab/>
          <w:t>Effect of non</w:t>
        </w:r>
        <w:r w:rsidR="0065609F">
          <w:rPr>
            <w:color w:val="000000"/>
          </w:rPr>
          <w:noBreakHyphen/>
          <w:t>acceptance of proposed revision</w:t>
        </w:r>
      </w:hyperlink>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idf3859897_9e28_4807_86db_680a7b48fe" w:history="1">
        <w:r w:rsidR="0065609F">
          <w:rPr>
            <w:color w:val="000000"/>
            <w:sz w:val="24"/>
            <w:szCs w:val="24"/>
          </w:rPr>
          <w:t>Subdivision 4—Withdrawal of acceptance of a pipeline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f9f91377_3142_4763_b4cf_c1b453abf2b7_a" w:history="1">
        <w:r w:rsidR="0065609F">
          <w:rPr>
            <w:color w:val="000000"/>
          </w:rPr>
          <w:t>132</w:t>
        </w:r>
        <w:r w:rsidR="0065609F">
          <w:rPr>
            <w:color w:val="000000"/>
          </w:rPr>
          <w:tab/>
          <w:t>Withdrawal of acceptance of a pipeline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41" w:history="1">
        <w:r w:rsidR="0065609F">
          <w:rPr>
            <w:color w:val="000000"/>
          </w:rPr>
          <w:t>133</w:t>
        </w:r>
        <w:r w:rsidR="0065609F">
          <w:rPr>
            <w:color w:val="000000"/>
          </w:rPr>
          <w:tab/>
          <w:t>Steps to be taken before withdrawal of acceptance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42" w:history="1">
        <w:r w:rsidR="0065609F">
          <w:rPr>
            <w:color w:val="000000"/>
          </w:rPr>
          <w:t>134</w:t>
        </w:r>
        <w:r w:rsidR="0065609F">
          <w:rPr>
            <w:color w:val="000000"/>
          </w:rPr>
          <w:tab/>
          <w:t>Withdrawal of acceptance not affected by other provisions</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id64a14ba4_0b61_4385_952f_608bafff9c7a_2" w:history="1">
        <w:r w:rsidR="0065609F">
          <w:rPr>
            <w:color w:val="000000"/>
            <w:sz w:val="26"/>
            <w:szCs w:val="26"/>
          </w:rPr>
          <w:t>Division 5—Pipeline safety management plans</w:t>
        </w:r>
      </w:hyperlink>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Elkera_Print_BK245" w:history="1">
        <w:r w:rsidR="0065609F">
          <w:rPr>
            <w:color w:val="000000"/>
            <w:sz w:val="24"/>
            <w:szCs w:val="24"/>
          </w:rPr>
          <w:t>Subdivision 1—Preliminary</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46" w:history="1">
        <w:r w:rsidR="0065609F">
          <w:rPr>
            <w:color w:val="000000"/>
          </w:rPr>
          <w:t>135</w:t>
        </w:r>
        <w:r w:rsidR="0065609F">
          <w:rPr>
            <w:color w:val="000000"/>
          </w:rPr>
          <w:tab/>
          <w:t>Definition</w:t>
        </w:r>
      </w:hyperlink>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Elkera_Print_BK247" w:history="1">
        <w:r w:rsidR="0065609F">
          <w:rPr>
            <w:color w:val="000000"/>
            <w:sz w:val="24"/>
            <w:szCs w:val="24"/>
          </w:rPr>
          <w:t>Subdivision 2—Acceptance of a pipeline safety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66b62971_9031_44c3_a86d_7fe4720fa3ca_8" w:history="1">
        <w:r w:rsidR="0065609F">
          <w:rPr>
            <w:color w:val="000000"/>
          </w:rPr>
          <w:t>136</w:t>
        </w:r>
        <w:r w:rsidR="0065609F">
          <w:rPr>
            <w:color w:val="000000"/>
          </w:rPr>
          <w:tab/>
          <w:t>Consideration of a pipeline safety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50" w:history="1">
        <w:r w:rsidR="0065609F">
          <w:rPr>
            <w:color w:val="000000"/>
          </w:rPr>
          <w:t>137</w:t>
        </w:r>
        <w:r w:rsidR="0065609F">
          <w:rPr>
            <w:color w:val="000000"/>
          </w:rPr>
          <w:tab/>
          <w:t>Notice to pipeline licensee about a pipeline safety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51" w:history="1">
        <w:r w:rsidR="0065609F">
          <w:rPr>
            <w:color w:val="000000"/>
          </w:rPr>
          <w:t>138</w:t>
        </w:r>
        <w:r w:rsidR="0065609F">
          <w:rPr>
            <w:color w:val="000000"/>
          </w:rPr>
          <w:tab/>
          <w:t>Revision of a pipeline management plan—request by the Safety Authority concerning a pipeline safety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52" w:history="1">
        <w:r w:rsidR="0065609F">
          <w:rPr>
            <w:color w:val="000000"/>
          </w:rPr>
          <w:t>139</w:t>
        </w:r>
        <w:r w:rsidR="0065609F">
          <w:rPr>
            <w:color w:val="000000"/>
          </w:rPr>
          <w:tab/>
          <w:t>Submission about proposed revision of a pipeline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510930a3_91ea_457f_a9f8_7f7eae1cb1d4_c" w:history="1">
        <w:r w:rsidR="0065609F">
          <w:rPr>
            <w:color w:val="000000"/>
          </w:rPr>
          <w:t>140</w:t>
        </w:r>
        <w:r w:rsidR="0065609F">
          <w:rPr>
            <w:color w:val="000000"/>
          </w:rPr>
          <w:tab/>
          <w:t>Proposed revision of a pipeline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55" w:history="1">
        <w:r w:rsidR="0065609F">
          <w:rPr>
            <w:color w:val="000000"/>
          </w:rPr>
          <w:t>141</w:t>
        </w:r>
        <w:r w:rsidR="0065609F">
          <w:rPr>
            <w:color w:val="000000"/>
          </w:rPr>
          <w:tab/>
          <w:t>Notice to pipeline licensee about proposed revision of a pipeline safety management plan</w:t>
        </w:r>
      </w:hyperlink>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Elkera_Print_BK256" w:history="1">
        <w:r w:rsidR="0065609F">
          <w:rPr>
            <w:color w:val="000000"/>
            <w:sz w:val="24"/>
            <w:szCs w:val="24"/>
          </w:rPr>
          <w:t>Subdivision 3—Withdrawal of acceptance of a pipeline safety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abd81bb0_c080_4a5c_9e9a_69a9d99f1681_7" w:history="1">
        <w:r w:rsidR="0065609F">
          <w:rPr>
            <w:color w:val="000000"/>
          </w:rPr>
          <w:t>142</w:t>
        </w:r>
        <w:r w:rsidR="0065609F">
          <w:rPr>
            <w:color w:val="000000"/>
          </w:rPr>
          <w:tab/>
          <w:t>Request for withdrawal of acceptance of a pipeline management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59" w:history="1">
        <w:r w:rsidR="0065609F">
          <w:rPr>
            <w:color w:val="000000"/>
          </w:rPr>
          <w:t>143</w:t>
        </w:r>
        <w:r w:rsidR="0065609F">
          <w:rPr>
            <w:color w:val="000000"/>
          </w:rPr>
          <w:tab/>
          <w:t>Steps to be taken before request for withdrawal of acceptance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60" w:history="1">
        <w:r w:rsidR="0065609F">
          <w:rPr>
            <w:color w:val="000000"/>
          </w:rPr>
          <w:t>144</w:t>
        </w:r>
        <w:r w:rsidR="0065609F">
          <w:rPr>
            <w:color w:val="000000"/>
          </w:rPr>
          <w:tab/>
          <w:t>Withdrawal of acceptance of a pipeline management plan on request</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261" w:history="1">
        <w:r w:rsidR="0065609F">
          <w:rPr>
            <w:color w:val="000000"/>
            <w:sz w:val="26"/>
            <w:szCs w:val="26"/>
          </w:rPr>
          <w:t>Division 6—Notifying and reporting accidents and dangerous occurrences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62" w:history="1">
        <w:r w:rsidR="0065609F">
          <w:rPr>
            <w:color w:val="000000"/>
          </w:rPr>
          <w:t>145</w:t>
        </w:r>
        <w:r w:rsidR="0065609F">
          <w:rPr>
            <w:color w:val="000000"/>
          </w:rPr>
          <w:tab/>
          <w:t>Prescribed period of incapacity</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63" w:history="1">
        <w:r w:rsidR="0065609F">
          <w:rPr>
            <w:color w:val="000000"/>
          </w:rPr>
          <w:t>146</w:t>
        </w:r>
        <w:r w:rsidR="0065609F">
          <w:rPr>
            <w:color w:val="000000"/>
          </w:rPr>
          <w:tab/>
          <w:t>Meaning of dangerous occurrence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64" w:history="1">
        <w:r w:rsidR="0065609F">
          <w:rPr>
            <w:color w:val="000000"/>
          </w:rPr>
          <w:t>147</w:t>
        </w:r>
        <w:r w:rsidR="0065609F">
          <w:rPr>
            <w:color w:val="000000"/>
          </w:rPr>
          <w:tab/>
          <w:t>Reporting accidents and dangerous occurrences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0fbb978d_0f24_4f06_837f_d246a73523c3_d" w:history="1">
        <w:r w:rsidR="0065609F">
          <w:rPr>
            <w:color w:val="000000"/>
          </w:rPr>
          <w:t>148</w:t>
        </w:r>
        <w:r w:rsidR="0065609F">
          <w:rPr>
            <w:color w:val="000000"/>
          </w:rPr>
          <w:tab/>
          <w:t>Reportable incidents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67" w:history="1">
        <w:r w:rsidR="0065609F">
          <w:rPr>
            <w:color w:val="000000"/>
          </w:rPr>
          <w:t>149</w:t>
        </w:r>
        <w:r w:rsidR="0065609F">
          <w:rPr>
            <w:color w:val="000000"/>
          </w:rPr>
          <w:tab/>
          <w:t>Dealing with documents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68" w:history="1">
        <w:r w:rsidR="0065609F">
          <w:rPr>
            <w:color w:val="000000"/>
          </w:rPr>
          <w:t>150</w:t>
        </w:r>
        <w:r w:rsidR="0065609F">
          <w:rPr>
            <w:color w:val="000000"/>
          </w:rPr>
          <w:tab/>
          <w:t>Reporting to Minister</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269" w:history="1">
        <w:r w:rsidR="0065609F">
          <w:rPr>
            <w:color w:val="000000"/>
            <w:sz w:val="26"/>
            <w:szCs w:val="26"/>
          </w:rPr>
          <w:t>Division 7—Miscellaneous</w:t>
        </w:r>
      </w:hyperlink>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Elkera_Print_BK270" w:history="1">
        <w:r w:rsidR="0065609F">
          <w:rPr>
            <w:color w:val="000000"/>
            <w:sz w:val="24"/>
            <w:szCs w:val="24"/>
          </w:rPr>
          <w:t>Subdivision 1—Requirements about workers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71" w:history="1">
        <w:r w:rsidR="0065609F">
          <w:rPr>
            <w:color w:val="000000"/>
          </w:rPr>
          <w:t>151</w:t>
        </w:r>
        <w:r w:rsidR="0065609F">
          <w:rPr>
            <w:color w:val="000000"/>
          </w:rPr>
          <w:tab/>
          <w:t>Competence of workers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72" w:history="1">
        <w:r w:rsidR="0065609F">
          <w:rPr>
            <w:color w:val="000000"/>
          </w:rPr>
          <w:t>152</w:t>
        </w:r>
        <w:r w:rsidR="0065609F">
          <w:rPr>
            <w:color w:val="000000"/>
          </w:rPr>
          <w:tab/>
          <w:t>Awareness of legislation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73" w:history="1">
        <w:r w:rsidR="0065609F">
          <w:rPr>
            <w:color w:val="000000"/>
          </w:rPr>
          <w:t>153</w:t>
        </w:r>
        <w:r w:rsidR="0065609F">
          <w:rPr>
            <w:color w:val="000000"/>
          </w:rPr>
          <w:tab/>
          <w:t>Involvement of workers in pipeline management plan</w:t>
        </w:r>
      </w:hyperlink>
    </w:p>
    <w:p w:rsidR="00FC3E87" w:rsidRDefault="00FC3E87" w:rsidP="00762261">
      <w:pPr>
        <w:spacing w:after="0" w:line="240" w:lineRule="auto"/>
        <w:jc w:val="left"/>
        <w:rPr>
          <w:color w:val="000000"/>
          <w:sz w:val="24"/>
          <w:szCs w:val="24"/>
        </w:rPr>
      </w:pPr>
      <w:r>
        <w:rPr>
          <w:color w:val="000000"/>
          <w:sz w:val="24"/>
          <w:szCs w:val="24"/>
        </w:rPr>
        <w:br w:type="page"/>
      </w:r>
    </w:p>
    <w:p w:rsidR="00FC3E87" w:rsidRDefault="00FC3E87" w:rsidP="00762261">
      <w:pPr>
        <w:pStyle w:val="RegSpace"/>
        <w:jc w:val="left"/>
      </w:pPr>
    </w:p>
    <w:p w:rsidR="0065609F" w:rsidRDefault="00123FDA" w:rsidP="00762261">
      <w:pPr>
        <w:keepNext/>
        <w:keepLines/>
        <w:autoSpaceDE w:val="0"/>
        <w:autoSpaceDN w:val="0"/>
        <w:adjustRightInd w:val="0"/>
        <w:spacing w:before="120" w:after="120" w:line="240" w:lineRule="auto"/>
        <w:jc w:val="left"/>
        <w:rPr>
          <w:color w:val="000000"/>
          <w:sz w:val="24"/>
          <w:szCs w:val="24"/>
        </w:rPr>
      </w:pPr>
      <w:hyperlink w:anchor="Elkera_Print_BK274" w:history="1">
        <w:r w:rsidR="0065609F">
          <w:rPr>
            <w:color w:val="000000"/>
            <w:sz w:val="24"/>
            <w:szCs w:val="24"/>
          </w:rPr>
          <w:t>Subdivision 2—Providing information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ac6570d9_937c_4af3_b84b_562f7b991b19_7" w:history="1">
        <w:r w:rsidR="0065609F">
          <w:rPr>
            <w:color w:val="000000"/>
          </w:rPr>
          <w:t>154</w:t>
        </w:r>
        <w:r w:rsidR="0065609F">
          <w:rPr>
            <w:color w:val="000000"/>
          </w:rPr>
          <w:tab/>
          <w:t>Notice of contact details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4bde8361_1774_4c8d_a562_6cf9638c3a47_7" w:history="1">
        <w:r w:rsidR="0065609F">
          <w:rPr>
            <w:color w:val="000000"/>
          </w:rPr>
          <w:t>155</w:t>
        </w:r>
        <w:r w:rsidR="0065609F">
          <w:rPr>
            <w:color w:val="000000"/>
          </w:rPr>
          <w:tab/>
          <w:t>Minister may decline to consider application or submission if information is not given</w:t>
        </w:r>
      </w:hyperlink>
    </w:p>
    <w:p w:rsidR="0065609F" w:rsidRDefault="00123FDA" w:rsidP="00762261">
      <w:pPr>
        <w:keepNext/>
        <w:keepLines/>
        <w:autoSpaceDE w:val="0"/>
        <w:autoSpaceDN w:val="0"/>
        <w:adjustRightInd w:val="0"/>
        <w:spacing w:before="120" w:after="120" w:line="240" w:lineRule="auto"/>
        <w:jc w:val="left"/>
        <w:rPr>
          <w:color w:val="000000"/>
          <w:sz w:val="28"/>
          <w:szCs w:val="28"/>
        </w:rPr>
      </w:pPr>
      <w:hyperlink w:anchor="Elkera_Print_BK279" w:history="1">
        <w:r w:rsidR="0065609F">
          <w:rPr>
            <w:color w:val="000000"/>
            <w:sz w:val="28"/>
            <w:szCs w:val="28"/>
          </w:rPr>
          <w:t>Part 5—Diving safety</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280" w:history="1">
        <w:r w:rsidR="0065609F">
          <w:rPr>
            <w:color w:val="000000"/>
            <w:sz w:val="26"/>
            <w:szCs w:val="26"/>
          </w:rPr>
          <w:t>Division 1—Preliminary</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81" w:history="1">
        <w:r w:rsidR="0065609F">
          <w:rPr>
            <w:color w:val="000000"/>
          </w:rPr>
          <w:t>156</w:t>
        </w:r>
        <w:r w:rsidR="0065609F">
          <w:rPr>
            <w:color w:val="000000"/>
          </w:rPr>
          <w:tab/>
          <w:t>Application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82" w:history="1">
        <w:r w:rsidR="0065609F">
          <w:rPr>
            <w:color w:val="000000"/>
          </w:rPr>
          <w:t>157</w:t>
        </w:r>
        <w:r w:rsidR="0065609F">
          <w:rPr>
            <w:color w:val="000000"/>
          </w:rPr>
          <w:tab/>
          <w:t>Definitions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c0e9e40e_1030_431b_8104_850b546ed9b4_2" w:history="1">
        <w:r w:rsidR="0065609F">
          <w:rPr>
            <w:color w:val="000000"/>
          </w:rPr>
          <w:t>158</w:t>
        </w:r>
        <w:r w:rsidR="0065609F">
          <w:rPr>
            <w:color w:val="000000"/>
          </w:rPr>
          <w:tab/>
          <w:t>Meaning of diving</w:t>
        </w:r>
      </w:hyperlink>
    </w:p>
    <w:p w:rsidR="00AD64DF" w:rsidRPr="00F446C6"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85" w:history="1">
        <w:r w:rsidR="0065609F">
          <w:rPr>
            <w:color w:val="000000"/>
          </w:rPr>
          <w:t>159</w:t>
        </w:r>
        <w:r w:rsidR="0065609F">
          <w:rPr>
            <w:color w:val="000000"/>
          </w:rPr>
          <w:tab/>
          <w:t>When a diving operation begins and ends</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286" w:history="1">
        <w:r w:rsidR="0065609F">
          <w:rPr>
            <w:color w:val="000000"/>
            <w:sz w:val="26"/>
            <w:szCs w:val="26"/>
          </w:rPr>
          <w:t>Division 2—Diving safety management systems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87" w:history="1">
        <w:r w:rsidR="0065609F">
          <w:rPr>
            <w:color w:val="000000"/>
          </w:rPr>
          <w:t>160</w:t>
        </w:r>
        <w:r w:rsidR="0065609F">
          <w:rPr>
            <w:color w:val="000000"/>
          </w:rPr>
          <w:tab/>
          <w:t>No diving without DSMS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4f65482d_fd0c_4cbd_bcbb_ee9a2661c6c7_5" w:history="1">
        <w:r w:rsidR="0065609F">
          <w:rPr>
            <w:color w:val="000000"/>
          </w:rPr>
          <w:t>161</w:t>
        </w:r>
        <w:r w:rsidR="0065609F">
          <w:rPr>
            <w:color w:val="000000"/>
          </w:rPr>
          <w:tab/>
          <w:t>Contents of DSMS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0c737b3c_98e1_44c0_98be_7a0045e5596c_2" w:history="1">
        <w:r w:rsidR="0065609F">
          <w:rPr>
            <w:color w:val="000000"/>
          </w:rPr>
          <w:t>162</w:t>
        </w:r>
        <w:r w:rsidR="0065609F">
          <w:rPr>
            <w:color w:val="000000"/>
          </w:rPr>
          <w:tab/>
          <w:t>Acceptance of new DSMS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501c7415_9038_4262_94c7_e009e48cfee4_a" w:history="1">
        <w:r w:rsidR="0065609F">
          <w:rPr>
            <w:color w:val="000000"/>
          </w:rPr>
          <w:t>163</w:t>
        </w:r>
        <w:r w:rsidR="0065609F">
          <w:rPr>
            <w:color w:val="000000"/>
          </w:rPr>
          <w:tab/>
          <w:t>Acceptance of revised DSMS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94" w:history="1">
        <w:r w:rsidR="0065609F">
          <w:rPr>
            <w:color w:val="000000"/>
          </w:rPr>
          <w:t>164</w:t>
        </w:r>
        <w:r w:rsidR="0065609F">
          <w:rPr>
            <w:color w:val="000000"/>
          </w:rPr>
          <w:tab/>
          <w:t>Grounds for rejecting DSMS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95" w:history="1">
        <w:r w:rsidR="0065609F">
          <w:rPr>
            <w:color w:val="000000"/>
          </w:rPr>
          <w:t>165</w:t>
        </w:r>
        <w:r w:rsidR="0065609F">
          <w:rPr>
            <w:color w:val="000000"/>
          </w:rPr>
          <w:tab/>
          <w:t>Notice of reasons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af2f7267_2074_489a_93df_2b41e4f7c996_f" w:history="1">
        <w:r w:rsidR="0065609F">
          <w:rPr>
            <w:color w:val="000000"/>
          </w:rPr>
          <w:t>166</w:t>
        </w:r>
        <w:r w:rsidR="0065609F">
          <w:rPr>
            <w:color w:val="000000"/>
          </w:rPr>
          <w:tab/>
          <w:t>Register of DSMSs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298" w:history="1">
        <w:r w:rsidR="0065609F">
          <w:rPr>
            <w:color w:val="000000"/>
          </w:rPr>
          <w:t>167</w:t>
        </w:r>
        <w:r w:rsidR="0065609F">
          <w:rPr>
            <w:color w:val="000000"/>
          </w:rPr>
          <w:tab/>
          <w:t>Revision of DSMS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41c47e3a_6261_4955_9f3f_eb7764a44c3e_3" w:history="1">
        <w:r w:rsidR="0065609F">
          <w:rPr>
            <w:color w:val="000000"/>
          </w:rPr>
          <w:t>168</w:t>
        </w:r>
        <w:r w:rsidR="0065609F">
          <w:rPr>
            <w:color w:val="000000"/>
          </w:rPr>
          <w:tab/>
          <w:t>Notice to revise DSMS</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id68357d8f_097d_415b_9047_7866ec5abd10_0" w:history="1">
        <w:r w:rsidR="0065609F">
          <w:rPr>
            <w:color w:val="000000"/>
            <w:sz w:val="26"/>
            <w:szCs w:val="26"/>
          </w:rPr>
          <w:t>Division 3—Diving project plans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303" w:history="1">
        <w:r w:rsidR="0065609F">
          <w:rPr>
            <w:color w:val="000000"/>
          </w:rPr>
          <w:t>169</w:t>
        </w:r>
        <w:r w:rsidR="0065609F">
          <w:rPr>
            <w:color w:val="000000"/>
          </w:rPr>
          <w:tab/>
          <w:t>Diving project plan to be approved</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58590fa2_6c9c_4d66_aa1d_4630a96b3fe4_9" w:history="1">
        <w:r w:rsidR="0065609F">
          <w:rPr>
            <w:color w:val="000000"/>
          </w:rPr>
          <w:t>170</w:t>
        </w:r>
        <w:r w:rsidR="0065609F">
          <w:rPr>
            <w:color w:val="000000"/>
          </w:rPr>
          <w:tab/>
          <w:t>Diving project plan to Safety Authority if there is no operator</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306" w:history="1">
        <w:r w:rsidR="0065609F">
          <w:rPr>
            <w:color w:val="000000"/>
          </w:rPr>
          <w:t>171</w:t>
        </w:r>
        <w:r w:rsidR="0065609F">
          <w:rPr>
            <w:color w:val="000000"/>
          </w:rPr>
          <w:tab/>
          <w:t>Diving project plan to Safety Authority if requested</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307" w:history="1">
        <w:r w:rsidR="0065609F">
          <w:rPr>
            <w:color w:val="000000"/>
          </w:rPr>
          <w:t>172</w:t>
        </w:r>
        <w:r w:rsidR="0065609F">
          <w:rPr>
            <w:color w:val="000000"/>
          </w:rPr>
          <w:tab/>
          <w:t>Updating diving project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7c8fc393_1c36_4b1b_b368_0da90ea1bff1_c" w:history="1">
        <w:r w:rsidR="0065609F">
          <w:rPr>
            <w:color w:val="000000"/>
          </w:rPr>
          <w:t>173</w:t>
        </w:r>
        <w:r w:rsidR="0065609F">
          <w:rPr>
            <w:color w:val="000000"/>
          </w:rPr>
          <w:tab/>
          <w:t>Contents of diving project plan</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310" w:history="1">
        <w:r w:rsidR="0065609F">
          <w:rPr>
            <w:color w:val="000000"/>
          </w:rPr>
          <w:t>174</w:t>
        </w:r>
        <w:r w:rsidR="0065609F">
          <w:rPr>
            <w:color w:val="000000"/>
          </w:rPr>
          <w:tab/>
          <w:t>No diving without approved diving project plan</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311" w:history="1">
        <w:r w:rsidR="0065609F">
          <w:rPr>
            <w:color w:val="000000"/>
            <w:sz w:val="26"/>
            <w:szCs w:val="26"/>
          </w:rPr>
          <w:t>Division 4—Involvement of divers and members of the workforce</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c8bb8b67_990f_4bcf_ae15_800e1e06fe65_f" w:history="1">
        <w:r w:rsidR="0065609F">
          <w:rPr>
            <w:color w:val="000000"/>
          </w:rPr>
          <w:t>175</w:t>
        </w:r>
        <w:r w:rsidR="0065609F">
          <w:rPr>
            <w:color w:val="000000"/>
          </w:rPr>
          <w:tab/>
          <w:t>Involvement of divers and members of the workforce in DSMS and diving project plan</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314" w:history="1">
        <w:r w:rsidR="0065609F">
          <w:rPr>
            <w:color w:val="000000"/>
            <w:sz w:val="26"/>
            <w:szCs w:val="26"/>
          </w:rPr>
          <w:t>Division 5—Safety responsibilities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315" w:history="1">
        <w:r w:rsidR="0065609F">
          <w:rPr>
            <w:color w:val="000000"/>
          </w:rPr>
          <w:t>176</w:t>
        </w:r>
        <w:r w:rsidR="0065609F">
          <w:rPr>
            <w:color w:val="000000"/>
          </w:rPr>
          <w:tab/>
          <w:t>Safety responsibilities of diving contractors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316" w:history="1">
        <w:r w:rsidR="0065609F">
          <w:rPr>
            <w:color w:val="000000"/>
          </w:rPr>
          <w:t>177</w:t>
        </w:r>
        <w:r w:rsidR="0065609F">
          <w:rPr>
            <w:color w:val="000000"/>
          </w:rPr>
          <w:tab/>
          <w:t>Safety in the diving area</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317" w:history="1">
        <w:r w:rsidR="0065609F">
          <w:rPr>
            <w:color w:val="000000"/>
          </w:rPr>
          <w:t>178</w:t>
        </w:r>
        <w:r w:rsidR="0065609F">
          <w:rPr>
            <w:color w:val="000000"/>
          </w:rPr>
          <w:tab/>
          <w:t>Diving depths</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318" w:history="1">
        <w:r w:rsidR="0065609F">
          <w:rPr>
            <w:color w:val="000000"/>
            <w:sz w:val="26"/>
            <w:szCs w:val="26"/>
          </w:rPr>
          <w:t>Division 6—Diving supervisors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319" w:history="1">
        <w:r w:rsidR="0065609F">
          <w:rPr>
            <w:color w:val="000000"/>
          </w:rPr>
          <w:t>179</w:t>
        </w:r>
        <w:r w:rsidR="0065609F">
          <w:rPr>
            <w:color w:val="000000"/>
          </w:rPr>
          <w:tab/>
          <w:t>Appointment of diving supervisors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2c34e63b_8912_4c97_a7cb_e80c6869a469_6" w:history="1">
        <w:r w:rsidR="0065609F">
          <w:rPr>
            <w:color w:val="000000"/>
          </w:rPr>
          <w:t>180</w:t>
        </w:r>
        <w:r w:rsidR="0065609F">
          <w:rPr>
            <w:color w:val="000000"/>
          </w:rPr>
          <w:tab/>
          <w:t>Duties of diving supervisors</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322" w:history="1">
        <w:r w:rsidR="0065609F">
          <w:rPr>
            <w:color w:val="000000"/>
            <w:sz w:val="26"/>
            <w:szCs w:val="26"/>
          </w:rPr>
          <w:t>Division 7—Start</w:t>
        </w:r>
        <w:r w:rsidR="0065609F">
          <w:rPr>
            <w:color w:val="000000"/>
            <w:sz w:val="26"/>
            <w:szCs w:val="26"/>
          </w:rPr>
          <w:noBreakHyphen/>
          <w:t>up notices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323" w:history="1">
        <w:r w:rsidR="0065609F">
          <w:rPr>
            <w:color w:val="000000"/>
          </w:rPr>
          <w:t>181</w:t>
        </w:r>
        <w:r w:rsidR="0065609F">
          <w:rPr>
            <w:color w:val="000000"/>
          </w:rPr>
          <w:tab/>
          <w:t>Start</w:t>
        </w:r>
        <w:r w:rsidR="0065609F">
          <w:rPr>
            <w:color w:val="000000"/>
          </w:rPr>
          <w:noBreakHyphen/>
          <w:t>up notice</w:t>
        </w:r>
      </w:hyperlink>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324" w:history="1">
        <w:r w:rsidR="0065609F">
          <w:rPr>
            <w:color w:val="000000"/>
            <w:sz w:val="26"/>
            <w:szCs w:val="26"/>
          </w:rPr>
          <w:t>Division 8—Diving operations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325" w:history="1">
        <w:r w:rsidR="0065609F">
          <w:rPr>
            <w:color w:val="000000"/>
          </w:rPr>
          <w:t>182</w:t>
        </w:r>
        <w:r w:rsidR="0065609F">
          <w:rPr>
            <w:color w:val="000000"/>
          </w:rPr>
          <w:tab/>
          <w:t>Divers in diving operations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eca4144d_76a5_4890_8148_7f4cbfc95298_1" w:history="1">
        <w:r w:rsidR="0065609F">
          <w:rPr>
            <w:color w:val="000000"/>
          </w:rPr>
          <w:t>183</w:t>
        </w:r>
        <w:r w:rsidR="0065609F">
          <w:rPr>
            <w:color w:val="000000"/>
          </w:rPr>
          <w:tab/>
          <w:t>Medical certificates</w:t>
        </w:r>
      </w:hyperlink>
    </w:p>
    <w:p w:rsidR="00410FB8" w:rsidRDefault="00410FB8" w:rsidP="00762261">
      <w:pPr>
        <w:spacing w:after="0" w:line="240" w:lineRule="auto"/>
        <w:jc w:val="left"/>
        <w:rPr>
          <w:color w:val="000000"/>
          <w:sz w:val="26"/>
          <w:szCs w:val="26"/>
        </w:rPr>
      </w:pPr>
      <w:r>
        <w:rPr>
          <w:color w:val="000000"/>
          <w:sz w:val="26"/>
          <w:szCs w:val="26"/>
        </w:rPr>
        <w:br w:type="page"/>
      </w:r>
    </w:p>
    <w:p w:rsidR="00410FB8" w:rsidRDefault="00410FB8" w:rsidP="00762261">
      <w:pPr>
        <w:pStyle w:val="RegSpace"/>
        <w:jc w:val="left"/>
      </w:pPr>
    </w:p>
    <w:p w:rsidR="0065609F" w:rsidRDefault="00123FDA" w:rsidP="00762261">
      <w:pPr>
        <w:keepNext/>
        <w:keepLines/>
        <w:autoSpaceDE w:val="0"/>
        <w:autoSpaceDN w:val="0"/>
        <w:adjustRightInd w:val="0"/>
        <w:spacing w:before="120" w:after="120" w:line="240" w:lineRule="auto"/>
        <w:jc w:val="left"/>
        <w:rPr>
          <w:color w:val="000000"/>
          <w:sz w:val="26"/>
          <w:szCs w:val="26"/>
        </w:rPr>
      </w:pPr>
      <w:hyperlink w:anchor="Elkera_Print_BK328" w:history="1">
        <w:r w:rsidR="0065609F">
          <w:rPr>
            <w:color w:val="000000"/>
            <w:sz w:val="26"/>
            <w:szCs w:val="26"/>
          </w:rPr>
          <w:t>Division 9—Records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idb7dbcfc8_8824_43f9_8516_da39e8e88ebe_f" w:history="1">
        <w:r w:rsidR="0065609F">
          <w:rPr>
            <w:color w:val="000000"/>
          </w:rPr>
          <w:t>184</w:t>
        </w:r>
        <w:r w:rsidR="0065609F">
          <w:rPr>
            <w:color w:val="000000"/>
          </w:rPr>
          <w:tab/>
          <w:t>Diving operations record</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331" w:history="1">
        <w:r w:rsidR="0065609F">
          <w:rPr>
            <w:color w:val="000000"/>
          </w:rPr>
          <w:t>185</w:t>
        </w:r>
        <w:r w:rsidR="0065609F">
          <w:rPr>
            <w:color w:val="000000"/>
          </w:rPr>
          <w:tab/>
          <w:t>Divers' log books</w:t>
        </w:r>
      </w:hyperlink>
    </w:p>
    <w:p w:rsidR="0065609F" w:rsidRDefault="00123FDA" w:rsidP="00762261">
      <w:pPr>
        <w:keepNext/>
        <w:keepLines/>
        <w:autoSpaceDE w:val="0"/>
        <w:autoSpaceDN w:val="0"/>
        <w:adjustRightInd w:val="0"/>
        <w:spacing w:before="120" w:after="120" w:line="240" w:lineRule="auto"/>
        <w:jc w:val="left"/>
        <w:rPr>
          <w:color w:val="000000"/>
          <w:sz w:val="28"/>
          <w:szCs w:val="28"/>
        </w:rPr>
      </w:pPr>
      <w:hyperlink w:anchor="Elkera_Print_BK332" w:history="1">
        <w:r w:rsidR="0065609F">
          <w:rPr>
            <w:color w:val="000000"/>
            <w:sz w:val="28"/>
            <w:szCs w:val="28"/>
          </w:rPr>
          <w:t>Part 6—Fees</w:t>
        </w:r>
      </w:hyperlink>
    </w:p>
    <w:p w:rsidR="0065609F" w:rsidRDefault="00123FDA" w:rsidP="00762261">
      <w:pPr>
        <w:keepLines/>
        <w:tabs>
          <w:tab w:val="left" w:pos="850"/>
        </w:tabs>
        <w:autoSpaceDE w:val="0"/>
        <w:autoSpaceDN w:val="0"/>
        <w:adjustRightInd w:val="0"/>
        <w:spacing w:after="0" w:line="240" w:lineRule="auto"/>
        <w:ind w:left="794" w:hanging="794"/>
        <w:jc w:val="left"/>
        <w:rPr>
          <w:color w:val="000000"/>
        </w:rPr>
      </w:pPr>
      <w:hyperlink w:anchor="Elkera_Print_BK333" w:history="1">
        <w:r w:rsidR="0065609F">
          <w:rPr>
            <w:color w:val="000000"/>
          </w:rPr>
          <w:t>186</w:t>
        </w:r>
        <w:r w:rsidR="0065609F">
          <w:rPr>
            <w:color w:val="000000"/>
          </w:rPr>
          <w:tab/>
          <w:t>Fees</w:t>
        </w:r>
      </w:hyperlink>
    </w:p>
    <w:p w:rsidR="0065609F" w:rsidRDefault="00123FDA" w:rsidP="00762261">
      <w:pPr>
        <w:keepLines/>
        <w:autoSpaceDE w:val="0"/>
        <w:autoSpaceDN w:val="0"/>
        <w:adjustRightInd w:val="0"/>
        <w:spacing w:before="120" w:after="120" w:line="240" w:lineRule="auto"/>
        <w:jc w:val="left"/>
        <w:rPr>
          <w:color w:val="000000"/>
          <w:sz w:val="28"/>
          <w:szCs w:val="28"/>
        </w:rPr>
      </w:pPr>
      <w:hyperlink w:anchor="id7a6c72b1_5432_4cf7_9f57_79b6180dcd18_0" w:history="1">
        <w:r w:rsidR="0065609F">
          <w:rPr>
            <w:color w:val="000000"/>
            <w:sz w:val="28"/>
            <w:szCs w:val="28"/>
          </w:rPr>
          <w:t>Schedule 1—Hazardous substances</w:t>
        </w:r>
      </w:hyperlink>
    </w:p>
    <w:p w:rsidR="0065609F" w:rsidRDefault="00123FDA" w:rsidP="00762261">
      <w:pPr>
        <w:keepNext/>
        <w:keepLines/>
        <w:autoSpaceDE w:val="0"/>
        <w:autoSpaceDN w:val="0"/>
        <w:adjustRightInd w:val="0"/>
        <w:spacing w:before="120" w:after="120" w:line="240" w:lineRule="auto"/>
        <w:jc w:val="left"/>
        <w:rPr>
          <w:color w:val="000000"/>
          <w:sz w:val="28"/>
          <w:szCs w:val="28"/>
        </w:rPr>
      </w:pPr>
      <w:hyperlink w:anchor="Elkera_Print_BK336" w:history="1">
        <w:r w:rsidR="0065609F">
          <w:rPr>
            <w:color w:val="000000"/>
            <w:sz w:val="28"/>
            <w:szCs w:val="28"/>
          </w:rPr>
          <w:t>Part 1—Interpretation</w:t>
        </w:r>
      </w:hyperlink>
    </w:p>
    <w:p w:rsidR="0065609F" w:rsidRDefault="00123FDA" w:rsidP="00762261">
      <w:pPr>
        <w:keepNext/>
        <w:keepLines/>
        <w:autoSpaceDE w:val="0"/>
        <w:autoSpaceDN w:val="0"/>
        <w:adjustRightInd w:val="0"/>
        <w:spacing w:before="120" w:after="120" w:line="240" w:lineRule="auto"/>
        <w:jc w:val="left"/>
        <w:rPr>
          <w:color w:val="000000"/>
          <w:sz w:val="28"/>
          <w:szCs w:val="28"/>
        </w:rPr>
      </w:pPr>
      <w:hyperlink w:anchor="idbad58f91_f91d_4eb7_8204_b473010be3b3_7" w:history="1">
        <w:r w:rsidR="0065609F">
          <w:rPr>
            <w:color w:val="000000"/>
            <w:sz w:val="28"/>
            <w:szCs w:val="28"/>
          </w:rPr>
          <w:t>Part 2—Permitted circumstances for using certain hazardous substances</w:t>
        </w:r>
      </w:hyperlink>
    </w:p>
    <w:p w:rsidR="0065609F" w:rsidRDefault="00123FDA" w:rsidP="00762261">
      <w:pPr>
        <w:keepNext/>
        <w:keepLines/>
        <w:autoSpaceDE w:val="0"/>
        <w:autoSpaceDN w:val="0"/>
        <w:adjustRightInd w:val="0"/>
        <w:spacing w:before="120" w:after="120" w:line="240" w:lineRule="auto"/>
        <w:jc w:val="left"/>
        <w:rPr>
          <w:color w:val="000000"/>
          <w:sz w:val="28"/>
          <w:szCs w:val="28"/>
        </w:rPr>
      </w:pPr>
      <w:hyperlink w:anchor="id143f589e_4251_436b_81a8_cd59907d41" w:history="1">
        <w:r w:rsidR="0065609F">
          <w:rPr>
            <w:color w:val="000000"/>
            <w:sz w:val="28"/>
            <w:szCs w:val="28"/>
          </w:rPr>
          <w:t>Part 3—Permitted circumstances for using certain hazardous substances with carcinogenic properties</w:t>
        </w:r>
      </w:hyperlink>
    </w:p>
    <w:p w:rsidR="0065609F" w:rsidRDefault="00123FDA" w:rsidP="00762261">
      <w:pPr>
        <w:keepLines/>
        <w:autoSpaceDE w:val="0"/>
        <w:autoSpaceDN w:val="0"/>
        <w:adjustRightInd w:val="0"/>
        <w:spacing w:before="120" w:after="120" w:line="240" w:lineRule="auto"/>
        <w:jc w:val="left"/>
        <w:rPr>
          <w:color w:val="000000"/>
          <w:sz w:val="28"/>
          <w:szCs w:val="28"/>
        </w:rPr>
      </w:pPr>
      <w:hyperlink w:anchor="id49d69573_10c5_44e2_8c2d_13fb805962" w:history="1">
        <w:r w:rsidR="0065609F">
          <w:rPr>
            <w:color w:val="000000"/>
            <w:sz w:val="28"/>
            <w:szCs w:val="28"/>
          </w:rPr>
          <w:t>Schedule 2—Forms</w:t>
        </w:r>
      </w:hyperlink>
    </w:p>
    <w:p w:rsidR="0065609F" w:rsidRDefault="00123FDA" w:rsidP="00762261">
      <w:pPr>
        <w:keepLines/>
        <w:autoSpaceDE w:val="0"/>
        <w:autoSpaceDN w:val="0"/>
        <w:adjustRightInd w:val="0"/>
        <w:spacing w:before="120" w:after="120" w:line="240" w:lineRule="auto"/>
        <w:jc w:val="left"/>
        <w:rPr>
          <w:color w:val="000000"/>
          <w:sz w:val="28"/>
          <w:szCs w:val="28"/>
        </w:rPr>
      </w:pPr>
      <w:hyperlink w:anchor="idcb0abf1e_991d_4374_9920_b053131298" w:history="1">
        <w:r w:rsidR="0065609F">
          <w:rPr>
            <w:color w:val="000000"/>
            <w:sz w:val="28"/>
            <w:szCs w:val="28"/>
          </w:rPr>
          <w:t>Schedule 3—Fees</w:t>
        </w:r>
      </w:hyperlink>
    </w:p>
    <w:p w:rsidR="0065609F" w:rsidRDefault="00123FDA" w:rsidP="00762261">
      <w:pPr>
        <w:keepLines/>
        <w:autoSpaceDE w:val="0"/>
        <w:autoSpaceDN w:val="0"/>
        <w:adjustRightInd w:val="0"/>
        <w:spacing w:before="120" w:after="120" w:line="240" w:lineRule="auto"/>
        <w:jc w:val="left"/>
        <w:rPr>
          <w:color w:val="000000"/>
          <w:sz w:val="28"/>
          <w:szCs w:val="28"/>
        </w:rPr>
      </w:pPr>
      <w:hyperlink w:anchor="Elkera_Print_BK346" w:history="1">
        <w:r w:rsidR="0065609F">
          <w:rPr>
            <w:color w:val="000000"/>
            <w:sz w:val="28"/>
            <w:szCs w:val="28"/>
          </w:rPr>
          <w:t xml:space="preserve">Schedule 4—Revocation of </w:t>
        </w:r>
        <w:r w:rsidR="0065609F">
          <w:rPr>
            <w:i/>
            <w:iCs/>
            <w:color w:val="000000"/>
            <w:sz w:val="28"/>
            <w:szCs w:val="28"/>
          </w:rPr>
          <w:t>Petroleum (Submerged Lands) Regulations 2005</w:t>
        </w:r>
      </w:hyperlink>
    </w:p>
    <w:p w:rsidR="0065609F" w:rsidRDefault="0065609F" w:rsidP="00762261">
      <w:pPr>
        <w:keepLines/>
        <w:pBdr>
          <w:top w:val="single" w:sz="4" w:space="0" w:color="auto"/>
        </w:pBdr>
        <w:autoSpaceDE w:val="0"/>
        <w:autoSpaceDN w:val="0"/>
        <w:adjustRightInd w:val="0"/>
        <w:spacing w:before="120" w:after="120" w:line="240" w:lineRule="auto"/>
        <w:jc w:val="left"/>
        <w:rPr>
          <w:color w:val="000000"/>
          <w:sz w:val="2"/>
          <w:szCs w:val="2"/>
        </w:rPr>
      </w:pPr>
    </w:p>
    <w:p w:rsidR="0065609F" w:rsidRDefault="0065609F" w:rsidP="00762261">
      <w:pPr>
        <w:pStyle w:val="partheadlevel1"/>
      </w:pPr>
      <w:r>
        <w:t>Part 1—Preliminary</w:t>
      </w:r>
    </w:p>
    <w:p w:rsidR="0065609F" w:rsidRDefault="0065609F" w:rsidP="00762261">
      <w:pPr>
        <w:pStyle w:val="clauseheadlevel2"/>
      </w:pPr>
      <w:r>
        <w:t>1—Short title</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These regulations may be cited as the </w:t>
      </w:r>
      <w:r>
        <w:rPr>
          <w:i/>
          <w:iCs/>
          <w:color w:val="000000"/>
          <w:sz w:val="23"/>
          <w:szCs w:val="23"/>
        </w:rPr>
        <w:t>Petroleum (Submerged Lands) Regulations 2020</w:t>
      </w:r>
      <w:r>
        <w:rPr>
          <w:color w:val="000000"/>
          <w:sz w:val="23"/>
          <w:szCs w:val="23"/>
        </w:rPr>
        <w:t>.</w:t>
      </w:r>
    </w:p>
    <w:p w:rsidR="0065609F" w:rsidRDefault="0065609F" w:rsidP="00762261">
      <w:pPr>
        <w:pStyle w:val="clauseheadlevel2"/>
      </w:pPr>
      <w:r>
        <w:t>2—Commencement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These regulations come into operation on the day on which they are made.</w:t>
      </w:r>
    </w:p>
    <w:p w:rsidR="0065609F" w:rsidRDefault="0065609F" w:rsidP="00762261">
      <w:pPr>
        <w:pStyle w:val="clauseheadlevel2"/>
      </w:pPr>
      <w:r>
        <w:t>3—Definitions</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In these regulations, unless the contrary intention appears—</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Act</w:t>
      </w:r>
      <w:r>
        <w:rPr>
          <w:color w:val="000000"/>
          <w:sz w:val="23"/>
          <w:szCs w:val="23"/>
        </w:rPr>
        <w:t xml:space="preserve"> means the </w:t>
      </w:r>
      <w:hyperlink r:id="rId40" w:history="1">
        <w:r>
          <w:rPr>
            <w:i/>
            <w:iCs/>
            <w:color w:val="000000"/>
            <w:sz w:val="23"/>
            <w:szCs w:val="23"/>
          </w:rPr>
          <w:t>Petroleum (Submerged Lands) Act 1982</w:t>
        </w:r>
      </w:hyperlink>
      <w:r>
        <w:rPr>
          <w:color w:val="000000"/>
          <w:sz w:val="23"/>
          <w:szCs w:val="23"/>
        </w:rPr>
        <w:t>;</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controlled substance</w:t>
      </w:r>
      <w:r>
        <w:rPr>
          <w:color w:val="000000"/>
          <w:sz w:val="23"/>
          <w:szCs w:val="23"/>
        </w:rPr>
        <w:t xml:space="preserve"> means a substance mentioned in—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Schedule 8 of the </w:t>
      </w:r>
      <w:r>
        <w:rPr>
          <w:i/>
          <w:iCs/>
          <w:color w:val="000000"/>
          <w:sz w:val="23"/>
          <w:szCs w:val="23"/>
        </w:rPr>
        <w:t>Customs (Prohibited Exports) Regulations 1958</w:t>
      </w:r>
      <w:r>
        <w:rPr>
          <w:color w:val="000000"/>
          <w:sz w:val="23"/>
          <w:szCs w:val="23"/>
        </w:rPr>
        <w:t xml:space="preserve"> of the Commonwealth;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Schedule 4 of the </w:t>
      </w:r>
      <w:r>
        <w:rPr>
          <w:i/>
          <w:iCs/>
          <w:color w:val="000000"/>
          <w:sz w:val="23"/>
          <w:szCs w:val="23"/>
        </w:rPr>
        <w:t>Customs (Prohibited Imports) Regulations 1956</w:t>
      </w:r>
      <w:r>
        <w:rPr>
          <w:color w:val="000000"/>
          <w:sz w:val="23"/>
          <w:szCs w:val="23"/>
        </w:rPr>
        <w:t xml:space="preserve"> of the Commonwealth;</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intoxicant</w:t>
      </w:r>
      <w:r>
        <w:rPr>
          <w:color w:val="000000"/>
          <w:sz w:val="23"/>
          <w:szCs w:val="23"/>
        </w:rPr>
        <w:t xml:space="preserve"> means a beverage or other substance for human consumption that contains alcohol (other than a substance for medical or pharmaceutical use);</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member of the workforce</w:t>
      </w:r>
      <w:r>
        <w:rPr>
          <w:color w:val="000000"/>
          <w:sz w:val="23"/>
          <w:szCs w:val="23"/>
        </w:rPr>
        <w:t>, in relation to a facility, has the meaning given in clause 3 of Schedule 7 of the Act;</w:t>
      </w:r>
    </w:p>
    <w:p w:rsidR="009A7258" w:rsidRDefault="009A7258" w:rsidP="00762261">
      <w:pPr>
        <w:spacing w:after="0" w:line="240" w:lineRule="auto"/>
        <w:jc w:val="left"/>
        <w:rPr>
          <w:b/>
          <w:bCs/>
          <w:i/>
          <w:iCs/>
          <w:color w:val="000000"/>
          <w:sz w:val="23"/>
          <w:szCs w:val="23"/>
        </w:rPr>
      </w:pPr>
      <w:r>
        <w:rPr>
          <w:b/>
          <w:bCs/>
          <w:i/>
          <w:iCs/>
          <w:color w:val="000000"/>
          <w:sz w:val="23"/>
          <w:szCs w:val="23"/>
        </w:rPr>
        <w:br w:type="page"/>
      </w:r>
    </w:p>
    <w:p w:rsidR="009A7258" w:rsidRDefault="009A7258" w:rsidP="00762261">
      <w:pPr>
        <w:pStyle w:val="RegSpace"/>
        <w:jc w:val="left"/>
      </w:pP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medical practitioner</w:t>
      </w:r>
      <w:r>
        <w:rPr>
          <w:color w:val="000000"/>
          <w:sz w:val="23"/>
          <w:szCs w:val="23"/>
        </w:rPr>
        <w:t xml:space="preserve"> means a person registered under the </w:t>
      </w:r>
      <w:hyperlink r:id="rId41" w:history="1">
        <w:r>
          <w:rPr>
            <w:i/>
            <w:iCs/>
            <w:color w:val="000000"/>
            <w:sz w:val="23"/>
            <w:szCs w:val="23"/>
          </w:rPr>
          <w:t>Health Practitioner Regulation National Law</w:t>
        </w:r>
      </w:hyperlink>
      <w:r>
        <w:rPr>
          <w:color w:val="000000"/>
          <w:sz w:val="23"/>
          <w:szCs w:val="23"/>
        </w:rPr>
        <w:t xml:space="preserve"> to practise in the medical profession (other than as a student);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nurse</w:t>
      </w:r>
      <w:r>
        <w:rPr>
          <w:color w:val="000000"/>
          <w:sz w:val="23"/>
          <w:szCs w:val="23"/>
        </w:rPr>
        <w:t xml:space="preserve"> means a person registered under the </w:t>
      </w:r>
      <w:hyperlink r:id="rId42" w:history="1">
        <w:r>
          <w:rPr>
            <w:i/>
            <w:iCs/>
            <w:color w:val="000000"/>
            <w:sz w:val="23"/>
            <w:szCs w:val="23"/>
          </w:rPr>
          <w:t>Health Practitioner Regulation National Law</w:t>
        </w:r>
      </w:hyperlink>
      <w:r>
        <w:rPr>
          <w:color w:val="000000"/>
          <w:sz w:val="23"/>
          <w:szCs w:val="23"/>
        </w:rPr>
        <w:t xml:space="preserve"> to practise in the nursing profession as a nurse (other than as a student);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pharmacist</w:t>
      </w:r>
      <w:r>
        <w:rPr>
          <w:color w:val="000000"/>
          <w:sz w:val="23"/>
          <w:szCs w:val="23"/>
        </w:rPr>
        <w:t xml:space="preserve"> means a person registered under the </w:t>
      </w:r>
      <w:hyperlink r:id="rId43" w:history="1">
        <w:r>
          <w:rPr>
            <w:i/>
            <w:iCs/>
            <w:color w:val="000000"/>
            <w:sz w:val="23"/>
            <w:szCs w:val="23"/>
          </w:rPr>
          <w:t>Health Practitioner Regulation National Law</w:t>
        </w:r>
      </w:hyperlink>
      <w:r>
        <w:rPr>
          <w:color w:val="000000"/>
          <w:sz w:val="23"/>
          <w:szCs w:val="23"/>
        </w:rPr>
        <w:t xml:space="preserve"> to practise in the pharmacy profession (other than as a student);</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therapeutic drug</w:t>
      </w:r>
      <w:r>
        <w:rPr>
          <w:color w:val="000000"/>
          <w:sz w:val="23"/>
          <w:szCs w:val="23"/>
        </w:rPr>
        <w:t xml:space="preserve"> means a drug that—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may be prescribed by a medical practitioner;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may be sold without a prescription prepared by a medical practitioner.</w:t>
      </w:r>
    </w:p>
    <w:p w:rsidR="0065609F" w:rsidRDefault="0065609F" w:rsidP="00762261">
      <w:pPr>
        <w:pStyle w:val="clauseheadlevel2"/>
      </w:pPr>
      <w:r>
        <w:t>4—Forms, notices and reports</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 form must be completed in accordance with a direction specified in, or at the foot of, the form.</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 person who is required for the purposes of the Act or these regulations to—</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complete a form;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give notice or make a report,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must complete the form, give notice or make the report in sufficient detail to allow proper consideration of the form, notice or report.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A form, notice or report must be produced clearly and legibly.</w:t>
      </w:r>
    </w:p>
    <w:p w:rsidR="0065609F" w:rsidRDefault="0065609F" w:rsidP="00762261">
      <w:pPr>
        <w:pStyle w:val="partheadlevel1"/>
      </w:pPr>
      <w:bookmarkStart w:id="108" w:name="id47f1126e_fe79_485d_a8f1_bb9869096645_0"/>
      <w:r>
        <w:t>Part 2—Occupational health and safety</w:t>
      </w:r>
      <w:bookmarkEnd w:id="108"/>
    </w:p>
    <w:p w:rsidR="0065609F" w:rsidRDefault="0065609F" w:rsidP="00762261">
      <w:pPr>
        <w:pStyle w:val="divisionheadlevel2"/>
      </w:pPr>
      <w:r>
        <w:t>Division 1—Preliminary</w:t>
      </w:r>
    </w:p>
    <w:p w:rsidR="0065609F" w:rsidRDefault="0065609F" w:rsidP="00762261">
      <w:pPr>
        <w:pStyle w:val="clauseheadlevel3"/>
      </w:pPr>
      <w:r>
        <w:t>5—Object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The object of this Part is to prescribe matters related to occupational health and safety on offshore petroleum facilities.</w:t>
      </w:r>
    </w:p>
    <w:p w:rsidR="0065609F" w:rsidRDefault="0065609F" w:rsidP="00762261">
      <w:pPr>
        <w:pStyle w:val="clauseheadlevel3"/>
      </w:pPr>
      <w:r>
        <w:t>6—Relationship with other Parts</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The requirements of this Part are in addition to the requirements imposed on a person by any Parts of these regulations.</w:t>
      </w:r>
    </w:p>
    <w:p w:rsidR="0065609F" w:rsidRDefault="0065609F" w:rsidP="00762261">
      <w:pPr>
        <w:pStyle w:val="clauseheadlevel3"/>
      </w:pPr>
      <w:r>
        <w:t>7—Definitions</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In this Part, unless the contrary intention appears—</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designated work group</w:t>
      </w:r>
      <w:r>
        <w:rPr>
          <w:color w:val="000000"/>
          <w:sz w:val="23"/>
          <w:szCs w:val="23"/>
        </w:rPr>
        <w:t xml:space="preserve"> has the meaning given in clause 3 of Schedule 7 of the Act;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election</w:t>
      </w:r>
      <w:r>
        <w:rPr>
          <w:color w:val="000000"/>
          <w:sz w:val="23"/>
          <w:szCs w:val="23"/>
        </w:rPr>
        <w:t xml:space="preserve"> means an election for a health and safety representative or a deputy health and safety representative under clause 25 or 32 of Schedule 7 of the Act;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employer</w:t>
      </w:r>
      <w:r>
        <w:rPr>
          <w:color w:val="000000"/>
          <w:sz w:val="23"/>
          <w:szCs w:val="23"/>
        </w:rPr>
        <w:t xml:space="preserve"> has the meaning given in clause 3 of Schedule 7 of the Act;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facility</w:t>
      </w:r>
      <w:r>
        <w:rPr>
          <w:color w:val="000000"/>
          <w:sz w:val="23"/>
          <w:szCs w:val="23"/>
        </w:rPr>
        <w:t xml:space="preserve"> has the meaning given in clause 3 of Schedule 7 of the Act;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health and safety representative</w:t>
      </w:r>
      <w:r>
        <w:rPr>
          <w:color w:val="000000"/>
          <w:sz w:val="23"/>
          <w:szCs w:val="23"/>
        </w:rPr>
        <w:t xml:space="preserve"> means a person selected as a health and safety representative for a designated work group under clause 24 of Schedule 7 of the Act;</w:t>
      </w:r>
    </w:p>
    <w:p w:rsidR="00C76466" w:rsidRDefault="00C76466" w:rsidP="00762261">
      <w:pPr>
        <w:spacing w:after="0" w:line="240" w:lineRule="auto"/>
        <w:jc w:val="left"/>
        <w:rPr>
          <w:b/>
          <w:bCs/>
          <w:i/>
          <w:iCs/>
          <w:color w:val="000000"/>
          <w:sz w:val="23"/>
          <w:szCs w:val="23"/>
        </w:rPr>
      </w:pPr>
      <w:r>
        <w:rPr>
          <w:b/>
          <w:bCs/>
          <w:i/>
          <w:iCs/>
          <w:color w:val="000000"/>
          <w:sz w:val="23"/>
          <w:szCs w:val="23"/>
        </w:rPr>
        <w:br w:type="page"/>
      </w:r>
    </w:p>
    <w:p w:rsidR="00C76466" w:rsidRDefault="00C76466" w:rsidP="00762261">
      <w:pPr>
        <w:pStyle w:val="RegSpace"/>
        <w:jc w:val="left"/>
      </w:pP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operator</w:t>
      </w:r>
      <w:r>
        <w:rPr>
          <w:color w:val="000000"/>
          <w:sz w:val="23"/>
          <w:szCs w:val="23"/>
        </w:rPr>
        <w:t xml:space="preserve"> has the meaning given in clause 3 of Schedule 7 of the Act;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returning officer</w:t>
      </w:r>
      <w:r>
        <w:rPr>
          <w:color w:val="000000"/>
          <w:sz w:val="23"/>
          <w:szCs w:val="23"/>
        </w:rPr>
        <w:t xml:space="preserve"> means a person appointed as a returning officer under </w:t>
      </w:r>
      <w:hyperlink w:anchor="ida40e34b8_a750_4845_be58_d12837104274_8" w:history="1">
        <w:r>
          <w:rPr>
            <w:color w:val="000000"/>
            <w:sz w:val="23"/>
            <w:szCs w:val="23"/>
          </w:rPr>
          <w:t>regulation 15</w:t>
        </w:r>
      </w:hyperlink>
      <w:r>
        <w:rPr>
          <w:color w:val="000000"/>
          <w:sz w:val="23"/>
          <w:szCs w:val="23"/>
        </w:rPr>
        <w: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voter</w:t>
      </w:r>
      <w:r>
        <w:rPr>
          <w:color w:val="000000"/>
          <w:sz w:val="23"/>
          <w:szCs w:val="23"/>
        </w:rPr>
        <w:t xml:space="preserve"> means a person who is eligible to vote in an election;</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work</w:t>
      </w:r>
      <w:r>
        <w:rPr>
          <w:color w:val="000000"/>
          <w:sz w:val="23"/>
          <w:szCs w:val="23"/>
        </w:rPr>
        <w:t xml:space="preserve"> has the meaning given in clause 3 of Schedule 7 of the Act;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workplace</w:t>
      </w:r>
      <w:r>
        <w:rPr>
          <w:color w:val="000000"/>
          <w:sz w:val="23"/>
          <w:szCs w:val="23"/>
        </w:rPr>
        <w:t xml:space="preserve"> has the meaning given in clause 3 of Schedule 7 of the Act.</w:t>
      </w:r>
    </w:p>
    <w:p w:rsidR="0065609F" w:rsidRDefault="0065609F" w:rsidP="00762261">
      <w:pPr>
        <w:pStyle w:val="divisionheadlevel2"/>
      </w:pPr>
      <w:bookmarkStart w:id="109" w:name="Elkera_Print_BK12"/>
      <w:r>
        <w:t>Division 2—Regulations relating to health and safety</w:t>
      </w:r>
      <w:bookmarkEnd w:id="109"/>
    </w:p>
    <w:p w:rsidR="0065609F" w:rsidRDefault="0065609F" w:rsidP="00762261">
      <w:pPr>
        <w:pStyle w:val="clauseheadlevel3"/>
      </w:pPr>
      <w:r>
        <w:t>8—Avoiding fatigue</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This regulation applies to—</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an operator;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an employer;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another person in control of—</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a facility;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a part of a facility;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particular work carried out at a facility.</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person must not allow, or require, a member of the workforce who is under the person's control, to work for—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continuous period;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successive continuous periods,</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of a duration that could reasonably be expected to have an adverse effect on the health or safety of the member of the workforce or other persons at or near the facility.</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$1 100.</w:t>
      </w:r>
    </w:p>
    <w:p w:rsidR="0065609F" w:rsidRDefault="0065609F" w:rsidP="00762261">
      <w:pPr>
        <w:pStyle w:val="clauseheadlevel3"/>
      </w:pPr>
      <w:r>
        <w:t>9—Possession or control of drugs or intoxicants</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110" w:name="id517549a7_6f85_4b55_9cef_2c359c235059_8"/>
      <w:r>
        <w:rPr>
          <w:color w:val="000000"/>
          <w:sz w:val="23"/>
          <w:szCs w:val="23"/>
        </w:rPr>
        <w:tab/>
        <w:t>(1)</w:t>
      </w:r>
      <w:r>
        <w:rPr>
          <w:color w:val="000000"/>
          <w:sz w:val="23"/>
          <w:szCs w:val="23"/>
        </w:rPr>
        <w:tab/>
        <w:t>A person on a facility must not have possession or control of—</w:t>
      </w:r>
      <w:bookmarkEnd w:id="110"/>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controlled substance; or</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an intoxicant.</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$1 100.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It is a defence to a prosecution under </w:t>
      </w:r>
      <w:hyperlink w:anchor="id517549a7_6f85_4b55_9cef_2c359c235059_8" w:history="1">
        <w:r>
          <w:rPr>
            <w:color w:val="000000"/>
            <w:sz w:val="23"/>
            <w:szCs w:val="23"/>
          </w:rPr>
          <w:t>subregulation (1)</w:t>
        </w:r>
      </w:hyperlink>
      <w:r>
        <w:rPr>
          <w:color w:val="000000"/>
          <w:sz w:val="23"/>
          <w:szCs w:val="23"/>
        </w:rPr>
        <w: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that the person had possession or control of a controlled substance that is a therapeutic drug;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that the person had the therapeutic drug under their possession or control—</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in the course of the person's employment;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in the course of the person's duties or practice as a medical practitioner, nurse or pharmacist;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in accordance with the law of this State;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(iv)</w:t>
      </w:r>
      <w:r>
        <w:rPr>
          <w:color w:val="000000"/>
          <w:sz w:val="23"/>
          <w:szCs w:val="23"/>
        </w:rPr>
        <w:tab/>
        <w:t>if the person had lawfully acquired the therapeutic drug—for the person's bona fide personal use.</w:t>
      </w:r>
    </w:p>
    <w:p w:rsidR="00C60DAC" w:rsidRDefault="00C60DAC" w:rsidP="00762261">
      <w:pPr>
        <w:spacing w:after="0" w:line="240" w:lineRule="auto"/>
        <w:jc w:val="left"/>
        <w:rPr>
          <w:rFonts w:eastAsia="Times New Roman"/>
          <w:b/>
          <w:bCs/>
          <w:color w:val="000000"/>
          <w:sz w:val="26"/>
          <w:szCs w:val="26"/>
          <w:lang w:eastAsia="en-AU"/>
        </w:rPr>
      </w:pPr>
      <w:r>
        <w:br w:type="page"/>
      </w:r>
    </w:p>
    <w:p w:rsidR="00C60DAC" w:rsidRDefault="00C60DAC" w:rsidP="00762261">
      <w:pPr>
        <w:pStyle w:val="RegSpace"/>
        <w:jc w:val="left"/>
      </w:pPr>
    </w:p>
    <w:p w:rsidR="0065609F" w:rsidRDefault="0065609F" w:rsidP="00762261">
      <w:pPr>
        <w:pStyle w:val="clauseheadlevel3"/>
      </w:pPr>
      <w:r>
        <w:t>10—Person must leave the facility when instructed to do so</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 person on a facility must leave the facility if instructed to do so by a person in command of the facility.</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$1 100.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An instruction—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in the case of an emergency—may be given orally;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in any other case, relevant to occupational health and safety on the facility—</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must be in writing;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must include the reason for the instruction.</w:t>
      </w:r>
    </w:p>
    <w:p w:rsidR="0065609F" w:rsidRDefault="0065609F" w:rsidP="00762261">
      <w:pPr>
        <w:pStyle w:val="clauseheadlevel3"/>
      </w:pPr>
      <w:bookmarkStart w:id="111" w:name="idf5d7d445_a165_49dc_bf55_5672a6833bcd_b"/>
      <w:r>
        <w:t>11—Prohibition on the use of certain hazardous substances</w:t>
      </w:r>
      <w:bookmarkEnd w:id="111"/>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This regulation applies to—</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an operator;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an employer;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another person in control of—</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a facility;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a part of a facility;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particular work carried out at a facility.</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112" w:name="idb458b907_e8cc_4f5a_8eee_1c551a4af3e5_2"/>
      <w:r>
        <w:rPr>
          <w:color w:val="000000"/>
          <w:sz w:val="23"/>
          <w:szCs w:val="23"/>
        </w:rPr>
        <w:tab/>
        <w:t>(2)</w:t>
      </w:r>
      <w:r>
        <w:rPr>
          <w:color w:val="000000"/>
          <w:sz w:val="23"/>
          <w:szCs w:val="23"/>
        </w:rPr>
        <w:tab/>
        <w:t xml:space="preserve">The person must not allow a hazardous substance, referred to in column 2 of an item in </w:t>
      </w:r>
      <w:hyperlink w:anchor="idbad58f91_f91d_4eb7_8204_b473010be3b3_7" w:history="1">
        <w:r>
          <w:rPr>
            <w:color w:val="000000"/>
            <w:sz w:val="23"/>
            <w:szCs w:val="23"/>
          </w:rPr>
          <w:t>Part 2</w:t>
        </w:r>
      </w:hyperlink>
      <w:r>
        <w:rPr>
          <w:color w:val="000000"/>
          <w:sz w:val="23"/>
          <w:szCs w:val="23"/>
        </w:rPr>
        <w:t xml:space="preserve"> or </w:t>
      </w:r>
      <w:hyperlink w:anchor="id143f589e_4251_436b_81a8_cd59907d41" w:history="1">
        <w:r>
          <w:rPr>
            <w:color w:val="000000"/>
            <w:sz w:val="23"/>
            <w:szCs w:val="23"/>
          </w:rPr>
          <w:t>Part 3</w:t>
        </w:r>
      </w:hyperlink>
      <w:r>
        <w:rPr>
          <w:color w:val="000000"/>
          <w:sz w:val="23"/>
          <w:szCs w:val="23"/>
        </w:rPr>
        <w:t xml:space="preserve"> of </w:t>
      </w:r>
      <w:hyperlink w:anchor="id7a6c72b1_5432_4cf7_9f57_79b6180dcd18_0" w:history="1">
        <w:r>
          <w:rPr>
            <w:color w:val="000000"/>
            <w:sz w:val="23"/>
            <w:szCs w:val="23"/>
          </w:rPr>
          <w:t>Schedule 1</w:t>
        </w:r>
      </w:hyperlink>
      <w:r>
        <w:rPr>
          <w:color w:val="000000"/>
          <w:sz w:val="23"/>
          <w:szCs w:val="23"/>
        </w:rPr>
        <w:t>, to be used in any circumstance other than a circumstance specified in column 3 of the item.</w:t>
      </w:r>
      <w:bookmarkEnd w:id="112"/>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$2 200.</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It is a defence to a prosecution against </w:t>
      </w:r>
      <w:hyperlink w:anchor="idb458b907_e8cc_4f5a_8eee_1c551a4af3e5_2" w:history="1">
        <w:r>
          <w:rPr>
            <w:color w:val="000000"/>
            <w:sz w:val="23"/>
            <w:szCs w:val="23"/>
          </w:rPr>
          <w:t>subregulation (2)</w:t>
        </w:r>
      </w:hyperlink>
      <w:r>
        <w:rPr>
          <w:color w:val="000000"/>
          <w:sz w:val="23"/>
          <w:szCs w:val="23"/>
        </w:rPr>
        <w:t xml:space="preserve"> that the use is in accordance with an exemption granted by the Safety Authority under </w:t>
      </w:r>
      <w:hyperlink w:anchor="idc6fcce13_e6fe_4599_a918_2447db18aafb_a" w:history="1">
        <w:r>
          <w:rPr>
            <w:color w:val="000000"/>
            <w:sz w:val="23"/>
            <w:szCs w:val="23"/>
          </w:rPr>
          <w:t>regulation 14</w:t>
        </w:r>
      </w:hyperlink>
      <w:r>
        <w:rPr>
          <w:color w:val="000000"/>
          <w:sz w:val="23"/>
          <w:szCs w:val="23"/>
        </w:rPr>
        <w: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r>
      <w:hyperlink w:anchor="idb458b907_e8cc_4f5a_8eee_1c551a4af3e5_2" w:history="1">
        <w:r>
          <w:rPr>
            <w:color w:val="000000"/>
            <w:sz w:val="23"/>
            <w:szCs w:val="23"/>
          </w:rPr>
          <w:t>Subregulation (2)</w:t>
        </w:r>
      </w:hyperlink>
      <w:r>
        <w:rPr>
          <w:color w:val="000000"/>
          <w:sz w:val="23"/>
          <w:szCs w:val="23"/>
        </w:rPr>
        <w:t xml:space="preserve"> does not apply to the use of chrysotile asbestos if the use is permitted under regulation 3.4 of the </w:t>
      </w:r>
      <w:r>
        <w:rPr>
          <w:i/>
          <w:iCs/>
          <w:color w:val="000000"/>
          <w:sz w:val="23"/>
          <w:szCs w:val="23"/>
        </w:rPr>
        <w:t>Offshore Petroleum and Greenhouse Gas Storage (Safety) Regulations 2009</w:t>
      </w:r>
      <w:r>
        <w:rPr>
          <w:color w:val="000000"/>
          <w:sz w:val="23"/>
          <w:szCs w:val="23"/>
        </w:rPr>
        <w:t xml:space="preserve"> of the Commonwealth.</w:t>
      </w:r>
    </w:p>
    <w:p w:rsidR="0065609F" w:rsidRDefault="0065609F" w:rsidP="00762261">
      <w:pPr>
        <w:pStyle w:val="clauseheadlevel3"/>
      </w:pPr>
      <w:bookmarkStart w:id="113" w:name="ida1de7040_27be_4ac6_a588_a7f75890da20_9"/>
      <w:r>
        <w:t>12—Limitations on exposure to certain hazardous substances</w:t>
      </w:r>
      <w:bookmarkEnd w:id="113"/>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This regulation applies to—</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an operator;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an employer;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another person in control of—</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a facility;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a part of a facility;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particular work carried out at a facility.</w:t>
      </w:r>
    </w:p>
    <w:p w:rsidR="00E24821" w:rsidRDefault="00E24821" w:rsidP="00762261">
      <w:pPr>
        <w:pStyle w:val="RegSpace"/>
        <w:jc w:val="left"/>
      </w:pPr>
      <w:bookmarkStart w:id="114" w:name="id38a18484_8820_4b3c_9d5d_a6b23cfd4895_4"/>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lastRenderedPageBreak/>
        <w:tab/>
        <w:t>(2)</w:t>
      </w:r>
      <w:r>
        <w:rPr>
          <w:color w:val="000000"/>
          <w:sz w:val="23"/>
          <w:szCs w:val="23"/>
        </w:rPr>
        <w:tab/>
        <w:t>The person must not allow a member of the workforce, under the person's control, to be exposed to an airborne concentration of a hazardous substance in the breathing zone of the member of the workforce at a level that exceeds the appropriate exposure standard for the relevant period of time.</w:t>
      </w:r>
      <w:bookmarkEnd w:id="114"/>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$2 200.</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It is a defence to a prosecution against </w:t>
      </w:r>
      <w:hyperlink w:anchor="id38a18484_8820_4b3c_9d5d_a6b23cfd4895_4" w:history="1">
        <w:r>
          <w:rPr>
            <w:color w:val="000000"/>
            <w:sz w:val="23"/>
            <w:szCs w:val="23"/>
          </w:rPr>
          <w:t>subregulation (2)</w:t>
        </w:r>
      </w:hyperlink>
      <w:r>
        <w:rPr>
          <w:color w:val="000000"/>
          <w:sz w:val="23"/>
          <w:szCs w:val="23"/>
        </w:rPr>
        <w:t xml:space="preserve"> that the airborne concentration of the hazardous substance in the breathing zone of the member of the workforce is in accordance with an exemption given by the Safety Authority under </w:t>
      </w:r>
      <w:hyperlink w:anchor="idc6fcce13_e6fe_4599_a918_2447db18aafb_a" w:history="1">
        <w:r>
          <w:rPr>
            <w:color w:val="000000"/>
            <w:sz w:val="23"/>
            <w:szCs w:val="23"/>
          </w:rPr>
          <w:t>regulation 14</w:t>
        </w:r>
      </w:hyperlink>
      <w:r>
        <w:rPr>
          <w:color w:val="000000"/>
          <w:sz w:val="23"/>
          <w:szCs w:val="23"/>
        </w:rPr>
        <w: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In this regulation—</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appropriate exposure standard</w:t>
      </w:r>
      <w:r>
        <w:rPr>
          <w:color w:val="000000"/>
          <w:sz w:val="23"/>
          <w:szCs w:val="23"/>
        </w:rPr>
        <w:t xml:space="preserve"> means an airborne concentration for a substance as set out in the </w:t>
      </w:r>
      <w:r>
        <w:rPr>
          <w:i/>
          <w:iCs/>
          <w:color w:val="000000"/>
          <w:sz w:val="23"/>
          <w:szCs w:val="23"/>
        </w:rPr>
        <w:t>Adopted National Exposure Standards for Atmospheric Contaminants in the Occupational Environment</w:t>
      </w:r>
      <w:r>
        <w:rPr>
          <w:color w:val="000000"/>
          <w:sz w:val="23"/>
          <w:szCs w:val="23"/>
        </w:rPr>
        <w:t xml:space="preserve"> [NOHSC: 1003(1995)] published by the National Occupational Health and Safety Commission, as existing from time to time;</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hazardous substance</w:t>
      </w:r>
      <w:r>
        <w:rPr>
          <w:color w:val="000000"/>
          <w:sz w:val="23"/>
          <w:szCs w:val="23"/>
        </w:rPr>
        <w:t xml:space="preserve"> has the same meaning as in regulation 3.5 of the </w:t>
      </w:r>
      <w:r>
        <w:rPr>
          <w:i/>
          <w:iCs/>
          <w:color w:val="000000"/>
          <w:sz w:val="23"/>
          <w:szCs w:val="23"/>
        </w:rPr>
        <w:t>Offshore Petroleum and Greenhouse Gas Storage (Safety) Regulations 2009</w:t>
      </w:r>
      <w:r>
        <w:rPr>
          <w:color w:val="000000"/>
          <w:sz w:val="23"/>
          <w:szCs w:val="23"/>
        </w:rPr>
        <w:t xml:space="preserve"> of the Commonwealth.</w:t>
      </w:r>
    </w:p>
    <w:p w:rsidR="0065609F" w:rsidRDefault="0065609F" w:rsidP="00762261">
      <w:pPr>
        <w:pStyle w:val="clauseheadlevel3"/>
      </w:pPr>
      <w:bookmarkStart w:id="115" w:name="idb4387b34_d076_4197_b16a_fd33af115143_0"/>
      <w:r>
        <w:t>13—Exposure to noise</w:t>
      </w:r>
      <w:bookmarkEnd w:id="115"/>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This regulation applies to—</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an operator;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an employer;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another person in control of—</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a facility;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a part of a facility;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particular work carried out at a facility.</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116" w:name="id8bcd8036_67a8_4839_8869_f6ca516ee041_8"/>
      <w:r>
        <w:rPr>
          <w:color w:val="000000"/>
          <w:sz w:val="23"/>
          <w:szCs w:val="23"/>
        </w:rPr>
        <w:tab/>
        <w:t>(2)</w:t>
      </w:r>
      <w:r>
        <w:rPr>
          <w:color w:val="000000"/>
          <w:sz w:val="23"/>
          <w:szCs w:val="23"/>
        </w:rPr>
        <w:tab/>
        <w:t>The person must not allow a member of the workforce who is under the person's control to be exposed to a level of noise that is in excess of the noise exposure standard.</w:t>
      </w:r>
      <w:bookmarkEnd w:id="116"/>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$2 200.</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It is a defence to a prosecution for an offence against </w:t>
      </w:r>
      <w:hyperlink w:anchor="id8bcd8036_67a8_4839_8869_f6ca516ee041_8" w:history="1">
        <w:r>
          <w:rPr>
            <w:color w:val="000000"/>
            <w:sz w:val="23"/>
            <w:szCs w:val="23"/>
          </w:rPr>
          <w:t>subregulation (2)</w:t>
        </w:r>
      </w:hyperlink>
      <w:r>
        <w:rPr>
          <w:color w:val="000000"/>
          <w:sz w:val="23"/>
          <w:szCs w:val="23"/>
        </w:rPr>
        <w:t xml:space="preserve"> that the level of noise to which the member of the workforce is exposed, is in accordance with an exemption given by the Safety Authority under </w:t>
      </w:r>
      <w:hyperlink w:anchor="idc6fcce13_e6fe_4599_a918_2447db18aafb_a" w:history="1">
        <w:r>
          <w:rPr>
            <w:color w:val="000000"/>
            <w:sz w:val="23"/>
            <w:szCs w:val="23"/>
          </w:rPr>
          <w:t>regulation 14</w:t>
        </w:r>
      </w:hyperlink>
      <w:r>
        <w:rPr>
          <w:color w:val="000000"/>
          <w:sz w:val="23"/>
          <w:szCs w:val="23"/>
        </w:rPr>
        <w: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In this regulation—</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noise exposure standard</w:t>
      </w:r>
      <w:r>
        <w:rPr>
          <w:color w:val="000000"/>
          <w:sz w:val="23"/>
          <w:szCs w:val="23"/>
        </w:rPr>
        <w:t xml:space="preserve"> means the noise exposure standard set out in the </w:t>
      </w:r>
      <w:r>
        <w:rPr>
          <w:i/>
          <w:iCs/>
          <w:color w:val="000000"/>
          <w:sz w:val="23"/>
          <w:szCs w:val="23"/>
        </w:rPr>
        <w:t>National Standard for Occupational Noise</w:t>
      </w:r>
      <w:r>
        <w:rPr>
          <w:color w:val="000000"/>
          <w:sz w:val="23"/>
          <w:szCs w:val="23"/>
        </w:rPr>
        <w:t xml:space="preserve"> [NOHSC: 1007(2000)] published by the National Occupational Health and Safety Commission, as existing from time to time.</w:t>
      </w:r>
    </w:p>
    <w:p w:rsidR="0065609F" w:rsidRDefault="0065609F" w:rsidP="00762261">
      <w:pPr>
        <w:pStyle w:val="clauseheadlevel3"/>
      </w:pPr>
      <w:bookmarkStart w:id="117" w:name="idc6fcce13_e6fe_4599_a918_2447db18aafb_a"/>
      <w:r>
        <w:t>14—Exemptions from hazardous substances and noise requirements</w:t>
      </w:r>
      <w:bookmarkEnd w:id="117"/>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118" w:name="ida87195e1_8ef3_4cba_82ca_9e42012ec914_8"/>
      <w:r>
        <w:rPr>
          <w:color w:val="000000"/>
          <w:sz w:val="23"/>
          <w:szCs w:val="23"/>
        </w:rPr>
        <w:tab/>
        <w:t>(1)</w:t>
      </w:r>
      <w:r>
        <w:rPr>
          <w:color w:val="000000"/>
          <w:sz w:val="23"/>
          <w:szCs w:val="23"/>
        </w:rPr>
        <w:tab/>
        <w:t>This regulation applies to—</w:t>
      </w:r>
      <w:bookmarkEnd w:id="118"/>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an operator;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an employer; or</w:t>
      </w:r>
    </w:p>
    <w:p w:rsidR="00895FA6" w:rsidRDefault="00895FA6" w:rsidP="00762261">
      <w:pPr>
        <w:spacing w:after="0" w:line="240" w:lineRule="auto"/>
        <w:jc w:val="left"/>
        <w:rPr>
          <w:color w:val="000000"/>
          <w:sz w:val="23"/>
          <w:szCs w:val="23"/>
        </w:rPr>
      </w:pPr>
      <w:r>
        <w:rPr>
          <w:color w:val="000000"/>
          <w:sz w:val="23"/>
          <w:szCs w:val="23"/>
        </w:rPr>
        <w:br w:type="page"/>
      </w:r>
    </w:p>
    <w:p w:rsidR="00895FA6" w:rsidRDefault="00895FA6" w:rsidP="00762261">
      <w:pPr>
        <w:pStyle w:val="RegSpace"/>
        <w:jc w:val="left"/>
      </w:pP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another person in control of—</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a facility;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a part of a facility;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particular work carried out at a facility.</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 person mentioned in </w:t>
      </w:r>
      <w:hyperlink w:anchor="ida87195e1_8ef3_4cba_82ca_9e42012ec914_8" w:history="1">
        <w:r>
          <w:rPr>
            <w:color w:val="000000"/>
            <w:sz w:val="23"/>
            <w:szCs w:val="23"/>
          </w:rPr>
          <w:t>subregulation (1)</w:t>
        </w:r>
      </w:hyperlink>
      <w:r>
        <w:rPr>
          <w:color w:val="000000"/>
          <w:sz w:val="23"/>
          <w:szCs w:val="23"/>
        </w:rPr>
        <w:t xml:space="preserve"> may apply to the Safety Authority for an exemption from compliance with </w:t>
      </w:r>
      <w:hyperlink w:anchor="idb458b907_e8cc_4f5a_8eee_1c551a4af3e5_2" w:history="1">
        <w:r>
          <w:rPr>
            <w:color w:val="000000"/>
            <w:sz w:val="23"/>
            <w:szCs w:val="23"/>
          </w:rPr>
          <w:t>regulation 11(2)</w:t>
        </w:r>
      </w:hyperlink>
      <w:r>
        <w:rPr>
          <w:color w:val="000000"/>
          <w:sz w:val="23"/>
          <w:szCs w:val="23"/>
        </w:rPr>
        <w:t xml:space="preserve">, </w:t>
      </w:r>
      <w:hyperlink w:anchor="id38a18484_8820_4b3c_9d5d_a6b23cfd4895_4" w:history="1">
        <w:r>
          <w:rPr>
            <w:color w:val="000000"/>
            <w:sz w:val="23"/>
            <w:szCs w:val="23"/>
          </w:rPr>
          <w:t>12(2)</w:t>
        </w:r>
      </w:hyperlink>
      <w:r>
        <w:rPr>
          <w:color w:val="000000"/>
          <w:sz w:val="23"/>
          <w:szCs w:val="23"/>
        </w:rPr>
        <w:t xml:space="preserve"> or </w:t>
      </w:r>
      <w:hyperlink w:anchor="id8bcd8036_67a8_4839_8869_f6ca516ee041_8" w:history="1">
        <w:r>
          <w:rPr>
            <w:color w:val="000000"/>
            <w:sz w:val="23"/>
            <w:szCs w:val="23"/>
          </w:rPr>
          <w:t>13(2)</w:t>
        </w:r>
      </w:hyperlink>
      <w:r>
        <w:rPr>
          <w:color w:val="000000"/>
          <w:sz w:val="23"/>
          <w:szCs w:val="23"/>
        </w:rPr>
        <w: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The Safety Authority may grant an exemption if it considers that, in specified circumstances, compliance is not practicable.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The Safety Authority may specify conditions and limitations on an exemption.</w:t>
      </w:r>
    </w:p>
    <w:p w:rsidR="0065609F" w:rsidRDefault="0065609F" w:rsidP="00762261">
      <w:pPr>
        <w:pStyle w:val="divisionheadlevel2"/>
      </w:pPr>
      <w:r>
        <w:t>Division 3—Elections of health and safety representatives</w:t>
      </w:r>
    </w:p>
    <w:p w:rsidR="0065609F" w:rsidRDefault="0065609F" w:rsidP="00762261">
      <w:pPr>
        <w:pStyle w:val="subdivisionheadlevel3"/>
      </w:pPr>
      <w:r>
        <w:t>Subdivision 1—Returning officer</w:t>
      </w:r>
    </w:p>
    <w:p w:rsidR="0065609F" w:rsidRDefault="0065609F" w:rsidP="00762261">
      <w:pPr>
        <w:pStyle w:val="clauseheadlevel4"/>
      </w:pPr>
      <w:bookmarkStart w:id="119" w:name="ida40e34b8_a750_4845_be58_d12837104274_8"/>
      <w:r>
        <w:t>15—Appointment of returning officer</w:t>
      </w:r>
      <w:bookmarkEnd w:id="119"/>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If, under clause 25(3) of Schedule 7 of the Act, an operator is required to conduct an election, or arrange for the conduct of an election, the operator must nominate a person to act as the returning officer for the election.</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operator must notify the Safety Authority of the nomination.</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The Safety Authority may—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approve the nomination and appoint the nominee as returning officer;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appoint another person as returning officer.</w:t>
      </w:r>
    </w:p>
    <w:p w:rsidR="0065609F" w:rsidRDefault="0065609F" w:rsidP="00762261">
      <w:pPr>
        <w:pStyle w:val="subdivisionheadlevel3"/>
      </w:pPr>
      <w:bookmarkStart w:id="120" w:name="Elkera_Print_TOC28"/>
      <w:bookmarkStart w:id="121" w:name="Elkera_Print_BK28"/>
      <w:r>
        <w:t>Subdivision 2—The poll</w:t>
      </w:r>
      <w:bookmarkEnd w:id="120"/>
      <w:bookmarkEnd w:id="121"/>
    </w:p>
    <w:p w:rsidR="0065609F" w:rsidRDefault="0065609F" w:rsidP="00762261">
      <w:pPr>
        <w:pStyle w:val="clauseheadlevel4"/>
      </w:pPr>
      <w:bookmarkStart w:id="122" w:name="Elkera_Print_BK29"/>
      <w:r>
        <w:t>16—Number of votes</w:t>
      </w:r>
      <w:bookmarkEnd w:id="122"/>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Each person eligible to vote in an election is entitled to 1 vote only in the election.</w:t>
      </w:r>
    </w:p>
    <w:p w:rsidR="0065609F" w:rsidRDefault="0065609F" w:rsidP="00762261">
      <w:pPr>
        <w:pStyle w:val="clauseheadlevel4"/>
      </w:pPr>
      <w:bookmarkStart w:id="123" w:name="idf33618ff_2de1_43ce_8118_e7d6af3ed61a_d"/>
      <w:r>
        <w:t>17—Right to secret ballot</w:t>
      </w:r>
      <w:bookmarkEnd w:id="123"/>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A person eligible to vote in an election may request the returning officer for the election to conduct the poll for the election by secret ballot.</w:t>
      </w:r>
    </w:p>
    <w:p w:rsidR="0065609F" w:rsidRDefault="0065609F" w:rsidP="00762261">
      <w:pPr>
        <w:pStyle w:val="clauseheadlevel4"/>
      </w:pPr>
      <w:r>
        <w:t>18—Conduct of poll by secret ballot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As soon as practicable after a request under </w:t>
      </w:r>
      <w:hyperlink w:anchor="idf33618ff_2de1_43ce_8118_e7d6af3ed61a_d" w:history="1">
        <w:r>
          <w:rPr>
            <w:color w:val="000000"/>
            <w:sz w:val="23"/>
            <w:szCs w:val="23"/>
          </w:rPr>
          <w:t>regulation 17</w:t>
        </w:r>
      </w:hyperlink>
      <w:r>
        <w:rPr>
          <w:color w:val="000000"/>
          <w:sz w:val="23"/>
          <w:szCs w:val="23"/>
        </w:rPr>
        <w:t>, the returning officer must issue ballot papers for the poll to voters.</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The returning officer must conduct the poll in accordance with </w:t>
      </w:r>
      <w:hyperlink w:anchor="idfc812682_eb32_4246_bfc1_a8a583a087a8_0" w:history="1">
        <w:r>
          <w:rPr>
            <w:color w:val="000000"/>
            <w:sz w:val="23"/>
            <w:szCs w:val="23"/>
          </w:rPr>
          <w:t>Subdivision 3</w:t>
        </w:r>
      </w:hyperlink>
      <w:r>
        <w:rPr>
          <w:color w:val="000000"/>
          <w:sz w:val="23"/>
          <w:szCs w:val="23"/>
        </w:rPr>
        <w:t xml:space="preserve"> and </w:t>
      </w:r>
      <w:hyperlink w:anchor="idbec723ad_f684_4bb9_bb31_84b6756060" w:history="1">
        <w:r>
          <w:rPr>
            <w:color w:val="000000"/>
            <w:sz w:val="23"/>
            <w:szCs w:val="23"/>
          </w:rPr>
          <w:t>Subdivision 4</w:t>
        </w:r>
      </w:hyperlink>
      <w:r>
        <w:rPr>
          <w:color w:val="000000"/>
          <w:sz w:val="23"/>
          <w:szCs w:val="23"/>
        </w:rPr>
        <w:t>.</w:t>
      </w:r>
    </w:p>
    <w:p w:rsidR="0065609F" w:rsidRDefault="0065609F" w:rsidP="00762261">
      <w:pPr>
        <w:pStyle w:val="clauseheadlevel4"/>
      </w:pPr>
      <w:r>
        <w:t>19—Conduct of poll if no request made for secret ballot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Subject to </w:t>
      </w:r>
      <w:hyperlink w:anchor="id1af552ae_3561_48b3_8d0b_2f2833429a" w:history="1">
        <w:r>
          <w:rPr>
            <w:color w:val="000000"/>
            <w:sz w:val="23"/>
            <w:szCs w:val="23"/>
          </w:rPr>
          <w:t>Subdivision 5</w:t>
        </w:r>
      </w:hyperlink>
      <w:r>
        <w:rPr>
          <w:color w:val="000000"/>
          <w:sz w:val="23"/>
          <w:szCs w:val="23"/>
        </w:rPr>
        <w:t>, if no request is made for a secret ballot, the returning officer for an election may conduct a poll for the election in a manner determined by them to produce a fair result.</w:t>
      </w:r>
    </w:p>
    <w:p w:rsidR="003D4A52" w:rsidRDefault="003D4A52" w:rsidP="00762261">
      <w:pPr>
        <w:spacing w:after="0" w:line="240" w:lineRule="auto"/>
        <w:jc w:val="left"/>
        <w:rPr>
          <w:rFonts w:eastAsia="Times New Roman"/>
          <w:b/>
          <w:bCs/>
          <w:color w:val="000000"/>
          <w:sz w:val="26"/>
          <w:szCs w:val="26"/>
          <w:lang w:eastAsia="en-AU"/>
        </w:rPr>
      </w:pPr>
      <w:bookmarkStart w:id="124" w:name="Elkera_Print_TOC34"/>
      <w:bookmarkStart w:id="125" w:name="Elkera_Print_BK34"/>
      <w:r>
        <w:br w:type="page"/>
      </w:r>
    </w:p>
    <w:p w:rsidR="003D4A52" w:rsidRDefault="003D4A52" w:rsidP="00762261">
      <w:pPr>
        <w:pStyle w:val="RegSpace"/>
        <w:jc w:val="left"/>
      </w:pPr>
    </w:p>
    <w:p w:rsidR="0065609F" w:rsidRDefault="0065609F" w:rsidP="00762261">
      <w:pPr>
        <w:pStyle w:val="clauseheadlevel4"/>
      </w:pPr>
      <w:r>
        <w:t>20—If no candidate is elected</w:t>
      </w:r>
      <w:bookmarkEnd w:id="124"/>
      <w:bookmarkEnd w:id="125"/>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If, in an election, no candidate is elected, the election is taken to have failed.</w:t>
      </w:r>
    </w:p>
    <w:p w:rsidR="0065609F" w:rsidRDefault="0065609F" w:rsidP="00762261">
      <w:pPr>
        <w:pStyle w:val="subdivisionheadlevel3"/>
      </w:pPr>
      <w:bookmarkStart w:id="126" w:name="idfc812682_eb32_4246_bfc1_a8a583a087a8_0"/>
      <w:r>
        <w:t>Subdivision 3—Polling by secret ballot</w:t>
      </w:r>
      <w:bookmarkEnd w:id="126"/>
    </w:p>
    <w:p w:rsidR="0065609F" w:rsidRDefault="0065609F" w:rsidP="00762261">
      <w:pPr>
        <w:pStyle w:val="clauseheadlevel4"/>
      </w:pPr>
      <w:r>
        <w:t>21—Ballot papers</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A ballot paper must—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state the election to which it relates;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set out the name of each candidate in alphabetical order;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state the manner of voting.</w:t>
      </w:r>
    </w:p>
    <w:p w:rsidR="0065609F" w:rsidRDefault="0065609F" w:rsidP="00762261">
      <w:pPr>
        <w:pStyle w:val="clauseheadlevel4"/>
      </w:pPr>
      <w:bookmarkStart w:id="127" w:name="Elkera_Print_TOC39"/>
      <w:bookmarkStart w:id="128" w:name="idf0fafaf5_9d68_4d13_b1e6_16b63dde2358_4"/>
      <w:r>
        <w:t>22—Distribution of ballot papers</w:t>
      </w:r>
      <w:bookmarkEnd w:id="127"/>
      <w:bookmarkEnd w:id="128"/>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129" w:name="idd03bd2d0_8139_47d5_b211_7a6f70804e5d_c"/>
      <w:r>
        <w:rPr>
          <w:color w:val="000000"/>
          <w:sz w:val="23"/>
          <w:szCs w:val="23"/>
        </w:rPr>
        <w:tab/>
        <w:t>(1)</w:t>
      </w:r>
      <w:r>
        <w:rPr>
          <w:color w:val="000000"/>
          <w:sz w:val="23"/>
          <w:szCs w:val="23"/>
        </w:rPr>
        <w:tab/>
        <w:t>As soon as practicable before the close of a poll by secret ballot, the returning officer for an election must give to each voter—</w:t>
      </w:r>
      <w:bookmarkEnd w:id="129"/>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ballot paper that is initialled by the returning officer;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130" w:name="id59903331_e67c_4932_bff4_1a40fbdd5f01_6"/>
      <w:r>
        <w:rPr>
          <w:color w:val="000000"/>
          <w:sz w:val="23"/>
          <w:szCs w:val="23"/>
        </w:rPr>
        <w:tab/>
        <w:t>(b)</w:t>
      </w:r>
      <w:r>
        <w:rPr>
          <w:color w:val="000000"/>
          <w:sz w:val="23"/>
          <w:szCs w:val="23"/>
        </w:rPr>
        <w:tab/>
        <w:t>an envelope that—</w:t>
      </w:r>
      <w:bookmarkEnd w:id="130"/>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is addressed to the returning officer;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shows on its face that it relates to the election.</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envelope given to a voter by a returning officer—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may be pre</w:t>
      </w:r>
      <w:r>
        <w:rPr>
          <w:color w:val="000000"/>
          <w:sz w:val="23"/>
          <w:szCs w:val="23"/>
        </w:rPr>
        <w:noBreakHyphen/>
        <w:t>paid as to postage;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in that case—may include on its face a statement by the returning officer that the envelope may be posted to the returning officer without expense to the voter.</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The returning officer must ensure that the ballot paper and envelope are enclosed in a covering envelope that is sealed and addressed to the voter.</w:t>
      </w:r>
    </w:p>
    <w:p w:rsidR="0065609F" w:rsidRDefault="0065609F" w:rsidP="00762261">
      <w:pPr>
        <w:pStyle w:val="clauseheadlevel4"/>
      </w:pPr>
      <w:bookmarkStart w:id="131" w:name="Elkera_Print_TOC40"/>
      <w:bookmarkStart w:id="132" w:name="Elkera_Print_BK40"/>
      <w:r>
        <w:t>23—Manner of voting by secret ballot</w:t>
      </w:r>
      <w:bookmarkEnd w:id="131"/>
      <w:bookmarkEnd w:id="132"/>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 voter in a poll by secret ballot must mark the ballot paper to indicate their preference by placing the number 1 in the box printed opposite the name of the candidate for whom that person wishes to vote.</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After marking the ballot paper, the voter must—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fold the ballot paper so as to conceal the marking;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put the ballot paper in the envelope referred to in </w:t>
      </w:r>
      <w:hyperlink w:anchor="id59903331_e67c_4932_bff4_1a40fbdd5f01_6" w:history="1">
        <w:r>
          <w:rPr>
            <w:color w:val="000000"/>
            <w:sz w:val="23"/>
            <w:szCs w:val="23"/>
          </w:rPr>
          <w:t>regulation 22(1)(b)</w:t>
        </w:r>
      </w:hyperlink>
      <w:r>
        <w:rPr>
          <w:color w:val="000000"/>
          <w:sz w:val="23"/>
          <w:szCs w:val="23"/>
        </w:rPr>
        <w:t xml:space="preserve"> and seal the envelope;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lodge the ballot by—</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putting the envelope containing the ballot paper in a locked and sealed ballot box, provided for the election by the returning officer, in a secure part of the workplace where the members of the workforce in the designated work group to which the election relates may place envelopes of that kind; or</w:t>
      </w:r>
    </w:p>
    <w:p w:rsidR="004C21DF" w:rsidRDefault="004C21DF" w:rsidP="00762261">
      <w:pPr>
        <w:spacing w:after="0" w:line="240" w:lineRule="auto"/>
        <w:jc w:val="left"/>
        <w:rPr>
          <w:color w:val="000000"/>
          <w:sz w:val="23"/>
          <w:szCs w:val="23"/>
        </w:rPr>
      </w:pPr>
      <w:r>
        <w:rPr>
          <w:color w:val="000000"/>
          <w:sz w:val="23"/>
          <w:szCs w:val="23"/>
        </w:rPr>
        <w:br w:type="page"/>
      </w:r>
    </w:p>
    <w:p w:rsidR="004C21DF" w:rsidRDefault="004C21DF" w:rsidP="00762261">
      <w:pPr>
        <w:pStyle w:val="RegSpace"/>
        <w:jc w:val="left"/>
      </w:pP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sending the envelope to the returning officer so as to reach them not later than the close of the poll.</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If, before lodging their ballot, a voter—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claims that they have spoilt their ballot paper;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returns the ballot paper to the returning officer;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requests a further ballot paper,</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the returning officer must—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give the voter a fresh ballot paper;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write the word "spoilt" across the returned ballot paper and sign and date the writing;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(f)</w:t>
      </w:r>
      <w:r>
        <w:rPr>
          <w:color w:val="000000"/>
          <w:sz w:val="23"/>
          <w:szCs w:val="23"/>
        </w:rPr>
        <w:tab/>
        <w:t xml:space="preserve">retain the spoilt ballot paper until the end of 6 months after notification of the result of the poll is given under </w:t>
      </w:r>
      <w:hyperlink w:anchor="id36ea39e8_577b_4644_a7ac_3225e2d2dd60_4" w:history="1">
        <w:r>
          <w:rPr>
            <w:color w:val="000000"/>
            <w:sz w:val="23"/>
            <w:szCs w:val="23"/>
          </w:rPr>
          <w:t>regulation 34</w:t>
        </w:r>
      </w:hyperlink>
      <w:r>
        <w:rPr>
          <w:color w:val="000000"/>
          <w:sz w:val="23"/>
          <w:szCs w:val="23"/>
        </w:rPr>
        <w:t>.</w:t>
      </w:r>
    </w:p>
    <w:p w:rsidR="0065609F" w:rsidRDefault="0065609F" w:rsidP="00762261">
      <w:pPr>
        <w:pStyle w:val="subdivisionheadlevel3"/>
      </w:pPr>
      <w:bookmarkStart w:id="133" w:name="Elkera_Print_TOC42"/>
      <w:bookmarkStart w:id="134" w:name="idbec723ad_f684_4bb9_bb31_84b6756060"/>
      <w:r>
        <w:t>Subdivision 4—The count</w:t>
      </w:r>
      <w:bookmarkEnd w:id="133"/>
      <w:bookmarkEnd w:id="134"/>
    </w:p>
    <w:p w:rsidR="0065609F" w:rsidRDefault="0065609F" w:rsidP="00762261">
      <w:pPr>
        <w:pStyle w:val="clauseheadlevel4"/>
      </w:pPr>
      <w:bookmarkStart w:id="135" w:name="Elkera_Print_TOC43"/>
      <w:bookmarkStart w:id="136" w:name="Elkera_Print_BK43"/>
      <w:r>
        <w:t>24—Envelopes given to returning officer</w:t>
      </w:r>
      <w:bookmarkEnd w:id="135"/>
      <w:bookmarkEnd w:id="136"/>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 returning officer for an election must—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keep the ballots received by them before the close of the poll secure;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keep the envelopes containing the ballot papers unopened until the count.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returning officer must not admit to the count ballot papers received after the close of the poll.</w:t>
      </w:r>
    </w:p>
    <w:p w:rsidR="0065609F" w:rsidRDefault="0065609F" w:rsidP="00762261">
      <w:pPr>
        <w:pStyle w:val="clauseheadlevel4"/>
      </w:pPr>
      <w:bookmarkStart w:id="137" w:name="Elkera_Print_TOC45"/>
      <w:bookmarkStart w:id="138" w:name="id4005f574_559c_437e_92ba_42317be457bb_6"/>
      <w:r>
        <w:t>25—Scrutineers</w:t>
      </w:r>
      <w:bookmarkEnd w:id="137"/>
      <w:bookmarkEnd w:id="138"/>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Each candidate in a poll conducted by secret ballot may appoint 1 scrutineer to represent the candidate at the count.</w:t>
      </w:r>
    </w:p>
    <w:p w:rsidR="0065609F" w:rsidRDefault="0065609F" w:rsidP="00762261">
      <w:pPr>
        <w:pStyle w:val="clauseheadlevel4"/>
      </w:pPr>
      <w:bookmarkStart w:id="139" w:name="Elkera_Print_TOC46"/>
      <w:bookmarkStart w:id="140" w:name="Elkera_Print_BK46"/>
      <w:r>
        <w:t>26—Returning officer to be advised of scrutineers</w:t>
      </w:r>
      <w:bookmarkEnd w:id="139"/>
      <w:bookmarkEnd w:id="140"/>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A candidate must tell the returning officer for the election the name of their scrutineer (if any) before the commencement of the count.</w:t>
      </w:r>
    </w:p>
    <w:p w:rsidR="0065609F" w:rsidRDefault="0065609F" w:rsidP="00762261">
      <w:pPr>
        <w:pStyle w:val="clauseheadlevel4"/>
      </w:pPr>
      <w:bookmarkStart w:id="141" w:name="Elkera_Print_TOC47"/>
      <w:bookmarkStart w:id="142" w:name="Elkera_Print_BK47"/>
      <w:r>
        <w:t>27—Persons present at the count</w:t>
      </w:r>
      <w:bookmarkEnd w:id="141"/>
      <w:bookmarkEnd w:id="142"/>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143" w:name="id5a63926b_a269_48e5_ba61_da284471f407_b"/>
      <w:r>
        <w:rPr>
          <w:color w:val="000000"/>
          <w:sz w:val="23"/>
          <w:szCs w:val="23"/>
        </w:rPr>
        <w:tab/>
        <w:t>(1)</w:t>
      </w:r>
      <w:r>
        <w:rPr>
          <w:color w:val="000000"/>
          <w:sz w:val="23"/>
          <w:szCs w:val="23"/>
        </w:rPr>
        <w:tab/>
        <w:t>The returning officer for an election may direct a person to leave the place where the count is being conducted if the person—</w:t>
      </w:r>
      <w:bookmarkEnd w:id="143"/>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is not entitled to be present, or to remain present, at the count;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being entitled to be present, interrupts the count, except as provided by </w:t>
      </w:r>
      <w:hyperlink w:anchor="id4e0cfb8d_aeda_428b_8c10_4fad7ec4ba1c_9" w:history="1">
        <w:r>
          <w:rPr>
            <w:color w:val="000000"/>
            <w:sz w:val="23"/>
            <w:szCs w:val="23"/>
          </w:rPr>
          <w:t>subregulation (2)</w:t>
        </w:r>
      </w:hyperlink>
      <w:r>
        <w:rPr>
          <w:color w:val="000000"/>
          <w:sz w:val="23"/>
          <w:szCs w:val="23"/>
        </w:rPr>
        <w: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144" w:name="id4e0cfb8d_aeda_428b_8c10_4fad7ec4ba1c_9"/>
      <w:r>
        <w:rPr>
          <w:color w:val="000000"/>
          <w:sz w:val="23"/>
          <w:szCs w:val="23"/>
        </w:rPr>
        <w:tab/>
        <w:t>(2)</w:t>
      </w:r>
      <w:r>
        <w:rPr>
          <w:color w:val="000000"/>
          <w:sz w:val="23"/>
          <w:szCs w:val="23"/>
        </w:rPr>
        <w:tab/>
        <w:t>A candidate's scrutineer may interrupt the count and so inform the returning officer if the scrutineer—</w:t>
      </w:r>
      <w:bookmarkEnd w:id="144"/>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objects to a decision by the returning officer that a ballot paper is formal or informal, as the case may be;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considers that an error has been made in the conduct of the count.</w:t>
      </w:r>
    </w:p>
    <w:p w:rsidR="001D61F3" w:rsidRDefault="001D61F3" w:rsidP="00762261">
      <w:pPr>
        <w:spacing w:after="0" w:line="240" w:lineRule="auto"/>
        <w:jc w:val="left"/>
        <w:rPr>
          <w:color w:val="000000"/>
          <w:sz w:val="23"/>
          <w:szCs w:val="23"/>
        </w:rPr>
      </w:pPr>
      <w:bookmarkStart w:id="145" w:name="id76227a79_21f0_461c_918e_858330288e86_0"/>
      <w:r>
        <w:rPr>
          <w:color w:val="000000"/>
          <w:sz w:val="23"/>
          <w:szCs w:val="23"/>
        </w:rPr>
        <w:br w:type="page"/>
      </w:r>
    </w:p>
    <w:p w:rsidR="001D61F3" w:rsidRDefault="001D61F3" w:rsidP="00762261">
      <w:pPr>
        <w:pStyle w:val="RegSpace"/>
        <w:jc w:val="left"/>
      </w:pP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A person who does not comply with a direction given to them under </w:t>
      </w:r>
      <w:hyperlink w:anchor="id5a63926b_a269_48e5_ba61_da284471f407_b" w:history="1">
        <w:r>
          <w:rPr>
            <w:color w:val="000000"/>
            <w:sz w:val="23"/>
            <w:szCs w:val="23"/>
          </w:rPr>
          <w:t>subregulation (1)</w:t>
        </w:r>
      </w:hyperlink>
      <w:r>
        <w:rPr>
          <w:color w:val="000000"/>
          <w:sz w:val="23"/>
          <w:szCs w:val="23"/>
        </w:rPr>
        <w:t xml:space="preserve"> is guilty of an offence.</w:t>
      </w:r>
      <w:bookmarkEnd w:id="145"/>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$550.</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 xml:space="preserve">However, it is a defence to a prosecution for an offence against </w:t>
      </w:r>
      <w:hyperlink w:anchor="id76227a79_21f0_461c_918e_858330288e86_0" w:history="1">
        <w:r>
          <w:rPr>
            <w:color w:val="000000"/>
            <w:sz w:val="23"/>
            <w:szCs w:val="23"/>
          </w:rPr>
          <w:t>subregulation (3)</w:t>
        </w:r>
      </w:hyperlink>
      <w:r>
        <w:rPr>
          <w:color w:val="000000"/>
          <w:sz w:val="23"/>
          <w:szCs w:val="23"/>
        </w:rPr>
        <w:t xml:space="preserve"> if the person has a reasonable excuse.</w:t>
      </w:r>
    </w:p>
    <w:p w:rsidR="0065609F" w:rsidRDefault="0065609F" w:rsidP="00762261">
      <w:pPr>
        <w:pStyle w:val="clauseheadlevel4"/>
      </w:pPr>
      <w:bookmarkStart w:id="146" w:name="Elkera_Print_TOC49"/>
      <w:bookmarkStart w:id="147" w:name="idea7333d4_9756_41a4_9ff5_a1d3367c68ea_e"/>
      <w:r>
        <w:t>28—Conduct of the count</w:t>
      </w:r>
      <w:bookmarkEnd w:id="146"/>
      <w:bookmarkEnd w:id="147"/>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As soon as practicable after the close of the poll, the returning officer must count the votes for each candidate.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 scrutineer, appointed under </w:t>
      </w:r>
      <w:hyperlink w:anchor="id4005f574_559c_437e_92ba_42317be457bb_6" w:history="1">
        <w:r>
          <w:rPr>
            <w:color w:val="000000"/>
            <w:sz w:val="23"/>
            <w:szCs w:val="23"/>
          </w:rPr>
          <w:t>regulation 25</w:t>
        </w:r>
      </w:hyperlink>
      <w:r>
        <w:rPr>
          <w:color w:val="000000"/>
          <w:sz w:val="23"/>
          <w:szCs w:val="23"/>
        </w:rPr>
        <w:t>, may be present at the count.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A returning officer must, as soon as practicable before the count, notify each candidate, or a scrutineer of each candidate, of the place where, and the time when, the count is to occur.</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The candidate who receives the most votes is the successful candidate.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148" w:name="idf1cd101a_e3f4_4508_ac15_1fa75a253b02_a"/>
      <w:r>
        <w:rPr>
          <w:color w:val="000000"/>
          <w:sz w:val="23"/>
          <w:szCs w:val="23"/>
        </w:rPr>
        <w:tab/>
        <w:t>(5)</w:t>
      </w:r>
      <w:r>
        <w:rPr>
          <w:color w:val="000000"/>
          <w:sz w:val="23"/>
          <w:szCs w:val="23"/>
        </w:rPr>
        <w:tab/>
        <w:t>If 2 or more candidates receive the same number of votes, the successful candidate is to be determined by lots drawn by the returning officer.</w:t>
      </w:r>
      <w:bookmarkEnd w:id="148"/>
    </w:p>
    <w:p w:rsidR="0065609F" w:rsidRDefault="0065609F" w:rsidP="00762261">
      <w:pPr>
        <w:pStyle w:val="clauseheadlevel4"/>
      </w:pPr>
      <w:bookmarkStart w:id="149" w:name="Elkera_Print_TOC50"/>
      <w:bookmarkStart w:id="150" w:name="Elkera_Print_BK50"/>
      <w:r>
        <w:t>29—Informal ballot papers</w:t>
      </w:r>
      <w:bookmarkEnd w:id="149"/>
      <w:bookmarkEnd w:id="150"/>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A ballot paper is informal if—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it is not initialled by the returning officer;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it has no vote marked on it;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it is so imperfectly marked that the intention of the person who marked the ballot paper is not clear;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it has any mark or writing on it by which the person who marked the ballot paper can be identified.</w:t>
      </w:r>
    </w:p>
    <w:p w:rsidR="0065609F" w:rsidRDefault="0065609F" w:rsidP="00762261">
      <w:pPr>
        <w:pStyle w:val="clauseheadlevel4"/>
      </w:pPr>
      <w:bookmarkStart w:id="151" w:name="Elkera_Print_TOC52"/>
      <w:bookmarkStart w:id="152" w:name="id8ad7d699_ac4c_4754_9e06_0954f9341ee1_5"/>
      <w:r>
        <w:t>30—Completion of the count</w:t>
      </w:r>
      <w:bookmarkEnd w:id="151"/>
      <w:bookmarkEnd w:id="152"/>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After the count conducted in respect of a poll has been completed, the returning officer must prepare, date and sign a statement setting out—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number of valid votes given to each candidate;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number of informal ballot papers.</w:t>
      </w:r>
    </w:p>
    <w:p w:rsidR="0065609F" w:rsidRDefault="0065609F" w:rsidP="00762261">
      <w:pPr>
        <w:pStyle w:val="clauseheadlevel4"/>
      </w:pPr>
      <w:bookmarkStart w:id="153" w:name="Elkera_Print_TOC53"/>
      <w:bookmarkStart w:id="154" w:name="Elkera_Print_BK53"/>
      <w:r>
        <w:t>31—Destruction of election material</w:t>
      </w:r>
      <w:bookmarkEnd w:id="153"/>
      <w:bookmarkEnd w:id="154"/>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At the end of 6 months after notification of the result of the poll for an election is given under </w:t>
      </w:r>
      <w:hyperlink w:anchor="id36ea39e8_577b_4644_a7ac_3225e2d2dd60_4" w:history="1">
        <w:r>
          <w:rPr>
            <w:color w:val="000000"/>
            <w:sz w:val="23"/>
            <w:szCs w:val="23"/>
          </w:rPr>
          <w:t>regulation 34</w:t>
        </w:r>
      </w:hyperlink>
      <w:r>
        <w:rPr>
          <w:color w:val="000000"/>
          <w:sz w:val="23"/>
          <w:szCs w:val="23"/>
        </w:rPr>
        <w:t xml:space="preserve"> the returning officer may destroy—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nominations for that election;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ballot papers, including any spoilt ballot papers, for the election.</w:t>
      </w:r>
    </w:p>
    <w:p w:rsidR="005E24E5" w:rsidRDefault="005E24E5" w:rsidP="00762261">
      <w:pPr>
        <w:spacing w:after="0" w:line="240" w:lineRule="auto"/>
        <w:jc w:val="left"/>
        <w:rPr>
          <w:rFonts w:eastAsia="Times New Roman"/>
          <w:b/>
          <w:bCs/>
          <w:color w:val="000000"/>
          <w:sz w:val="26"/>
          <w:szCs w:val="26"/>
          <w:lang w:eastAsia="en-AU"/>
        </w:rPr>
      </w:pPr>
      <w:bookmarkStart w:id="155" w:name="Elkera_Print_TOC55"/>
      <w:bookmarkStart w:id="156" w:name="id1af552ae_3561_48b3_8d0b_2f2833429a"/>
      <w:r>
        <w:br w:type="page"/>
      </w:r>
    </w:p>
    <w:p w:rsidR="005E24E5" w:rsidRDefault="005E24E5" w:rsidP="00762261">
      <w:pPr>
        <w:pStyle w:val="RegSpace"/>
        <w:jc w:val="left"/>
      </w:pPr>
    </w:p>
    <w:p w:rsidR="0065609F" w:rsidRDefault="0065609F" w:rsidP="00762261">
      <w:pPr>
        <w:pStyle w:val="subdivisionheadlevel3"/>
      </w:pPr>
      <w:r>
        <w:t>Subdivision 5—Result of election</w:t>
      </w:r>
      <w:bookmarkEnd w:id="155"/>
      <w:bookmarkEnd w:id="156"/>
    </w:p>
    <w:p w:rsidR="0065609F" w:rsidRDefault="0065609F" w:rsidP="00762261">
      <w:pPr>
        <w:pStyle w:val="clauseheadlevel4"/>
      </w:pPr>
      <w:bookmarkStart w:id="157" w:name="Elkera_Print_TOC56"/>
      <w:bookmarkStart w:id="158" w:name="Elkera_Print_BK56"/>
      <w:r>
        <w:t>32—Request for recount</w:t>
      </w:r>
      <w:bookmarkEnd w:id="157"/>
      <w:bookmarkEnd w:id="158"/>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At any time before notification of the result of the poll for an election is given under </w:t>
      </w:r>
      <w:hyperlink w:anchor="id36ea39e8_577b_4644_a7ac_3225e2d2dd60_4" w:history="1">
        <w:r>
          <w:rPr>
            <w:color w:val="000000"/>
            <w:sz w:val="23"/>
            <w:szCs w:val="23"/>
          </w:rPr>
          <w:t>regulation 34</w:t>
        </w:r>
      </w:hyperlink>
      <w:r>
        <w:rPr>
          <w:color w:val="000000"/>
          <w:sz w:val="23"/>
          <w:szCs w:val="23"/>
        </w:rPr>
        <w:t>, the returning officer—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on their own initiative—may conduct a recount of any ballot papers received in the election;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if a candidate makes a request, either orally or in writing, for a recount of any ballot papers received in the election and gives reasons for the request—must conduct a recount of the ballot papers.</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In conducting a recount, the returning officer—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in the case of a poll by secret ballot—has the same powers for the purposes of the recount as they had in the count;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in any other case—may make any reasonable decision in respect of the allowance and admission, or disallowance and rejection, of a vote cast in the poll.</w:t>
      </w:r>
    </w:p>
    <w:p w:rsidR="0065609F" w:rsidRDefault="0065609F" w:rsidP="00762261">
      <w:pPr>
        <w:pStyle w:val="clauseheadlevel4"/>
      </w:pPr>
      <w:bookmarkStart w:id="159" w:name="Elkera_Print_TOC57"/>
      <w:bookmarkStart w:id="160" w:name="Elkera_Print_BK57"/>
      <w:r>
        <w:t>33—Irregularities at election</w:t>
      </w:r>
      <w:bookmarkEnd w:id="159"/>
      <w:bookmarkEnd w:id="160"/>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Subject to </w:t>
      </w:r>
      <w:hyperlink w:anchor="ide18c5f13_b3a1_47a3_8067_df80f82e38a0_0" w:history="1">
        <w:r>
          <w:rPr>
            <w:color w:val="000000"/>
            <w:sz w:val="23"/>
            <w:szCs w:val="23"/>
          </w:rPr>
          <w:t>subregulation (2)</w:t>
        </w:r>
      </w:hyperlink>
      <w:r>
        <w:rPr>
          <w:color w:val="000000"/>
          <w:sz w:val="23"/>
          <w:szCs w:val="23"/>
        </w:rPr>
        <w:t xml:space="preserve">, if the returning officer has reasonable grounds to believe that there has been an irregularity in the conduct of an election, the returning officer may, at any time before notification of the result of the poll is given under </w:t>
      </w:r>
      <w:hyperlink w:anchor="id36ea39e8_577b_4644_a7ac_3225e2d2dd60_4" w:history="1">
        <w:r>
          <w:rPr>
            <w:color w:val="000000"/>
            <w:sz w:val="23"/>
            <w:szCs w:val="23"/>
          </w:rPr>
          <w:t>regulation 34</w:t>
        </w:r>
      </w:hyperlink>
      <w:r>
        <w:rPr>
          <w:color w:val="000000"/>
          <w:sz w:val="23"/>
          <w:szCs w:val="23"/>
        </w:rPr>
        <w:t>, declare the election to be void.</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161" w:name="ide18c5f13_b3a1_47a3_8067_df80f82e38a0_0"/>
      <w:r>
        <w:rPr>
          <w:color w:val="000000"/>
          <w:sz w:val="23"/>
          <w:szCs w:val="23"/>
        </w:rPr>
        <w:tab/>
        <w:t>(2)</w:t>
      </w:r>
      <w:r>
        <w:rPr>
          <w:color w:val="000000"/>
          <w:sz w:val="23"/>
          <w:szCs w:val="23"/>
        </w:rPr>
        <w:tab/>
        <w:t>An election must not be declared to be void only because of—</w:t>
      </w:r>
      <w:bookmarkEnd w:id="161"/>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defect or irregularity in the conduct of the election that did not affect the result of the election;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an error or defect in an instrument or other document made, or purporting to be made, for the purposes of this Division;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an illegal practice, other than bribery or corruption, or attempted bribery or corruption, having been engaged in by a person, unless—</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it is likely that the result of the election was affected by the practice;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it is just that the election be declared void.</w:t>
      </w:r>
    </w:p>
    <w:p w:rsidR="0003610B" w:rsidRPr="00F5321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If an election is declared void, </w:t>
      </w:r>
      <w:hyperlink w:anchor="id36ea39e8_577b_4644_a7ac_3225e2d2dd60_4" w:history="1">
        <w:r>
          <w:rPr>
            <w:color w:val="000000"/>
            <w:sz w:val="23"/>
            <w:szCs w:val="23"/>
          </w:rPr>
          <w:t>regulation 34</w:t>
        </w:r>
      </w:hyperlink>
      <w:r>
        <w:rPr>
          <w:color w:val="000000"/>
          <w:sz w:val="23"/>
          <w:szCs w:val="23"/>
        </w:rPr>
        <w:t xml:space="preserve"> applies as if the election had failed.</w:t>
      </w:r>
      <w:bookmarkStart w:id="162" w:name="Elkera_Print_TOC59"/>
      <w:bookmarkStart w:id="163" w:name="id36ea39e8_577b_4644_a7ac_3225e2d2dd60_4"/>
    </w:p>
    <w:p w:rsidR="0065609F" w:rsidRDefault="0065609F" w:rsidP="00762261">
      <w:pPr>
        <w:pStyle w:val="clauseheadlevel4"/>
      </w:pPr>
      <w:r>
        <w:t>34—Result of poll</w:t>
      </w:r>
      <w:bookmarkEnd w:id="162"/>
      <w:bookmarkEnd w:id="163"/>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As soon as practicable after the failure of an election, a returning officer must notify in writing—</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operator of the facility to which the election relates;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Safety Authority,</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of the failure of the election.</w:t>
      </w:r>
    </w:p>
    <w:p w:rsidR="00915738" w:rsidRDefault="00915738" w:rsidP="00762261">
      <w:pPr>
        <w:spacing w:after="0" w:line="240" w:lineRule="auto"/>
        <w:jc w:val="left"/>
        <w:rPr>
          <w:color w:val="000000"/>
          <w:sz w:val="23"/>
          <w:szCs w:val="23"/>
        </w:rPr>
      </w:pPr>
      <w:r>
        <w:rPr>
          <w:color w:val="000000"/>
          <w:sz w:val="23"/>
          <w:szCs w:val="23"/>
        </w:rPr>
        <w:br w:type="page"/>
      </w:r>
    </w:p>
    <w:p w:rsidR="00915738" w:rsidRDefault="00915738" w:rsidP="00762261">
      <w:pPr>
        <w:pStyle w:val="RegSpace"/>
        <w:jc w:val="left"/>
      </w:pP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As soon as practicable after the close of the poll for an election that has not failed, the returning officer must notify in writing the candidate who is elected and enclose with the notification a copy of the statement prepared under </w:t>
      </w:r>
      <w:hyperlink w:anchor="id8ad7d699_ac4c_4754_9e06_0954f9341ee1_5" w:history="1">
        <w:r>
          <w:rPr>
            <w:color w:val="000000"/>
            <w:sz w:val="23"/>
            <w:szCs w:val="23"/>
          </w:rPr>
          <w:t>regulation 30</w:t>
        </w:r>
      </w:hyperlink>
      <w:r>
        <w:rPr>
          <w:color w:val="000000"/>
          <w:sz w:val="23"/>
          <w:szCs w:val="23"/>
        </w:rPr>
        <w:t>.</w:t>
      </w:r>
    </w:p>
    <w:p w:rsidR="0065609F" w:rsidRDefault="0065609F" w:rsidP="00762261">
      <w:pPr>
        <w:pStyle w:val="divisionheadlevel2"/>
      </w:pPr>
      <w:bookmarkStart w:id="164" w:name="Elkera_Print_TOC60"/>
      <w:bookmarkStart w:id="165" w:name="Elkera_Print_BK60"/>
      <w:r>
        <w:t>Division 4—Advice, investigations and inquiries</w:t>
      </w:r>
      <w:bookmarkEnd w:id="164"/>
      <w:bookmarkEnd w:id="165"/>
    </w:p>
    <w:p w:rsidR="0065609F" w:rsidRDefault="0065609F" w:rsidP="00762261">
      <w:pPr>
        <w:pStyle w:val="clauseheadlevel3"/>
      </w:pPr>
      <w:bookmarkStart w:id="166" w:name="Elkera_Print_TOC62"/>
      <w:bookmarkStart w:id="167" w:name="idb183a7c2_5fa0_460c_acad_b0a32d95240b_9"/>
      <w:r>
        <w:t>35—Taking samples for testing etc</w:t>
      </w:r>
      <w:bookmarkEnd w:id="166"/>
      <w:bookmarkEnd w:id="167"/>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If a sample of a substance or thing taken under clause 57(1) of Schedule 7 of the Act is safely and practicably divisible, the OHS inspector who has taken the sample must—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divide the sample into 3 parts;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put each part into a container and seal and label the container appropriately;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give one part to the operator or the employer for whom the substance or thing was being used;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provide another part for inspection, examination, measuring or testing for the purposes of Schedule 7 of the Act;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retain the remaining part for any further inspection, examination, measuring or testing that is required.</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If a sample of a substance or thing taken under clause 57(1) of Schedule 7 of the Act is not safely and practicably divisible, the OHS inspector who has taken the sample must provide the whole sample for inspection, examination, measuring or testing for the purposes of that Schedule.</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An OHS inspector who, under clause 57(1) of Schedule 7 of the Act—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has taken possession of any plant, substance or thing;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has taken a sample of a substance or thing,</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and removed the plant, substance or thing or the sample from the workplace must take all reasonable steps to ensure that, while in their possession or control—</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plant, substance or thing is not damaged;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 sample is not contaminated.</w:t>
      </w:r>
    </w:p>
    <w:p w:rsidR="0065609F" w:rsidRDefault="0065609F" w:rsidP="00762261">
      <w:pPr>
        <w:pStyle w:val="clauseheadlevel3"/>
      </w:pPr>
      <w:bookmarkStart w:id="168" w:name="Elkera_Print_TOC63"/>
      <w:bookmarkStart w:id="169" w:name="Elkera_Print_BK63"/>
      <w:r>
        <w:t>36—Form of certain notices</w:t>
      </w:r>
      <w:bookmarkEnd w:id="168"/>
      <w:bookmarkEnd w:id="169"/>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A notice issued by an elected health and safety representative or OHS inspector under a following provision of Schedule 7 of the Act must be in accordance with the form in </w:t>
      </w:r>
      <w:hyperlink w:anchor="id49d69573_10c5_44e2_8c2d_13fb805962" w:history="1">
        <w:r>
          <w:rPr>
            <w:color w:val="000000"/>
            <w:sz w:val="23"/>
            <w:szCs w:val="23"/>
          </w:rPr>
          <w:t>Schedule 2</w:t>
        </w:r>
      </w:hyperlink>
      <w:r>
        <w:rPr>
          <w:color w:val="000000"/>
          <w:sz w:val="23"/>
          <w:szCs w:val="23"/>
        </w:rPr>
        <w:t xml:space="preserve"> of these regulations specified in relation to the provision concerned: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clause 37(2)—Form 1;</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clause 57(1)—Form 2;</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clause 58(1)—Form 3;</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clause 59(1)—Form 4;</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clause 61(1)—Form 5.</w:t>
      </w:r>
    </w:p>
    <w:p w:rsidR="00585581" w:rsidRDefault="00585581" w:rsidP="00762261">
      <w:pPr>
        <w:spacing w:after="0" w:line="240" w:lineRule="auto"/>
        <w:jc w:val="left"/>
        <w:rPr>
          <w:rFonts w:eastAsia="Times New Roman"/>
          <w:b/>
          <w:bCs/>
          <w:color w:val="000000"/>
          <w:sz w:val="28"/>
          <w:szCs w:val="28"/>
          <w:lang w:eastAsia="en-AU"/>
        </w:rPr>
      </w:pPr>
      <w:bookmarkStart w:id="170" w:name="Elkera_Print_TOC64"/>
      <w:bookmarkStart w:id="171" w:name="Elkera_Print_BK64"/>
      <w:r>
        <w:br w:type="page"/>
      </w:r>
    </w:p>
    <w:p w:rsidR="00585581" w:rsidRDefault="00585581" w:rsidP="00762261">
      <w:pPr>
        <w:pStyle w:val="RegSpace"/>
        <w:jc w:val="left"/>
      </w:pPr>
    </w:p>
    <w:p w:rsidR="0065609F" w:rsidRDefault="0065609F" w:rsidP="00762261">
      <w:pPr>
        <w:pStyle w:val="divisionheadlevel2"/>
      </w:pPr>
      <w:r>
        <w:t>Division 5—Exemptions from the requirements in Part 3 of Schedule 7 of the Act</w:t>
      </w:r>
      <w:bookmarkEnd w:id="170"/>
      <w:bookmarkEnd w:id="171"/>
    </w:p>
    <w:p w:rsidR="0065609F" w:rsidRDefault="0065609F" w:rsidP="00762261">
      <w:pPr>
        <w:pStyle w:val="clauseheadlevel3"/>
      </w:pPr>
      <w:bookmarkStart w:id="172" w:name="Elkera_Print_TOC65"/>
      <w:bookmarkStart w:id="173" w:name="Elkera_Print_BK65"/>
      <w:r>
        <w:t>37—Orders under clause 45 of Schedule 7 of the Act</w:t>
      </w:r>
      <w:bookmarkEnd w:id="172"/>
      <w:bookmarkEnd w:id="173"/>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For the purposes of clause 45(1) of Schedule 7 of the Act, a person may apply in writing to the Safety Authority for an order exempting the person from 1 or more of the provisions of Part 3 of that Schedule.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Within 28 days after the Safety Authority receives an application, the Safety Authority must decide whether or not to make the order.</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In making the decision, the Safety Authority must—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consult with persons who might be affected by the decision to grant or refuse an exemption;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take into account submissions made by those persons.</w:t>
      </w:r>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Examples—</w:t>
      </w:r>
    </w:p>
    <w:p w:rsidR="0065609F" w:rsidRDefault="0065609F" w:rsidP="00762261">
      <w:pPr>
        <w:keepLines/>
        <w:tabs>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1</w:t>
      </w:r>
      <w:r>
        <w:rPr>
          <w:color w:val="000000"/>
          <w:sz w:val="20"/>
          <w:szCs w:val="20"/>
        </w:rPr>
        <w:tab/>
        <w:t>If an operator applies for an exemption, a health and safety representative might be an affected person.</w:t>
      </w:r>
    </w:p>
    <w:p w:rsidR="0065609F" w:rsidRDefault="0065609F" w:rsidP="00762261">
      <w:pPr>
        <w:keepLines/>
        <w:tabs>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2</w:t>
      </w:r>
      <w:r>
        <w:rPr>
          <w:color w:val="000000"/>
          <w:sz w:val="20"/>
          <w:szCs w:val="20"/>
        </w:rPr>
        <w:tab/>
        <w:t>If a health and safety representative applies for an exemption, an operator might be an affected person.</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In granting an exemption, the Safety Authority—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may grant an exemption subject to conditions;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may specify a period of time in which an exemption applies.</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(5)</w:t>
      </w:r>
      <w:r>
        <w:rPr>
          <w:color w:val="000000"/>
          <w:sz w:val="23"/>
          <w:szCs w:val="23"/>
        </w:rPr>
        <w:tab/>
        <w:t>The Safety Authority must give reasons for the decision.</w:t>
      </w:r>
    </w:p>
    <w:p w:rsidR="0065609F" w:rsidRDefault="0065609F" w:rsidP="00762261">
      <w:pPr>
        <w:pStyle w:val="divisionheadlevel2"/>
      </w:pPr>
      <w:bookmarkStart w:id="174" w:name="Elkera_Print_TOC66"/>
      <w:bookmarkStart w:id="175" w:name="Elkera_Print_BK66"/>
      <w:r>
        <w:t>Division 6—State laws that do not apply</w:t>
      </w:r>
      <w:bookmarkEnd w:id="174"/>
      <w:bookmarkEnd w:id="175"/>
    </w:p>
    <w:p w:rsidR="0065609F" w:rsidRDefault="0065609F" w:rsidP="00762261">
      <w:pPr>
        <w:pStyle w:val="clauseheadlevel3"/>
      </w:pPr>
      <w:bookmarkStart w:id="176" w:name="Elkera_Print_TOC67"/>
      <w:bookmarkStart w:id="177" w:name="Elkera_Print_BK67"/>
      <w:r>
        <w:t>38—Prescribed occupational health and safety laws</w:t>
      </w:r>
      <w:bookmarkEnd w:id="176"/>
      <w:bookmarkEnd w:id="177"/>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The following laws of this State are prescribed for the purposes of section 14A of the Act: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r>
      <w:hyperlink r:id="rId44" w:history="1">
        <w:r>
          <w:rPr>
            <w:i/>
            <w:iCs/>
            <w:color w:val="000000"/>
            <w:sz w:val="23"/>
            <w:szCs w:val="23"/>
          </w:rPr>
          <w:t>Dangerous Substances Act 1979</w:t>
        </w:r>
      </w:hyperlink>
      <w:r>
        <w:rPr>
          <w:color w:val="000000"/>
          <w:sz w:val="23"/>
          <w:szCs w:val="23"/>
        </w:rPr>
        <w: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r>
      <w:hyperlink r:id="rId45" w:history="1">
        <w:r>
          <w:rPr>
            <w:i/>
            <w:iCs/>
            <w:color w:val="000000"/>
            <w:sz w:val="23"/>
            <w:szCs w:val="23"/>
          </w:rPr>
          <w:t>Energy Products (Safety and Efficiency) Act 2000</w:t>
        </w:r>
      </w:hyperlink>
      <w:r>
        <w:rPr>
          <w:color w:val="000000"/>
          <w:sz w:val="23"/>
          <w:szCs w:val="23"/>
        </w:rPr>
        <w: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r>
      <w:hyperlink r:id="rId46" w:history="1">
        <w:r>
          <w:rPr>
            <w:i/>
            <w:iCs/>
            <w:color w:val="000000"/>
            <w:sz w:val="23"/>
            <w:szCs w:val="23"/>
          </w:rPr>
          <w:t>Electricity Act 1996</w:t>
        </w:r>
      </w:hyperlink>
      <w:r>
        <w:rPr>
          <w:color w:val="000000"/>
          <w:sz w:val="23"/>
          <w:szCs w:val="23"/>
        </w:rPr>
        <w:t>, to the extent that it relates to occupational health and safety;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r>
      <w:hyperlink r:id="rId47" w:history="1">
        <w:r>
          <w:rPr>
            <w:i/>
            <w:iCs/>
            <w:color w:val="000000"/>
            <w:sz w:val="23"/>
            <w:szCs w:val="23"/>
          </w:rPr>
          <w:t>Work Health and Safety Act 2012</w:t>
        </w:r>
      </w:hyperlink>
      <w:r>
        <w:rPr>
          <w:color w:val="000000"/>
          <w:sz w:val="23"/>
          <w:szCs w:val="23"/>
        </w:rPr>
        <w:t>.</w:t>
      </w:r>
    </w:p>
    <w:p w:rsidR="0065609F" w:rsidRDefault="0065609F" w:rsidP="00762261">
      <w:pPr>
        <w:pStyle w:val="divisionheadlevel2"/>
      </w:pPr>
      <w:bookmarkStart w:id="178" w:name="Elkera_Print_TOC68"/>
      <w:bookmarkStart w:id="179" w:name="Elkera_Print_BK68"/>
      <w:r>
        <w:t>Division 7—Miscellaneous</w:t>
      </w:r>
      <w:bookmarkEnd w:id="178"/>
      <w:bookmarkEnd w:id="179"/>
    </w:p>
    <w:p w:rsidR="0065609F" w:rsidRDefault="0065609F" w:rsidP="00762261">
      <w:pPr>
        <w:pStyle w:val="clauseheadlevel3"/>
      </w:pPr>
      <w:bookmarkStart w:id="180" w:name="Elkera_Print_TOC69"/>
      <w:bookmarkStart w:id="181" w:name="Elkera_Print_BK69"/>
      <w:r>
        <w:t>39—Service of notices</w:t>
      </w:r>
      <w:bookmarkEnd w:id="180"/>
      <w:bookmarkEnd w:id="181"/>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For the purposes of Schedule 7 of the Act and this Part, a notice that is to be given to a body corporate may be given to a director, principal executive officer or secretary of the body corporate.</w:t>
      </w:r>
    </w:p>
    <w:p w:rsidR="00675BD9" w:rsidRDefault="00675BD9" w:rsidP="00762261">
      <w:pPr>
        <w:spacing w:after="0" w:line="240" w:lineRule="auto"/>
        <w:jc w:val="left"/>
        <w:rPr>
          <w:color w:val="000000"/>
          <w:sz w:val="23"/>
          <w:szCs w:val="23"/>
        </w:rPr>
      </w:pPr>
      <w:bookmarkStart w:id="182" w:name="idaeafc7fd_f233_4db9_bd88_7446abee8f81_7"/>
      <w:r>
        <w:rPr>
          <w:color w:val="000000"/>
          <w:sz w:val="23"/>
          <w:szCs w:val="23"/>
        </w:rPr>
        <w:br w:type="page"/>
      </w:r>
    </w:p>
    <w:p w:rsidR="00675BD9" w:rsidRDefault="00675BD9" w:rsidP="00762261">
      <w:pPr>
        <w:pStyle w:val="RegSpace"/>
        <w:jc w:val="left"/>
      </w:pP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For the purposes of Schedule 7 of the Act and this Part, a notice or report may be given to a person by email with a copy of the notice or report to be sent by pre</w:t>
      </w:r>
      <w:r>
        <w:rPr>
          <w:color w:val="000000"/>
          <w:sz w:val="23"/>
          <w:szCs w:val="23"/>
        </w:rPr>
        <w:noBreakHyphen/>
        <w:t>paid post to the person's address.</w:t>
      </w:r>
      <w:bookmarkEnd w:id="182"/>
    </w:p>
    <w:p w:rsidR="0065609F" w:rsidRDefault="0065609F" w:rsidP="00762261">
      <w:pPr>
        <w:pStyle w:val="partheadlevel1"/>
      </w:pPr>
      <w:bookmarkStart w:id="183" w:name="Elkera_Print_TOC71"/>
      <w:bookmarkStart w:id="184" w:name="idf237fbff_7873_468a_a0b8_69e7b266d965_a"/>
      <w:r>
        <w:t>Part 3—Management of safety on offshore facilities</w:t>
      </w:r>
      <w:bookmarkEnd w:id="183"/>
      <w:bookmarkEnd w:id="184"/>
    </w:p>
    <w:p w:rsidR="0065609F" w:rsidRDefault="0065609F" w:rsidP="00762261">
      <w:pPr>
        <w:pStyle w:val="divisionheadlevel2"/>
      </w:pPr>
      <w:bookmarkStart w:id="185" w:name="Elkera_Print_TOC72"/>
      <w:bookmarkStart w:id="186" w:name="Elkera_Print_BK72"/>
      <w:r>
        <w:t>Division 1—Preliminary</w:t>
      </w:r>
      <w:bookmarkEnd w:id="185"/>
      <w:bookmarkEnd w:id="186"/>
    </w:p>
    <w:p w:rsidR="0065609F" w:rsidRDefault="0065609F" w:rsidP="00762261">
      <w:pPr>
        <w:pStyle w:val="clauseheadlevel3"/>
      </w:pPr>
      <w:bookmarkStart w:id="187" w:name="Elkera_Print_TOC73"/>
      <w:bookmarkStart w:id="188" w:name="Elkera_Print_BK73"/>
      <w:r>
        <w:t>40—Object</w:t>
      </w:r>
      <w:bookmarkEnd w:id="187"/>
      <w:bookmarkEnd w:id="188"/>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The object of this Part is to ensure that—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offshore petroleum facilities are constructed, installed, operated, modified and decommissioned in the adjacent area only in accordance with safety cases that have been accepted by the Safety Authority;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safety cases for offshore petroleum facilities or proposed offshore petroleum facilities make provision for the following matters in relation to the health and safety of persons at or near the facilities:</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identification of hazards, and assessment of risks;</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the implementation of measures to eliminate the hazards, or otherwise control the risks;</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a comprehensive and integrated system for management of the hazards and risks;</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(iv)</w:t>
      </w:r>
      <w:r>
        <w:rPr>
          <w:color w:val="000000"/>
          <w:sz w:val="23"/>
          <w:szCs w:val="23"/>
        </w:rPr>
        <w:tab/>
        <w:t>monitoring, audit, review and continuous improvement;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risks to the health and safety of persons at the facilities are reduced to a level that is as low as reasonably practicable.</w:t>
      </w:r>
    </w:p>
    <w:p w:rsidR="0065609F" w:rsidRDefault="0065609F" w:rsidP="00762261">
      <w:pPr>
        <w:pStyle w:val="clauseheadlevel3"/>
      </w:pPr>
      <w:bookmarkStart w:id="189" w:name="Elkera_Print_TOC74"/>
      <w:bookmarkStart w:id="190" w:name="Elkera_Print_BK74"/>
      <w:r>
        <w:t>41—Relationship with other Parts</w:t>
      </w:r>
      <w:bookmarkEnd w:id="189"/>
      <w:bookmarkEnd w:id="190"/>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The requirements of this Part are in addition to the requirements imposed on a person by any other Part.</w:t>
      </w:r>
    </w:p>
    <w:p w:rsidR="0065609F" w:rsidRDefault="0065609F" w:rsidP="00762261">
      <w:pPr>
        <w:pStyle w:val="clauseheadlevel3"/>
      </w:pPr>
      <w:bookmarkStart w:id="191" w:name="Elkera_Print_TOC76"/>
      <w:bookmarkStart w:id="192" w:name="id59648780_7cc1_4b4b_8f5a_73ae1547857d_9"/>
      <w:r>
        <w:t>42—Definitions</w:t>
      </w:r>
      <w:bookmarkEnd w:id="191"/>
      <w:bookmarkEnd w:id="192"/>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In this Part, unless the contrary intention appears—</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confined space</w:t>
      </w:r>
      <w:r>
        <w:rPr>
          <w:color w:val="000000"/>
          <w:sz w:val="23"/>
          <w:szCs w:val="23"/>
        </w:rPr>
        <w:t xml:space="preserve"> means an enclosed, or partially enclosed, space that—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is not used or intended for use as a regular workplace;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has restricted means of entry and exit;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has, or may have, inadequate ventilation, contaminated atmosphere or oxygen deficiency;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is at atmospheric pressure when occupied;</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contractor</w:t>
      </w:r>
      <w:r>
        <w:rPr>
          <w:color w:val="000000"/>
          <w:sz w:val="23"/>
          <w:szCs w:val="23"/>
        </w:rPr>
        <w:t xml:space="preserve"> has the meaning given by clause 3 of Schedule 7 of the Act;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dangerous occurrence</w:t>
      </w:r>
      <w:r>
        <w:rPr>
          <w:color w:val="000000"/>
          <w:sz w:val="23"/>
          <w:szCs w:val="23"/>
        </w:rPr>
        <w:t xml:space="preserve"> has the meaning given by </w:t>
      </w:r>
      <w:hyperlink w:anchor="idca8a9f49_7d37_43f3_9180_fe452d4d41d9_3" w:history="1">
        <w:r>
          <w:rPr>
            <w:color w:val="000000"/>
            <w:sz w:val="23"/>
            <w:szCs w:val="23"/>
          </w:rPr>
          <w:t>regulation 83</w:t>
        </w:r>
      </w:hyperlink>
      <w:r>
        <w:rPr>
          <w:color w:val="000000"/>
          <w:sz w:val="23"/>
          <w:szCs w:val="23"/>
        </w:rPr>
        <w: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emergency</w:t>
      </w:r>
      <w:r>
        <w:rPr>
          <w:color w:val="000000"/>
          <w:sz w:val="23"/>
          <w:szCs w:val="23"/>
        </w:rPr>
        <w:t>, in relation to a facility, means an urgent situation that presents, or may present, a risk of death or serious injury to persons at the facility;</w:t>
      </w:r>
    </w:p>
    <w:p w:rsidR="008073A6" w:rsidRDefault="008073A6" w:rsidP="00762261">
      <w:pPr>
        <w:spacing w:after="0" w:line="240" w:lineRule="auto"/>
        <w:jc w:val="left"/>
        <w:rPr>
          <w:b/>
          <w:bCs/>
          <w:i/>
          <w:iCs/>
          <w:color w:val="000000"/>
          <w:sz w:val="23"/>
          <w:szCs w:val="23"/>
        </w:rPr>
      </w:pPr>
      <w:r>
        <w:rPr>
          <w:b/>
          <w:bCs/>
          <w:i/>
          <w:iCs/>
          <w:color w:val="000000"/>
          <w:sz w:val="23"/>
          <w:szCs w:val="23"/>
        </w:rPr>
        <w:br w:type="page"/>
      </w:r>
    </w:p>
    <w:p w:rsidR="008073A6" w:rsidRDefault="008073A6" w:rsidP="00762261">
      <w:pPr>
        <w:pStyle w:val="RegSpace"/>
        <w:jc w:val="left"/>
      </w:pP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facility</w:t>
      </w:r>
      <w:r>
        <w:rPr>
          <w:color w:val="000000"/>
          <w:sz w:val="23"/>
          <w:szCs w:val="23"/>
        </w:rPr>
        <w:t xml:space="preserve"> means a facility described in clause 3 of Schedule 7 of the Act, other than a facility mentioned in clause 4(8) of Schedule 7 of the Act;</w:t>
      </w:r>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Notes—</w:t>
      </w:r>
    </w:p>
    <w:p w:rsidR="0065609F" w:rsidRDefault="0065609F" w:rsidP="00762261">
      <w:pPr>
        <w:keepLines/>
        <w:tabs>
          <w:tab w:val="left" w:pos="2382"/>
        </w:tabs>
        <w:autoSpaceDE w:val="0"/>
        <w:autoSpaceDN w:val="0"/>
        <w:adjustRightInd w:val="0"/>
        <w:spacing w:before="120" w:after="0" w:line="240" w:lineRule="auto"/>
        <w:ind w:left="2382" w:hanging="794"/>
        <w:jc w:val="left"/>
        <w:rPr>
          <w:color w:val="000000"/>
          <w:sz w:val="20"/>
          <w:szCs w:val="20"/>
        </w:rPr>
      </w:pPr>
      <w:bookmarkStart w:id="193" w:name="Elkera_Print_TOC77"/>
      <w:bookmarkStart w:id="194" w:name="Elkera_Print_BK77"/>
      <w:r>
        <w:rPr>
          <w:color w:val="000000"/>
          <w:sz w:val="20"/>
          <w:szCs w:val="20"/>
        </w:rPr>
        <w:t>1</w:t>
      </w:r>
      <w:r>
        <w:rPr>
          <w:color w:val="000000"/>
          <w:sz w:val="20"/>
          <w:szCs w:val="20"/>
        </w:rPr>
        <w:tab/>
        <w:t xml:space="preserve">Clause 3 of Schedule 7 of the Act includes, in the definition of </w:t>
      </w:r>
      <w:r>
        <w:rPr>
          <w:b/>
          <w:bCs/>
          <w:i/>
          <w:iCs/>
          <w:color w:val="000000"/>
          <w:sz w:val="20"/>
          <w:szCs w:val="20"/>
        </w:rPr>
        <w:t>facility</w:t>
      </w:r>
      <w:r>
        <w:rPr>
          <w:color w:val="000000"/>
          <w:sz w:val="20"/>
          <w:szCs w:val="20"/>
        </w:rPr>
        <w:t>, a facility that is being constructed or installed and, in some circumstances, an associated offshore place in relation to a facility.</w:t>
      </w:r>
      <w:bookmarkEnd w:id="193"/>
      <w:bookmarkEnd w:id="194"/>
    </w:p>
    <w:p w:rsidR="0065609F" w:rsidRDefault="0065609F" w:rsidP="00762261">
      <w:pPr>
        <w:keepLines/>
        <w:tabs>
          <w:tab w:val="left" w:pos="2382"/>
        </w:tabs>
        <w:autoSpaceDE w:val="0"/>
        <w:autoSpaceDN w:val="0"/>
        <w:adjustRightInd w:val="0"/>
        <w:spacing w:before="120" w:after="0" w:line="240" w:lineRule="auto"/>
        <w:ind w:left="2382" w:hanging="794"/>
        <w:jc w:val="left"/>
        <w:rPr>
          <w:color w:val="000000"/>
          <w:sz w:val="20"/>
          <w:szCs w:val="20"/>
        </w:rPr>
      </w:pPr>
      <w:bookmarkStart w:id="195" w:name="Elkera_Print_TOC78"/>
      <w:bookmarkStart w:id="196" w:name="Elkera_Print_BK78"/>
      <w:r>
        <w:rPr>
          <w:color w:val="000000"/>
          <w:sz w:val="20"/>
          <w:szCs w:val="20"/>
        </w:rPr>
        <w:t>2</w:t>
      </w:r>
      <w:r>
        <w:rPr>
          <w:color w:val="000000"/>
          <w:sz w:val="20"/>
          <w:szCs w:val="20"/>
        </w:rPr>
        <w:tab/>
        <w:t xml:space="preserve">A facility mentioned in clause 4(8) of Schedule 7 of the Act is a pipeline. Pipelines are regulated under </w:t>
      </w:r>
      <w:hyperlink w:anchor="id2f5dbadc_2a01_47ca_a9bb_87d2e628c4a1_2" w:history="1">
        <w:r>
          <w:rPr>
            <w:color w:val="000000"/>
            <w:sz w:val="20"/>
            <w:szCs w:val="20"/>
          </w:rPr>
          <w:t>Part 4</w:t>
        </w:r>
      </w:hyperlink>
      <w:r>
        <w:rPr>
          <w:color w:val="000000"/>
          <w:sz w:val="20"/>
          <w:szCs w:val="20"/>
        </w:rPr>
        <w:t xml:space="preserve"> of these regulations.</w:t>
      </w:r>
      <w:bookmarkEnd w:id="195"/>
      <w:bookmarkEnd w:id="196"/>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facility owner</w:t>
      </w:r>
      <w:r>
        <w:rPr>
          <w:color w:val="000000"/>
          <w:sz w:val="23"/>
          <w:szCs w:val="23"/>
        </w:rPr>
        <w:t xml:space="preserve"> includes an owner, a charterer or a lessee of a facility or a proposed facility;</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in force</w:t>
      </w:r>
      <w:r>
        <w:rPr>
          <w:color w:val="000000"/>
          <w:sz w:val="23"/>
          <w:szCs w:val="23"/>
        </w:rPr>
        <w:t>, in relation to a safety case, including a revised safety case, means that—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safety case has been accepted by the Safety Authority in relation to a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acceptance of the safety case has not been withdrawn;</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major accident event</w:t>
      </w:r>
      <w:r>
        <w:rPr>
          <w:color w:val="000000"/>
          <w:sz w:val="23"/>
          <w:szCs w:val="23"/>
        </w:rPr>
        <w:t xml:space="preserve"> means an event connected with a facility, including a natural event, having the potential to cause multiple fatalities of persons at or near the facility;</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operator</w:t>
      </w:r>
      <w:r>
        <w:rPr>
          <w:color w:val="000000"/>
          <w:sz w:val="23"/>
          <w:szCs w:val="23"/>
        </w:rPr>
        <w:t xml:space="preserve">, for a facility, or proposed facility, means a person registered under </w:t>
      </w:r>
      <w:hyperlink w:anchor="id55a491cf_9953_4bef_9a0a_52f28a902b29_6" w:history="1">
        <w:r>
          <w:rPr>
            <w:color w:val="000000"/>
            <w:sz w:val="23"/>
            <w:szCs w:val="23"/>
          </w:rPr>
          <w:t>regulation 44</w:t>
        </w:r>
      </w:hyperlink>
      <w:r>
        <w:rPr>
          <w:color w:val="000000"/>
          <w:sz w:val="23"/>
          <w:szCs w:val="23"/>
        </w:rPr>
        <w:t xml:space="preserve"> as the operator for the facility or proposed facility by the Safety Authority;</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performance standard</w:t>
      </w:r>
      <w:r>
        <w:rPr>
          <w:color w:val="000000"/>
          <w:sz w:val="23"/>
          <w:szCs w:val="23"/>
        </w:rPr>
        <w:t xml:space="preserve"> means a standard, established by the operator, of the performance required of a system, item of equipment, person or procedure which is used as a basis for managing the risk of a major accident event;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revise</w:t>
      </w:r>
      <w:r>
        <w:rPr>
          <w:color w:val="000000"/>
          <w:sz w:val="23"/>
          <w:szCs w:val="23"/>
        </w:rPr>
        <w:t>, in relation to a safety case, includes extend or modify;</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safety management system</w:t>
      </w:r>
      <w:r>
        <w:rPr>
          <w:color w:val="000000"/>
          <w:sz w:val="23"/>
          <w:szCs w:val="23"/>
        </w:rPr>
        <w:t>, for a facility, means a system for managing occupational health and safety at the facility;</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stage in the life of the facility</w:t>
      </w:r>
      <w:r>
        <w:rPr>
          <w:color w:val="000000"/>
          <w:sz w:val="23"/>
          <w:szCs w:val="23"/>
        </w:rPr>
        <w:t xml:space="preserve"> means any of the following:</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construction of the facility;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installation of the facility;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operation of the facility;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modification of the facility;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decommissioning of the facility;</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titleholder</w:t>
      </w:r>
      <w:r>
        <w:rPr>
          <w:color w:val="000000"/>
          <w:sz w:val="23"/>
          <w:szCs w:val="23"/>
        </w:rPr>
        <w:t>, in relation to a facility means a permittee, lessee, licensee or pipeline licensee under Part 3 of the Act;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validation</w:t>
      </w:r>
      <w:r>
        <w:rPr>
          <w:color w:val="000000"/>
          <w:sz w:val="23"/>
          <w:szCs w:val="23"/>
        </w:rPr>
        <w:t xml:space="preserve"> has the meaning given by </w:t>
      </w:r>
      <w:hyperlink w:anchor="idaeaf6f72_1e83_47e2_bf34_57bf8f4dc309_c" w:history="1">
        <w:r>
          <w:rPr>
            <w:color w:val="000000"/>
            <w:sz w:val="23"/>
            <w:szCs w:val="23"/>
          </w:rPr>
          <w:t>regulation 81</w:t>
        </w:r>
      </w:hyperlink>
      <w:r>
        <w:rPr>
          <w:color w:val="000000"/>
          <w:sz w:val="23"/>
          <w:szCs w:val="23"/>
        </w:rPr>
        <w:t>.</w:t>
      </w:r>
    </w:p>
    <w:p w:rsidR="0065609F" w:rsidRDefault="0065609F" w:rsidP="00762261">
      <w:pPr>
        <w:pStyle w:val="divisionheadlevel2"/>
      </w:pPr>
      <w:bookmarkStart w:id="197" w:name="Elkera_Print_TOC79"/>
      <w:bookmarkStart w:id="198" w:name="Elkera_Print_BK79"/>
      <w:r>
        <w:t>Division 2—Operators</w:t>
      </w:r>
      <w:bookmarkEnd w:id="197"/>
      <w:bookmarkEnd w:id="198"/>
    </w:p>
    <w:p w:rsidR="0065609F" w:rsidRDefault="0065609F" w:rsidP="00762261">
      <w:pPr>
        <w:pStyle w:val="clauseheadlevel3"/>
      </w:pPr>
      <w:bookmarkStart w:id="199" w:name="Elkera_Print_TOC80"/>
      <w:bookmarkStart w:id="200" w:name="Elkera_Print_BK80"/>
      <w:r>
        <w:t>43—Nomination of operator</w:t>
      </w:r>
      <w:bookmarkEnd w:id="199"/>
      <w:bookmarkEnd w:id="200"/>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01" w:name="id185cf9af_bb47_4eda_b543_8dd13c701e12_1"/>
      <w:r>
        <w:rPr>
          <w:color w:val="000000"/>
          <w:sz w:val="23"/>
          <w:szCs w:val="23"/>
        </w:rPr>
        <w:tab/>
        <w:t>(1)</w:t>
      </w:r>
      <w:r>
        <w:rPr>
          <w:color w:val="000000"/>
          <w:sz w:val="23"/>
          <w:szCs w:val="23"/>
        </w:rPr>
        <w:tab/>
        <w:t>A facility owner or a titleholder may send to the Safety Authority a written notice nominating a person to be the operator for a facility or a proposed facility.</w:t>
      </w:r>
      <w:bookmarkEnd w:id="201"/>
    </w:p>
    <w:p w:rsidR="00945BF5" w:rsidRDefault="00945BF5" w:rsidP="00762261">
      <w:pPr>
        <w:spacing w:after="0" w:line="240" w:lineRule="auto"/>
        <w:jc w:val="left"/>
        <w:rPr>
          <w:color w:val="000000"/>
          <w:sz w:val="23"/>
          <w:szCs w:val="23"/>
        </w:rPr>
      </w:pPr>
      <w:r>
        <w:rPr>
          <w:color w:val="000000"/>
          <w:sz w:val="23"/>
          <w:szCs w:val="23"/>
        </w:rPr>
        <w:br w:type="page"/>
      </w:r>
    </w:p>
    <w:p w:rsidR="00945BF5" w:rsidRDefault="00945BF5" w:rsidP="00762261">
      <w:pPr>
        <w:pStyle w:val="RegSpace"/>
        <w:jc w:val="left"/>
      </w:pP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 notice under </w:t>
      </w:r>
      <w:hyperlink w:anchor="id185cf9af_bb47_4eda_b543_8dd13c701e12_1" w:history="1">
        <w:r>
          <w:rPr>
            <w:color w:val="000000"/>
            <w:sz w:val="23"/>
            <w:szCs w:val="23"/>
          </w:rPr>
          <w:t>subregulation (1)</w:t>
        </w:r>
      </w:hyperlink>
      <w:r>
        <w:rPr>
          <w:color w:val="000000"/>
          <w:sz w:val="23"/>
          <w:szCs w:val="23"/>
        </w:rPr>
        <w:t xml:space="preserve"> must include—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person's name;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person's contact details, including—</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a business address;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a telephone number and an email address for the operator during business hours;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a telephone number and an email address for the operator outside business hours;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person's ACN, if applicable;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 person's written consent to the nomination.</w:t>
      </w:r>
    </w:p>
    <w:p w:rsidR="0065609F" w:rsidRDefault="0065609F" w:rsidP="00762261">
      <w:pPr>
        <w:pStyle w:val="clauseheadlevel3"/>
      </w:pPr>
      <w:bookmarkStart w:id="202" w:name="Elkera_Print_TOC82"/>
      <w:bookmarkStart w:id="203" w:name="id55a491cf_9953_4bef_9a0a_52f28a902b29_6"/>
      <w:r>
        <w:t>44—Acceptance or rejection of nomination of operator</w:t>
      </w:r>
      <w:bookmarkEnd w:id="202"/>
      <w:bookmarkEnd w:id="203"/>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04" w:name="id2c9fd655_0eb7_44f4_bfc8_03420a7bacb3_5"/>
      <w:r>
        <w:rPr>
          <w:color w:val="000000"/>
          <w:sz w:val="23"/>
          <w:szCs w:val="23"/>
        </w:rPr>
        <w:tab/>
        <w:t>(1)</w:t>
      </w:r>
      <w:r>
        <w:rPr>
          <w:color w:val="000000"/>
          <w:sz w:val="23"/>
          <w:szCs w:val="23"/>
        </w:rPr>
        <w:tab/>
        <w:t>The Safety Authority must accept the nomination of a person as an operator if it is satisfied that the person has, or will have, the day</w:t>
      </w:r>
      <w:r>
        <w:rPr>
          <w:color w:val="000000"/>
          <w:sz w:val="23"/>
          <w:szCs w:val="23"/>
        </w:rPr>
        <w:noBreakHyphen/>
        <w:t>to</w:t>
      </w:r>
      <w:r>
        <w:rPr>
          <w:color w:val="000000"/>
          <w:sz w:val="23"/>
          <w:szCs w:val="23"/>
        </w:rPr>
        <w:noBreakHyphen/>
        <w:t>day management and control of—</w:t>
      </w:r>
      <w:bookmarkEnd w:id="204"/>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205" w:name="id5335607c_5b90_4bf8_b7c8_6c43b8e594eb_4"/>
      <w:r>
        <w:rPr>
          <w:color w:val="000000"/>
          <w:sz w:val="23"/>
          <w:szCs w:val="23"/>
        </w:rPr>
        <w:tab/>
        <w:t>(a)</w:t>
      </w:r>
      <w:r>
        <w:rPr>
          <w:color w:val="000000"/>
          <w:sz w:val="23"/>
          <w:szCs w:val="23"/>
        </w:rPr>
        <w:tab/>
        <w:t>the facility or proposed facility; and</w:t>
      </w:r>
      <w:bookmarkEnd w:id="205"/>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206" w:name="id135404a4_9c7d_4fd7_adaf_8442d56d8ec8_e"/>
      <w:r>
        <w:rPr>
          <w:color w:val="000000"/>
          <w:sz w:val="23"/>
          <w:szCs w:val="23"/>
        </w:rPr>
        <w:tab/>
        <w:t>(b)</w:t>
      </w:r>
      <w:r>
        <w:rPr>
          <w:color w:val="000000"/>
          <w:sz w:val="23"/>
          <w:szCs w:val="23"/>
        </w:rPr>
        <w:tab/>
        <w:t>operations at the facility or proposed facility.</w:t>
      </w:r>
      <w:bookmarkEnd w:id="206"/>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If the Safety Authority is not satisfied of the matters in </w:t>
      </w:r>
      <w:hyperlink w:anchor="id5335607c_5b90_4bf8_b7c8_6c43b8e594eb_4" w:history="1">
        <w:r>
          <w:rPr>
            <w:color w:val="000000"/>
            <w:sz w:val="23"/>
            <w:szCs w:val="23"/>
          </w:rPr>
          <w:t>subregulation (1)(a)</w:t>
        </w:r>
      </w:hyperlink>
      <w:r>
        <w:rPr>
          <w:color w:val="000000"/>
          <w:sz w:val="23"/>
          <w:szCs w:val="23"/>
        </w:rPr>
        <w:t xml:space="preserve"> and </w:t>
      </w:r>
      <w:hyperlink w:anchor="id135404a4_9c7d_4fd7_adaf_8442d56d8ec8_e" w:history="1">
        <w:r>
          <w:rPr>
            <w:color w:val="000000"/>
            <w:sz w:val="23"/>
            <w:szCs w:val="23"/>
          </w:rPr>
          <w:t>(b)</w:t>
        </w:r>
      </w:hyperlink>
      <w:r>
        <w:rPr>
          <w:color w:val="000000"/>
          <w:sz w:val="23"/>
          <w:szCs w:val="23"/>
        </w:rPr>
        <w:t>, it must reject the nomination.</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If the Safety Authority accepts the nomination, it must register the nominee as the operator of the facility or proposed facility.</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The Safety Authority must notify the owner or titleholder who made the nomination, and the nominee—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of the decision to accept or reject the nomination;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if the Safety Authority has decided to reject the nomination—of the reasons for the rejection.</w:t>
      </w:r>
    </w:p>
    <w:p w:rsidR="0065609F" w:rsidRDefault="0065609F" w:rsidP="00762261">
      <w:pPr>
        <w:pStyle w:val="clauseheadlevel3"/>
      </w:pPr>
      <w:bookmarkStart w:id="207" w:name="Elkera_Print_TOC83"/>
      <w:bookmarkStart w:id="208" w:name="Elkera_Print_BK83"/>
      <w:r>
        <w:t>45—Register of operators</w:t>
      </w:r>
      <w:bookmarkEnd w:id="207"/>
      <w:bookmarkEnd w:id="208"/>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The Safety Authority must maintain the register of operators.</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09" w:name="id9c0ec2e8_a31b_406a_a751_78ba4c730d18_1"/>
      <w:r>
        <w:rPr>
          <w:color w:val="000000"/>
          <w:sz w:val="23"/>
          <w:szCs w:val="23"/>
        </w:rPr>
        <w:tab/>
        <w:t>(2)</w:t>
      </w:r>
      <w:r>
        <w:rPr>
          <w:color w:val="000000"/>
          <w:sz w:val="23"/>
          <w:szCs w:val="23"/>
        </w:rPr>
        <w:tab/>
        <w:t>An owner or titleholder who has nominated a person to be the operator of a facility, or the operator of the facility, may notify the Safety Authority, in writing, that the registered operator has ceased to be the person who has, or will have, the day</w:t>
      </w:r>
      <w:r>
        <w:rPr>
          <w:color w:val="000000"/>
          <w:sz w:val="23"/>
          <w:szCs w:val="23"/>
        </w:rPr>
        <w:noBreakHyphen/>
        <w:t>to</w:t>
      </w:r>
      <w:r>
        <w:rPr>
          <w:color w:val="000000"/>
          <w:sz w:val="23"/>
          <w:szCs w:val="23"/>
        </w:rPr>
        <w:noBreakHyphen/>
        <w:t>day management and control of—</w:t>
      </w:r>
      <w:bookmarkEnd w:id="209"/>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facility or proposed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operations at the facility or proposed facility.</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On receipt of a notice under </w:t>
      </w:r>
      <w:hyperlink w:anchor="id9c0ec2e8_a31b_406a_a751_78ba4c730d18_1" w:history="1">
        <w:r>
          <w:rPr>
            <w:color w:val="000000"/>
            <w:sz w:val="23"/>
            <w:szCs w:val="23"/>
          </w:rPr>
          <w:t>subregulation (2)</w:t>
        </w:r>
      </w:hyperlink>
      <w:r>
        <w:rPr>
          <w:color w:val="000000"/>
          <w:sz w:val="23"/>
          <w:szCs w:val="23"/>
        </w:rPr>
        <w:t>, the Safety Authority must remove the operator's name from the register.</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The Safety Authority may remove an operator's name from the register if—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Safety Authority believes, on reasonable grounds, that the operator does not or will not have day</w:t>
      </w:r>
      <w:r>
        <w:rPr>
          <w:color w:val="000000"/>
          <w:sz w:val="23"/>
          <w:szCs w:val="23"/>
        </w:rPr>
        <w:noBreakHyphen/>
        <w:t>to</w:t>
      </w:r>
      <w:r>
        <w:rPr>
          <w:color w:val="000000"/>
          <w:sz w:val="23"/>
          <w:szCs w:val="23"/>
        </w:rPr>
        <w:noBreakHyphen/>
        <w:t>day control of the facility and operations at the facility; and</w:t>
      </w:r>
    </w:p>
    <w:p w:rsidR="00687E1D" w:rsidRDefault="00687E1D" w:rsidP="00762261">
      <w:pPr>
        <w:spacing w:after="0" w:line="240" w:lineRule="auto"/>
        <w:jc w:val="left"/>
        <w:rPr>
          <w:color w:val="000000"/>
          <w:sz w:val="23"/>
          <w:szCs w:val="23"/>
        </w:rPr>
      </w:pPr>
      <w:r>
        <w:rPr>
          <w:color w:val="000000"/>
          <w:sz w:val="23"/>
          <w:szCs w:val="23"/>
        </w:rPr>
        <w:br w:type="page"/>
      </w:r>
    </w:p>
    <w:p w:rsidR="00687E1D" w:rsidRDefault="00687E1D" w:rsidP="00762261">
      <w:pPr>
        <w:pStyle w:val="RegSpace"/>
        <w:jc w:val="left"/>
      </w:pP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Safety Authority has given notice of intention to remove the operator from the register to—</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person who nominated the operator;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the operator;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Safety Authority has allowed a period of 30 days for the nominator and the operator to make representations;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 Safety Authority has considered those representations and continues to believe on reasonable grounds that the operator does not, or will not, have day</w:t>
      </w:r>
      <w:r>
        <w:rPr>
          <w:color w:val="000000"/>
          <w:sz w:val="23"/>
          <w:szCs w:val="23"/>
        </w:rPr>
        <w:noBreakHyphen/>
        <w:t>to</w:t>
      </w:r>
      <w:r>
        <w:rPr>
          <w:color w:val="000000"/>
          <w:sz w:val="23"/>
          <w:szCs w:val="23"/>
        </w:rPr>
        <w:noBreakHyphen/>
        <w:t>day management and control of the facility and operations at the facility.</w:t>
      </w:r>
    </w:p>
    <w:p w:rsidR="0065609F" w:rsidRDefault="0065609F" w:rsidP="00762261">
      <w:pPr>
        <w:pStyle w:val="divisionheadlevel2"/>
      </w:pPr>
      <w:bookmarkStart w:id="210" w:name="Elkera_Print_TOC84"/>
      <w:bookmarkStart w:id="211" w:name="Elkera_Print_BK84"/>
      <w:r>
        <w:t>Division 3—Safety cases</w:t>
      </w:r>
      <w:bookmarkEnd w:id="210"/>
      <w:bookmarkEnd w:id="211"/>
    </w:p>
    <w:p w:rsidR="0065609F" w:rsidRDefault="0065609F" w:rsidP="00762261">
      <w:pPr>
        <w:pStyle w:val="subdivisionheadlevel3"/>
      </w:pPr>
      <w:bookmarkStart w:id="212" w:name="Elkera_Print_TOC85"/>
      <w:bookmarkStart w:id="213" w:name="Elkera_Print_BK85"/>
      <w:r>
        <w:t>Subdivision 1—Contents of safety case</w:t>
      </w:r>
      <w:bookmarkEnd w:id="212"/>
      <w:bookmarkEnd w:id="213"/>
    </w:p>
    <w:p w:rsidR="0065609F" w:rsidRDefault="0065609F" w:rsidP="00762261">
      <w:pPr>
        <w:pStyle w:val="clauseheadlevel4"/>
      </w:pPr>
      <w:bookmarkStart w:id="214" w:name="Elkera_Print_TOC87"/>
      <w:bookmarkStart w:id="215" w:name="id4a39e714_31cb_4c70_a6b1_2a5a00543ee5_0"/>
      <w:r>
        <w:t>46—Facility description, formal safety assessment and safety management system</w:t>
      </w:r>
      <w:bookmarkEnd w:id="214"/>
      <w:bookmarkEnd w:id="215"/>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16" w:name="id08dfbc2a_af64_46f2_a598_1e007d69ffab_0"/>
      <w:r>
        <w:rPr>
          <w:color w:val="000000"/>
          <w:sz w:val="23"/>
          <w:szCs w:val="23"/>
        </w:rPr>
        <w:tab/>
        <w:t>(1)</w:t>
      </w:r>
      <w:r>
        <w:rPr>
          <w:color w:val="000000"/>
          <w:sz w:val="23"/>
          <w:szCs w:val="23"/>
        </w:rPr>
        <w:tab/>
        <w:t>The safety case for a facility must contain—</w:t>
      </w:r>
      <w:bookmarkEnd w:id="216"/>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a description of the facility that complies with </w:t>
      </w:r>
      <w:hyperlink w:anchor="id603a79bd_8822_4e0b_85c1_cb1932ada62f_c" w:history="1">
        <w:r>
          <w:rPr>
            <w:color w:val="000000"/>
            <w:sz w:val="23"/>
            <w:szCs w:val="23"/>
          </w:rPr>
          <w:t>subregulation (2)</w:t>
        </w:r>
      </w:hyperlink>
      <w:r>
        <w:rPr>
          <w:color w:val="000000"/>
          <w:sz w:val="23"/>
          <w:szCs w:val="23"/>
        </w:rPr>
        <w: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a detailed description of the formal safety assessment for the facility that provides evidence that the formal safety assessment complies with </w:t>
      </w:r>
      <w:hyperlink w:anchor="id55ccd73e_6e64_4f4c_8198_34025318f56c_f" w:history="1">
        <w:r>
          <w:rPr>
            <w:color w:val="000000"/>
            <w:sz w:val="23"/>
            <w:szCs w:val="23"/>
          </w:rPr>
          <w:t>subregulation (3)</w:t>
        </w:r>
      </w:hyperlink>
      <w:r>
        <w:rPr>
          <w:color w:val="000000"/>
          <w:sz w:val="23"/>
          <w:szCs w:val="23"/>
        </w:rPr>
        <w: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 xml:space="preserve">a detailed description of the safety management system that provides evidence that the system complies with </w:t>
      </w:r>
      <w:hyperlink w:anchor="id5e288c7a_ec96_4221_9055_430ec9606d9f_f" w:history="1">
        <w:r>
          <w:rPr>
            <w:color w:val="000000"/>
            <w:sz w:val="23"/>
            <w:szCs w:val="23"/>
          </w:rPr>
          <w:t>subregulation (4)</w:t>
        </w:r>
      </w:hyperlink>
      <w:r>
        <w:rPr>
          <w:color w:val="000000"/>
          <w:sz w:val="23"/>
          <w:szCs w:val="23"/>
        </w:rPr>
        <w: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17" w:name="id603a79bd_8822_4e0b_85c1_cb1932ada62f_c"/>
      <w:r>
        <w:rPr>
          <w:color w:val="000000"/>
          <w:sz w:val="23"/>
          <w:szCs w:val="23"/>
        </w:rPr>
        <w:tab/>
        <w:t>(2)</w:t>
      </w:r>
      <w:r>
        <w:rPr>
          <w:color w:val="000000"/>
          <w:sz w:val="23"/>
          <w:szCs w:val="23"/>
        </w:rPr>
        <w:tab/>
        <w:t>The description of the facility must give details of—</w:t>
      </w:r>
      <w:bookmarkEnd w:id="217"/>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layout of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technical and other control measures identified as a result of the formal safety assessment;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activities that will, or are likely to, take place at, or in connection with,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any other relevant matters.</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18" w:name="id55ccd73e_6e64_4f4c_8198_34025318f56c_f"/>
      <w:r>
        <w:rPr>
          <w:color w:val="000000"/>
          <w:sz w:val="23"/>
          <w:szCs w:val="23"/>
        </w:rPr>
        <w:tab/>
        <w:t>(3)</w:t>
      </w:r>
      <w:r>
        <w:rPr>
          <w:color w:val="000000"/>
          <w:sz w:val="23"/>
          <w:szCs w:val="23"/>
        </w:rPr>
        <w:tab/>
        <w:t>The formal safety assessment is an assessment, or series of assessments, conducted by the operator that—</w:t>
      </w:r>
      <w:bookmarkEnd w:id="218"/>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identifies all hazards having the potential to cause a major accident event;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is a detailed and systematic assessment of the risk associated with each of those hazards, including the likelihood and consequences of each potential major accident event;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identifies the technical and other control measures that are necessary to reduce that risk to a level that is as low as reasonably practicable.</w:t>
      </w:r>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1588"/>
        <w:jc w:val="left"/>
        <w:rPr>
          <w:color w:val="000000"/>
          <w:sz w:val="20"/>
          <w:szCs w:val="20"/>
        </w:rPr>
      </w:pPr>
      <w:r>
        <w:rPr>
          <w:color w:val="000000"/>
          <w:sz w:val="20"/>
          <w:szCs w:val="20"/>
        </w:rPr>
        <w:t>A formal safety assessment relates only to major accident events.</w:t>
      </w:r>
    </w:p>
    <w:p w:rsidR="00A00DC7" w:rsidRDefault="00A00DC7" w:rsidP="00762261">
      <w:pPr>
        <w:spacing w:after="0" w:line="240" w:lineRule="auto"/>
        <w:jc w:val="left"/>
        <w:rPr>
          <w:color w:val="000000"/>
          <w:sz w:val="23"/>
          <w:szCs w:val="23"/>
        </w:rPr>
      </w:pPr>
      <w:bookmarkStart w:id="219" w:name="id5e288c7a_ec96_4221_9055_430ec9606d9f_f"/>
      <w:r>
        <w:rPr>
          <w:color w:val="000000"/>
          <w:sz w:val="23"/>
          <w:szCs w:val="23"/>
        </w:rPr>
        <w:br w:type="page"/>
      </w:r>
    </w:p>
    <w:p w:rsidR="00A00DC7" w:rsidRDefault="00A00DC7" w:rsidP="00762261">
      <w:pPr>
        <w:pStyle w:val="RegSpace"/>
        <w:jc w:val="left"/>
      </w:pP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The safety management system for a facility must—</w:t>
      </w:r>
      <w:bookmarkEnd w:id="219"/>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be comprehensive and integrated;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provide for all activities that will, or are likely to, take place at, or in connection with,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provide for the continual and systematic identification of hazards to health and safety of persons at or near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provide for the continual and systematic assessment of—</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likelihood of the occurrence, during normal or emergency situations, of injury or occupational illness associated with those hazards;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the likely nature of such injury or occupational illness;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provide for the reduction to a level that is as low as reasonably practicable of risks to health and safety of persons at or near the facility including, but not limited to—</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risks arising during evacuation, escape and rescue in case of emergency;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risks arising from equipment and hardware;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(f)</w:t>
      </w:r>
      <w:r>
        <w:rPr>
          <w:color w:val="000000"/>
          <w:sz w:val="23"/>
          <w:szCs w:val="23"/>
        </w:rPr>
        <w:tab/>
        <w:t>provide for inspection, testing and maintenance of the equipment and hardware that are the physical control measures for those risks;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(g)</w:t>
      </w:r>
      <w:r>
        <w:rPr>
          <w:color w:val="000000"/>
          <w:sz w:val="23"/>
          <w:szCs w:val="23"/>
        </w:rPr>
        <w:tab/>
        <w:t>provide for adequate communications between the facility and any relevant—</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facility;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vessel;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aircraft;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(iv)</w:t>
      </w:r>
      <w:r>
        <w:rPr>
          <w:color w:val="000000"/>
          <w:sz w:val="23"/>
          <w:szCs w:val="23"/>
        </w:rPr>
        <w:tab/>
        <w:t>on</w:t>
      </w:r>
      <w:r>
        <w:rPr>
          <w:color w:val="000000"/>
          <w:sz w:val="23"/>
          <w:szCs w:val="23"/>
        </w:rPr>
        <w:noBreakHyphen/>
        <w:t>shore installation;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(h)</w:t>
      </w:r>
      <w:r>
        <w:rPr>
          <w:color w:val="000000"/>
          <w:sz w:val="23"/>
          <w:szCs w:val="23"/>
        </w:rPr>
        <w:tab/>
        <w:t>provide for any other matter that is necessary to ensure that the safety management system meets the requirements and objects of this Part;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(i)</w:t>
      </w:r>
      <w:r>
        <w:rPr>
          <w:color w:val="000000"/>
          <w:sz w:val="23"/>
          <w:szCs w:val="23"/>
        </w:rPr>
        <w:tab/>
        <w:t>specify the performance standards that apply.</w:t>
      </w:r>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1588"/>
        <w:jc w:val="left"/>
        <w:rPr>
          <w:color w:val="000000"/>
          <w:sz w:val="20"/>
          <w:szCs w:val="20"/>
        </w:rPr>
      </w:pPr>
      <w:r>
        <w:rPr>
          <w:color w:val="000000"/>
          <w:sz w:val="20"/>
          <w:szCs w:val="20"/>
        </w:rPr>
        <w:t>The safety management system must provide for all hazards and risks to persons at the facility, not just risks of major accident events.</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20" w:name="id8ab818bb_cb68_4fae_8792_bacfa149dea9_2"/>
      <w:r>
        <w:rPr>
          <w:color w:val="000000"/>
          <w:sz w:val="23"/>
          <w:szCs w:val="23"/>
        </w:rPr>
        <w:tab/>
        <w:t>(5)</w:t>
      </w:r>
      <w:r>
        <w:rPr>
          <w:color w:val="000000"/>
          <w:sz w:val="23"/>
          <w:szCs w:val="23"/>
        </w:rPr>
        <w:tab/>
        <w:t xml:space="preserve">If an operator of a facility submits to the Safety Authority a safety case for the construction or installation stage in the life of the facility, the safety case must contain the matters mentioned in </w:t>
      </w:r>
      <w:hyperlink w:anchor="id08dfbc2a_af64_46f2_a598_1e007d69ffab_0" w:history="1">
        <w:r>
          <w:rPr>
            <w:color w:val="000000"/>
            <w:sz w:val="23"/>
            <w:szCs w:val="23"/>
          </w:rPr>
          <w:t>subregulation (1)</w:t>
        </w:r>
      </w:hyperlink>
      <w:r>
        <w:rPr>
          <w:color w:val="000000"/>
          <w:sz w:val="23"/>
          <w:szCs w:val="23"/>
        </w:rPr>
        <w:t xml:space="preserve"> in relation to—</w:t>
      </w:r>
      <w:bookmarkEnd w:id="220"/>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facility at that stage in the life of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activities that will, or are likely to, take place at, or in connection with, the facility during that stage in the life of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to the extent that it is practicable—the facility and the activities that will, or are likely to, take place when the facility is in operation.</w:t>
      </w:r>
    </w:p>
    <w:p w:rsidR="004E7E46" w:rsidRDefault="004E7E46" w:rsidP="00762261">
      <w:pPr>
        <w:spacing w:after="0" w:line="240" w:lineRule="auto"/>
        <w:jc w:val="left"/>
        <w:rPr>
          <w:rFonts w:eastAsia="Times New Roman"/>
          <w:b/>
          <w:bCs/>
          <w:color w:val="000000"/>
          <w:sz w:val="26"/>
          <w:szCs w:val="26"/>
          <w:lang w:eastAsia="en-AU"/>
        </w:rPr>
      </w:pPr>
      <w:bookmarkStart w:id="221" w:name="Elkera_Print_TOC88"/>
      <w:bookmarkStart w:id="222" w:name="Elkera_Print_BK88"/>
      <w:r>
        <w:br w:type="page"/>
      </w:r>
    </w:p>
    <w:p w:rsidR="004E7E46" w:rsidRDefault="004E7E46" w:rsidP="00762261">
      <w:pPr>
        <w:pStyle w:val="RegSpace"/>
        <w:jc w:val="left"/>
      </w:pPr>
    </w:p>
    <w:p w:rsidR="0065609F" w:rsidRDefault="0065609F" w:rsidP="00762261">
      <w:pPr>
        <w:pStyle w:val="clauseheadlevel4"/>
      </w:pPr>
      <w:r>
        <w:t>47—Implementation and improvement of the safety management system</w:t>
      </w:r>
      <w:bookmarkEnd w:id="221"/>
      <w:bookmarkEnd w:id="222"/>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The safety case for a facility must demonstrate that there are effective means of ensuring—</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implementation of the safety management system;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continual and systematic identification of deficiencies in the safety management system;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continual and systematic improvement of the safety management system.</w:t>
      </w:r>
    </w:p>
    <w:p w:rsidR="0065609F" w:rsidRDefault="0065609F" w:rsidP="00762261">
      <w:pPr>
        <w:pStyle w:val="clauseheadlevel4"/>
      </w:pPr>
      <w:bookmarkStart w:id="223" w:name="Elkera_Print_TOC89"/>
      <w:bookmarkStart w:id="224" w:name="Elkera_Print_BK89"/>
      <w:r>
        <w:t>48—Standards to be applied</w:t>
      </w:r>
      <w:bookmarkEnd w:id="223"/>
      <w:bookmarkEnd w:id="224"/>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The safety case for a facility must specify all Australian and international standards that have been applied, or will be applied, in relation to the facility or plant used on or in connection with the facility for the relevant stage or stages in the life of the facility for which the safety case is submitted.</w:t>
      </w:r>
    </w:p>
    <w:p w:rsidR="0065609F" w:rsidRDefault="0065609F" w:rsidP="00762261">
      <w:pPr>
        <w:pStyle w:val="clauseheadlevel4"/>
      </w:pPr>
      <w:bookmarkStart w:id="225" w:name="Elkera_Print_TOC90"/>
      <w:bookmarkStart w:id="226" w:name="Elkera_Print_BK90"/>
      <w:r>
        <w:t>49—Command structure</w:t>
      </w:r>
      <w:bookmarkEnd w:id="225"/>
      <w:bookmarkEnd w:id="226"/>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27" w:name="id1bd756c6_bb4f_45b1_8a82_b4b081e805d2_f"/>
      <w:r>
        <w:rPr>
          <w:color w:val="000000"/>
          <w:sz w:val="23"/>
          <w:szCs w:val="23"/>
        </w:rPr>
        <w:tab/>
        <w:t>(1)</w:t>
      </w:r>
      <w:r>
        <w:rPr>
          <w:color w:val="000000"/>
          <w:sz w:val="23"/>
          <w:szCs w:val="23"/>
        </w:rPr>
        <w:tab/>
        <w:t>The safety case for a facility must specify—</w:t>
      </w:r>
      <w:bookmarkEnd w:id="227"/>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228" w:name="id3aa00b9d_0d34_45cc_a630_bb156d336efe_b"/>
      <w:r>
        <w:rPr>
          <w:color w:val="000000"/>
          <w:sz w:val="23"/>
          <w:szCs w:val="23"/>
        </w:rPr>
        <w:tab/>
        <w:t>(a)</w:t>
      </w:r>
      <w:r>
        <w:rPr>
          <w:color w:val="000000"/>
          <w:sz w:val="23"/>
          <w:szCs w:val="23"/>
        </w:rPr>
        <w:tab/>
        <w:t>an office or position at the facility, the occupant of which is in command of the facility and responsible for its safe operation when on duty; and</w:t>
      </w:r>
      <w:bookmarkEnd w:id="228"/>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229" w:name="id86b9759f_8b72_441e_9c68_6bdc810caed5_0"/>
      <w:r>
        <w:rPr>
          <w:color w:val="000000"/>
          <w:sz w:val="23"/>
          <w:szCs w:val="23"/>
        </w:rPr>
        <w:tab/>
        <w:t>(b)</w:t>
      </w:r>
      <w:r>
        <w:rPr>
          <w:color w:val="000000"/>
          <w:sz w:val="23"/>
          <w:szCs w:val="23"/>
        </w:rPr>
        <w:tab/>
        <w:t>an office or position at the facility, the occupant of which is responsible for implementing and supervising procedures in the event of an emergency at the facility; and</w:t>
      </w:r>
      <w:bookmarkEnd w:id="229"/>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command structure that applies in the event of an emergency at the facility.</w:t>
      </w:r>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1588"/>
        <w:jc w:val="left"/>
        <w:rPr>
          <w:color w:val="000000"/>
          <w:sz w:val="20"/>
          <w:szCs w:val="20"/>
        </w:rPr>
      </w:pPr>
      <w:r>
        <w:rPr>
          <w:color w:val="000000"/>
          <w:sz w:val="20"/>
          <w:szCs w:val="20"/>
        </w:rPr>
        <w:t xml:space="preserve">The same person may occupy both of the offices or positions mentioned in </w:t>
      </w:r>
      <w:hyperlink w:anchor="id3aa00b9d_0d34_45cc_a630_bb156d336efe_b" w:history="1">
        <w:r>
          <w:rPr>
            <w:color w:val="000000"/>
            <w:sz w:val="20"/>
            <w:szCs w:val="20"/>
          </w:rPr>
          <w:t>subregulation (1)(a)</w:t>
        </w:r>
      </w:hyperlink>
      <w:r>
        <w:rPr>
          <w:color w:val="000000"/>
          <w:sz w:val="20"/>
          <w:szCs w:val="20"/>
        </w:rPr>
        <w:t xml:space="preserve"> and </w:t>
      </w:r>
      <w:hyperlink w:anchor="id86b9759f_8b72_441e_9c68_6bdc810caed5_0" w:history="1">
        <w:r>
          <w:rPr>
            <w:color w:val="000000"/>
            <w:sz w:val="20"/>
            <w:szCs w:val="20"/>
          </w:rPr>
          <w:t>(b)</w:t>
        </w:r>
      </w:hyperlink>
      <w:r>
        <w:rPr>
          <w:color w:val="000000"/>
          <w:sz w:val="20"/>
          <w:szCs w:val="20"/>
        </w:rPr>
        <w: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safety case must describe, in detail, the means by which the operator will ensure that, as far as reasonably practicable—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the offices or positions mentioned in </w:t>
      </w:r>
      <w:hyperlink w:anchor="id1bd756c6_bb4f_45b1_8a82_b4b081e805d2_f" w:history="1">
        <w:r>
          <w:rPr>
            <w:color w:val="000000"/>
            <w:sz w:val="23"/>
            <w:szCs w:val="23"/>
          </w:rPr>
          <w:t>subregulation (1)</w:t>
        </w:r>
      </w:hyperlink>
      <w:r>
        <w:rPr>
          <w:color w:val="000000"/>
          <w:sz w:val="23"/>
          <w:szCs w:val="23"/>
        </w:rPr>
        <w:t xml:space="preserve"> are continuously occupied while the facility is in operation;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the person who occupies each office or position mentioned in </w:t>
      </w:r>
      <w:hyperlink w:anchor="id1bd756c6_bb4f_45b1_8a82_b4b081e805d2_f" w:history="1">
        <w:r>
          <w:rPr>
            <w:color w:val="000000"/>
            <w:sz w:val="23"/>
            <w:szCs w:val="23"/>
          </w:rPr>
          <w:t>subregulation (1)</w:t>
        </w:r>
      </w:hyperlink>
      <w:r>
        <w:rPr>
          <w:color w:val="000000"/>
          <w:sz w:val="23"/>
          <w:szCs w:val="23"/>
        </w:rPr>
        <w:t xml:space="preserve"> has the necessary skills, training and ability to perform the functions of the office or position;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identity of the persons who occupy each office or position, and the command structure can, at all times, be readily ascertained by any person at the facility.</w:t>
      </w:r>
    </w:p>
    <w:p w:rsidR="0065609F" w:rsidRDefault="0065609F" w:rsidP="00762261">
      <w:pPr>
        <w:pStyle w:val="clauseheadlevel4"/>
      </w:pPr>
      <w:bookmarkStart w:id="230" w:name="Elkera_Print_TOC91"/>
      <w:bookmarkStart w:id="231" w:name="Elkera_Print_BK91"/>
      <w:r>
        <w:t>50—Members of the workforce must be competent</w:t>
      </w:r>
      <w:bookmarkEnd w:id="230"/>
      <w:bookmarkEnd w:id="231"/>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The safety case for a facility must describe the means by which the operator will ensure that each member of the workforce at the facility has the necessary skills, training and ability—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to undertake routine and non</w:t>
      </w:r>
      <w:r>
        <w:rPr>
          <w:color w:val="000000"/>
          <w:sz w:val="23"/>
          <w:szCs w:val="23"/>
        </w:rPr>
        <w:noBreakHyphen/>
        <w:t>routine tasks that might reasonably be given to them—</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in normal operating conditions;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in abnormal or emergency conditions;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during any changes to the facility; and</w:t>
      </w:r>
    </w:p>
    <w:p w:rsidR="002944DC" w:rsidRDefault="002944DC" w:rsidP="00762261">
      <w:pPr>
        <w:spacing w:after="0" w:line="240" w:lineRule="auto"/>
        <w:jc w:val="left"/>
        <w:rPr>
          <w:color w:val="000000"/>
          <w:sz w:val="23"/>
          <w:szCs w:val="23"/>
        </w:rPr>
      </w:pPr>
      <w:r>
        <w:rPr>
          <w:color w:val="000000"/>
          <w:sz w:val="23"/>
          <w:szCs w:val="23"/>
        </w:rPr>
        <w:br w:type="page"/>
      </w:r>
    </w:p>
    <w:p w:rsidR="002944DC" w:rsidRDefault="002944DC" w:rsidP="00762261">
      <w:pPr>
        <w:pStyle w:val="RegSpace"/>
        <w:jc w:val="left"/>
      </w:pP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to respond and react appropriately, and at the level that might be reasonably required of them, during an emergency.</w:t>
      </w:r>
    </w:p>
    <w:p w:rsidR="0065609F" w:rsidRDefault="0065609F" w:rsidP="00762261">
      <w:pPr>
        <w:pStyle w:val="clauseheadlevel4"/>
      </w:pPr>
      <w:bookmarkStart w:id="232" w:name="Elkera_Print_TOC92"/>
      <w:bookmarkStart w:id="233" w:name="Elkera_Print_BK92"/>
      <w:r>
        <w:t>51—"Permit to work" system for safe performance of various activities</w:t>
      </w:r>
      <w:bookmarkEnd w:id="232"/>
      <w:bookmarkEnd w:id="233"/>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The safety case in respect of a facility must provide for the operator of the facility to establish and maintain, in accordance with </w:t>
      </w:r>
      <w:hyperlink w:anchor="ida90314c9_f26f_4495_b99f_93cc00e78003_8" w:history="1">
        <w:r>
          <w:rPr>
            <w:color w:val="000000"/>
            <w:sz w:val="23"/>
            <w:szCs w:val="23"/>
          </w:rPr>
          <w:t>subregulation (2)</w:t>
        </w:r>
      </w:hyperlink>
      <w:r>
        <w:rPr>
          <w:color w:val="000000"/>
          <w:sz w:val="23"/>
          <w:szCs w:val="23"/>
        </w:rPr>
        <w:t>, a documented system of coordinating and controlling the safe performance of all work activities of members of the workforce at the facility, including in particular—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welding and other hot work;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cold work (including physical isolation);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electrical work (including electrical isolation);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entry into, and working in a confined space;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procedures for working over water;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(f)</w:t>
      </w:r>
      <w:r>
        <w:rPr>
          <w:color w:val="000000"/>
          <w:sz w:val="23"/>
          <w:szCs w:val="23"/>
        </w:rPr>
        <w:tab/>
        <w:t>diving operations.</w:t>
      </w:r>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1588"/>
        <w:jc w:val="left"/>
        <w:rPr>
          <w:color w:val="000000"/>
          <w:sz w:val="20"/>
          <w:szCs w:val="20"/>
        </w:rPr>
      </w:pPr>
      <w:r>
        <w:rPr>
          <w:color w:val="000000"/>
          <w:sz w:val="20"/>
          <w:szCs w:val="20"/>
        </w:rPr>
        <w:t xml:space="preserve">The expression </w:t>
      </w:r>
      <w:r>
        <w:rPr>
          <w:b/>
          <w:bCs/>
          <w:i/>
          <w:iCs/>
          <w:color w:val="000000"/>
          <w:sz w:val="20"/>
          <w:szCs w:val="20"/>
        </w:rPr>
        <w:t>confined space</w:t>
      </w:r>
      <w:r>
        <w:rPr>
          <w:color w:val="000000"/>
          <w:sz w:val="20"/>
          <w:szCs w:val="20"/>
        </w:rPr>
        <w:t xml:space="preserve"> is defined in </w:t>
      </w:r>
      <w:hyperlink w:anchor="id59648780_7cc1_4b4b_8f5a_73ae1547857d_9" w:history="1">
        <w:r>
          <w:rPr>
            <w:color w:val="000000"/>
            <w:sz w:val="20"/>
            <w:szCs w:val="20"/>
          </w:rPr>
          <w:t>regulation 42</w:t>
        </w:r>
      </w:hyperlink>
      <w:r>
        <w:rPr>
          <w:color w:val="000000"/>
          <w:sz w:val="20"/>
          <w:szCs w:val="20"/>
        </w:rPr>
        <w: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34" w:name="ida90314c9_f26f_4495_b99f_93cc00e78003_8"/>
      <w:r>
        <w:rPr>
          <w:color w:val="000000"/>
          <w:sz w:val="23"/>
          <w:szCs w:val="23"/>
        </w:rPr>
        <w:tab/>
        <w:t>(2)</w:t>
      </w:r>
      <w:r>
        <w:rPr>
          <w:color w:val="000000"/>
          <w:sz w:val="23"/>
          <w:szCs w:val="23"/>
        </w:rPr>
        <w:tab/>
        <w:t>The system must—</w:t>
      </w:r>
      <w:bookmarkEnd w:id="234"/>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form part of the safety management system described in the safety case in force for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identify the persons having responsibility to authorise and supervise work;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ensure that members of the workforce are competent in the application of the permit to work system.</w:t>
      </w:r>
    </w:p>
    <w:p w:rsidR="0065609F" w:rsidRDefault="0065609F" w:rsidP="00762261">
      <w:pPr>
        <w:pStyle w:val="clauseheadlevel4"/>
      </w:pPr>
      <w:bookmarkStart w:id="235" w:name="Elkera_Print_TOC93"/>
      <w:bookmarkStart w:id="236" w:name="Elkera_Print_BK93"/>
      <w:r>
        <w:t>52—Involvement of members of the workforce</w:t>
      </w:r>
      <w:bookmarkEnd w:id="235"/>
      <w:bookmarkEnd w:id="236"/>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37" w:name="id2593ac2f_b8b0_41c2_a66f_865c521a4150_6"/>
      <w:r>
        <w:rPr>
          <w:color w:val="000000"/>
          <w:sz w:val="23"/>
          <w:szCs w:val="23"/>
        </w:rPr>
        <w:tab/>
        <w:t>(1)</w:t>
      </w:r>
      <w:r>
        <w:rPr>
          <w:color w:val="000000"/>
          <w:sz w:val="23"/>
          <w:szCs w:val="23"/>
        </w:rPr>
        <w:tab/>
        <w:t>The operator of a facility must demonstrate to the Safety Authority, to the reasonable satisfaction of the Safety Authority, that—</w:t>
      </w:r>
      <w:bookmarkEnd w:id="237"/>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in the development or revision of the safety case in relation to the facility, there has been effective consultation with, and participation of, members of the workforce;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safety case provides adequately for effective consultation with, and the effective participation of, the members of the workforce, so that they are able to arrive at informed opinions about the risks and hazards to which they may be exposed on the facility.</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 demonstration for the purposes of </w:t>
      </w:r>
      <w:hyperlink w:anchor="id2593ac2f_b8b0_41c2_a66f_865c521a4150_6" w:history="1">
        <w:r>
          <w:rPr>
            <w:color w:val="000000"/>
            <w:sz w:val="23"/>
            <w:szCs w:val="23"/>
          </w:rPr>
          <w:t>subregulation (1)</w:t>
        </w:r>
      </w:hyperlink>
      <w:r>
        <w:rPr>
          <w:color w:val="000000"/>
          <w:sz w:val="23"/>
          <w:szCs w:val="23"/>
        </w:rPr>
        <w:t xml:space="preserve"> must be supported by adequate documentation.</w:t>
      </w:r>
    </w:p>
    <w:p w:rsidR="00DB64A1" w:rsidRDefault="00DB64A1" w:rsidP="00762261">
      <w:pPr>
        <w:spacing w:after="0" w:line="240" w:lineRule="auto"/>
        <w:jc w:val="left"/>
        <w:rPr>
          <w:color w:val="000000"/>
          <w:sz w:val="23"/>
          <w:szCs w:val="23"/>
        </w:rPr>
      </w:pPr>
      <w:r>
        <w:rPr>
          <w:color w:val="000000"/>
          <w:sz w:val="23"/>
          <w:szCs w:val="23"/>
        </w:rPr>
        <w:br w:type="page"/>
      </w:r>
    </w:p>
    <w:p w:rsidR="00DB64A1" w:rsidRDefault="00DB64A1" w:rsidP="00762261">
      <w:pPr>
        <w:pStyle w:val="RegSpace"/>
        <w:jc w:val="left"/>
      </w:pP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In this regulation—</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members of the workforce</w:t>
      </w:r>
      <w:r>
        <w:rPr>
          <w:color w:val="000000"/>
          <w:sz w:val="23"/>
          <w:szCs w:val="23"/>
        </w:rPr>
        <w:t xml:space="preserve"> includes members of the workforce who are—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identifiable before the safety case is developed;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working, or likely to be working, on the relevant facility.</w:t>
      </w:r>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1588"/>
        <w:jc w:val="left"/>
        <w:rPr>
          <w:color w:val="000000"/>
          <w:sz w:val="20"/>
          <w:szCs w:val="20"/>
        </w:rPr>
      </w:pPr>
      <w:r>
        <w:rPr>
          <w:color w:val="000000"/>
          <w:sz w:val="20"/>
          <w:szCs w:val="20"/>
        </w:rPr>
        <w:t>Part 3 of Schedule 7 of the Act sets out consultative provisions that apply, including provisions for the establishment of designated workgroups, the election of health and safety representatives and the establishment of OHS committees. The arrangements under these consultative provisions should be used for consultation with members of the workforce about the development, preparation and revision of the safety case.</w:t>
      </w:r>
    </w:p>
    <w:p w:rsidR="0065609F" w:rsidRDefault="0065609F" w:rsidP="00762261">
      <w:pPr>
        <w:pStyle w:val="clauseheadlevel4"/>
      </w:pPr>
      <w:bookmarkStart w:id="238" w:name="Elkera_Print_TOC94"/>
      <w:bookmarkStart w:id="239" w:name="Elkera_Print_BK94"/>
      <w:r>
        <w:t>53—Design, construction, installation, maintenance and modification</w:t>
      </w:r>
      <w:bookmarkEnd w:id="238"/>
      <w:bookmarkEnd w:id="239"/>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The safety case for a facility must describe the means by which the operator will ensure the adequacy of the design, construction, installation, maintenance or modification of the facility, for the relevant stage or stages in the life of the facility for which the safety case has been submitted.</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In particular, the design, construction, installation, maintenance and modification of the facility must provide for—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adequate means of inventory isolation and pressure relief in the event of an emergency;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adequate means of gaining access for servicing and maintenance of the facility and machinery and other equipment on board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adequate means of maintaining the structural integrity of a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implementation of the technical and other control measures identified as a result of the formal safety assessment.</w:t>
      </w:r>
    </w:p>
    <w:p w:rsidR="0065609F" w:rsidRDefault="0065609F" w:rsidP="00762261">
      <w:pPr>
        <w:pStyle w:val="clauseheadlevel4"/>
      </w:pPr>
      <w:bookmarkStart w:id="240" w:name="Elkera_Print_TOC95"/>
      <w:bookmarkStart w:id="241" w:name="Elkera_Print_BK95"/>
      <w:r>
        <w:t>54—Medical and pharmaceutical supplies and services</w:t>
      </w:r>
      <w:bookmarkEnd w:id="240"/>
      <w:bookmarkEnd w:id="241"/>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The safety case in respect of a facility must specify the medical and pharmaceutical supplies and services, sufficient for an emergency situation, that must be maintained on, or in respect of, the facility.</w:t>
      </w:r>
    </w:p>
    <w:p w:rsidR="0065609F" w:rsidRDefault="0065609F" w:rsidP="00762261">
      <w:pPr>
        <w:pStyle w:val="clauseheadlevel4"/>
      </w:pPr>
      <w:bookmarkStart w:id="242" w:name="Elkera_Print_TOC96"/>
      <w:bookmarkStart w:id="243" w:name="Elkera_Print_BK96"/>
      <w:r>
        <w:t>55—Machinery and equipment</w:t>
      </w:r>
      <w:bookmarkEnd w:id="242"/>
      <w:bookmarkEnd w:id="243"/>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The safety case in respect of a facility must specify the equipment required on the facility (including process equipment, machinery and electrical and instrumentation systems) that relates to, or may affect, the safety of the facility.</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equipment must be fit for its function or use—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in normal operating conditions;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to the extent that it is intended to function, or be used, in an emergency—in case of emergency.</w:t>
      </w:r>
    </w:p>
    <w:p w:rsidR="00CB4F8D" w:rsidRDefault="00CB4F8D" w:rsidP="00762261">
      <w:pPr>
        <w:spacing w:after="0" w:line="240" w:lineRule="auto"/>
        <w:jc w:val="left"/>
        <w:rPr>
          <w:rFonts w:eastAsia="Times New Roman"/>
          <w:b/>
          <w:bCs/>
          <w:color w:val="000000"/>
          <w:sz w:val="26"/>
          <w:szCs w:val="26"/>
          <w:lang w:eastAsia="en-AU"/>
        </w:rPr>
      </w:pPr>
      <w:bookmarkStart w:id="244" w:name="Elkera_Print_TOC97"/>
      <w:bookmarkStart w:id="245" w:name="Elkera_Print_BK97"/>
      <w:r>
        <w:br w:type="page"/>
      </w:r>
    </w:p>
    <w:p w:rsidR="00CB4F8D" w:rsidRDefault="00CB4F8D" w:rsidP="00762261">
      <w:pPr>
        <w:pStyle w:val="RegSpace"/>
        <w:jc w:val="left"/>
      </w:pPr>
    </w:p>
    <w:p w:rsidR="0065609F" w:rsidRDefault="0065609F" w:rsidP="00762261">
      <w:pPr>
        <w:pStyle w:val="clauseheadlevel4"/>
      </w:pPr>
      <w:r>
        <w:t>56—Drugs and intoxicants</w:t>
      </w:r>
      <w:bookmarkEnd w:id="244"/>
      <w:bookmarkEnd w:id="245"/>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The safety case for a facility must describe the means by which the operator will ensure that there is in place, or will be put in place, a method of—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securing, supplying, and monitoring the use of, therapeutic drugs on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preventing the use on the facility of—</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controlled substances (other than therapeutic drugs);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intoxicants.</w:t>
      </w:r>
    </w:p>
    <w:p w:rsidR="0065609F" w:rsidRDefault="0065609F" w:rsidP="00762261">
      <w:pPr>
        <w:pStyle w:val="clauseheadlevel4"/>
      </w:pPr>
      <w:bookmarkStart w:id="246" w:name="Elkera_Print_TOC98"/>
      <w:bookmarkStart w:id="247" w:name="Elkera_Print_BK98"/>
      <w:r>
        <w:t>57—Evacuation, escape and rescue analysis</w:t>
      </w:r>
      <w:bookmarkEnd w:id="246"/>
      <w:bookmarkEnd w:id="247"/>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The safety case for a facility must contain a detailed description of an evacuation, escape and rescue analysis.</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evacuation, escape and rescue analysis must—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identify the types of emergency that could arise at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consider a range of routes for evacuation and escape of persons at the facility in the event of an emergency;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consider alternative routes for evacuation and escape if a primary route is not freely passable;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consider different possible procedures for managing evacuation, escape and rescue in the event of an emergency;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consider a range of means of, and equipment for, evacuation, escape and rescue;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(f)</w:t>
      </w:r>
      <w:r>
        <w:rPr>
          <w:color w:val="000000"/>
          <w:sz w:val="23"/>
          <w:szCs w:val="23"/>
        </w:rPr>
        <w:tab/>
        <w:t>consider a range of amenities and means of emergency communication to be provided in a temporary refuge;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(g)</w:t>
      </w:r>
      <w:r>
        <w:rPr>
          <w:color w:val="000000"/>
          <w:sz w:val="23"/>
          <w:szCs w:val="23"/>
        </w:rPr>
        <w:tab/>
        <w:t>consider a range of life saving equipment, including—</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life rafts to accommodate safely the maximum number of persons that are likely to be at the facility at any time;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equipment to enable that number of persons to obtain access to the life rafts after launching and deployment;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in the case of a floating facility—suitable equipment to provide a float</w:t>
      </w:r>
      <w:r>
        <w:rPr>
          <w:color w:val="000000"/>
          <w:sz w:val="23"/>
          <w:szCs w:val="23"/>
        </w:rPr>
        <w:noBreakHyphen/>
        <w:t>free capability and a means of launching;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(h)</w:t>
      </w:r>
      <w:r>
        <w:rPr>
          <w:color w:val="000000"/>
          <w:sz w:val="23"/>
          <w:szCs w:val="23"/>
        </w:rPr>
        <w:tab/>
        <w:t>identify, as a result of the above considerations, the technical and other control measures necessary to reduce the risks associated with emergencies to a level that is as low as reasonably practicable.</w:t>
      </w:r>
    </w:p>
    <w:p w:rsidR="0065609F" w:rsidRDefault="0065609F" w:rsidP="00762261">
      <w:pPr>
        <w:keepNext/>
        <w:keepLines/>
        <w:autoSpaceDE w:val="0"/>
        <w:autoSpaceDN w:val="0"/>
        <w:adjustRightInd w:val="0"/>
        <w:spacing w:before="120" w:after="0" w:line="240" w:lineRule="auto"/>
        <w:ind w:left="794" w:hanging="567"/>
        <w:jc w:val="left"/>
        <w:rPr>
          <w:b/>
          <w:bCs/>
          <w:color w:val="000000"/>
          <w:sz w:val="20"/>
          <w:szCs w:val="20"/>
        </w:rPr>
      </w:pPr>
      <w:r>
        <w:rPr>
          <w:b/>
          <w:bCs/>
          <w:color w:val="000000"/>
          <w:sz w:val="20"/>
          <w:szCs w:val="20"/>
        </w:rPr>
        <w:t>Note—</w:t>
      </w:r>
    </w:p>
    <w:p w:rsidR="00C67661" w:rsidRPr="000C7838" w:rsidRDefault="0065609F" w:rsidP="00762261">
      <w:pPr>
        <w:keepLines/>
        <w:autoSpaceDE w:val="0"/>
        <w:autoSpaceDN w:val="0"/>
        <w:adjustRightInd w:val="0"/>
        <w:spacing w:before="120" w:after="0" w:line="240" w:lineRule="auto"/>
        <w:ind w:left="794"/>
        <w:jc w:val="left"/>
        <w:rPr>
          <w:color w:val="000000"/>
          <w:sz w:val="20"/>
          <w:szCs w:val="20"/>
        </w:rPr>
      </w:pPr>
      <w:r>
        <w:rPr>
          <w:color w:val="000000"/>
          <w:sz w:val="20"/>
          <w:szCs w:val="20"/>
        </w:rPr>
        <w:t>In so far as it addresses major accident events, the evacuation, escape and rescue analysis forms part of the formal safety assessment.</w:t>
      </w:r>
      <w:bookmarkStart w:id="248" w:name="Elkera_Print_TOC99"/>
      <w:bookmarkStart w:id="249" w:name="Elkera_Print_BK99"/>
    </w:p>
    <w:p w:rsidR="0065609F" w:rsidRDefault="0065609F" w:rsidP="00762261">
      <w:pPr>
        <w:pStyle w:val="clauseheadlevel4"/>
      </w:pPr>
      <w:r>
        <w:t>58—Fire and explosion risk analysis</w:t>
      </w:r>
      <w:bookmarkEnd w:id="248"/>
      <w:bookmarkEnd w:id="249"/>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The safety case for a facility must contain a detailed description of a fire and explosion risk analysis.</w:t>
      </w:r>
    </w:p>
    <w:p w:rsidR="00DC2086" w:rsidRDefault="00DC2086" w:rsidP="00762261">
      <w:pPr>
        <w:spacing w:after="0" w:line="240" w:lineRule="auto"/>
        <w:jc w:val="left"/>
        <w:rPr>
          <w:color w:val="000000"/>
          <w:sz w:val="23"/>
          <w:szCs w:val="23"/>
        </w:rPr>
      </w:pPr>
      <w:r>
        <w:rPr>
          <w:color w:val="000000"/>
          <w:sz w:val="23"/>
          <w:szCs w:val="23"/>
        </w:rPr>
        <w:br w:type="page"/>
      </w:r>
    </w:p>
    <w:p w:rsidR="00DC2086" w:rsidRDefault="00DC2086" w:rsidP="00762261">
      <w:pPr>
        <w:pStyle w:val="RegSpace"/>
        <w:jc w:val="left"/>
      </w:pP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fire and explosion risk analysis must—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identify the types of fires and explosions that could occur at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consider a range of measures for detecting those fires and explosions in the event that they do occur;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consider a range of measures for eliminating those potential fires and explosions, or for otherwise reducing the risk arising from fires and explosions;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consider the incorporation into the facility of both automatic and manual systems for the detection, control and extinguishment of—</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outbreaks of fire;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leaks or escapes of petroleum;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consider a range of means of isolating and safely storing hazardous substances, such as fuel, explosives and chemicals, that are used or stored at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(f)</w:t>
      </w:r>
      <w:r>
        <w:rPr>
          <w:color w:val="000000"/>
          <w:sz w:val="23"/>
          <w:szCs w:val="23"/>
        </w:rPr>
        <w:tab/>
        <w:t>consider the evacuation, escape and rescue analysis, in so far as it relates to fires and explosions;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(g)</w:t>
      </w:r>
      <w:r>
        <w:rPr>
          <w:color w:val="000000"/>
          <w:sz w:val="23"/>
          <w:szCs w:val="23"/>
        </w:rPr>
        <w:tab/>
        <w:t>identify, as a result of the above considerations, the technical and other control measures necessary to reduce the risks associated with fires and explosions to a level that is as low as reasonably practicable.</w:t>
      </w:r>
    </w:p>
    <w:p w:rsidR="0065609F" w:rsidRDefault="0065609F" w:rsidP="00762261">
      <w:pPr>
        <w:keepNext/>
        <w:keepLines/>
        <w:autoSpaceDE w:val="0"/>
        <w:autoSpaceDN w:val="0"/>
        <w:adjustRightInd w:val="0"/>
        <w:spacing w:before="120" w:after="0" w:line="240" w:lineRule="auto"/>
        <w:ind w:left="794" w:hanging="567"/>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794"/>
        <w:jc w:val="left"/>
        <w:rPr>
          <w:color w:val="000000"/>
          <w:sz w:val="20"/>
          <w:szCs w:val="20"/>
        </w:rPr>
      </w:pPr>
      <w:r>
        <w:rPr>
          <w:color w:val="000000"/>
          <w:sz w:val="20"/>
          <w:szCs w:val="20"/>
        </w:rPr>
        <w:t>In so far as it addresses major accident events, the fire and explosion risk analysis forms part of the formal safety assessment.</w:t>
      </w:r>
    </w:p>
    <w:p w:rsidR="0065609F" w:rsidRDefault="0065609F" w:rsidP="00762261">
      <w:pPr>
        <w:pStyle w:val="clauseheadlevel4"/>
      </w:pPr>
      <w:bookmarkStart w:id="250" w:name="Elkera_Print_TOC100"/>
      <w:bookmarkStart w:id="251" w:name="Elkera_Print_BK100"/>
      <w:r>
        <w:t>59—Emergency communications systems</w:t>
      </w:r>
      <w:bookmarkEnd w:id="250"/>
      <w:bookmarkEnd w:id="251"/>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The safety case in respect of a facility must provide for communications systems—</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within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between the facility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appropriate on</w:t>
      </w:r>
      <w:r>
        <w:rPr>
          <w:color w:val="000000"/>
          <w:sz w:val="23"/>
          <w:szCs w:val="23"/>
        </w:rPr>
        <w:noBreakHyphen/>
        <w:t>shore installations;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appropriate vessels and aircraft;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other appropriate facilities,</w:t>
      </w:r>
    </w:p>
    <w:p w:rsidR="0065609F" w:rsidRDefault="0065609F" w:rsidP="00762261">
      <w:pPr>
        <w:keepLines/>
        <w:autoSpaceDE w:val="0"/>
        <w:autoSpaceDN w:val="0"/>
        <w:adjustRightInd w:val="0"/>
        <w:spacing w:before="120" w:after="0" w:line="240" w:lineRule="auto"/>
        <w:ind w:left="1588"/>
        <w:jc w:val="left"/>
        <w:rPr>
          <w:color w:val="000000"/>
          <w:sz w:val="23"/>
          <w:szCs w:val="23"/>
        </w:rPr>
      </w:pPr>
      <w:r>
        <w:rPr>
          <w:color w:val="000000"/>
          <w:sz w:val="23"/>
          <w:szCs w:val="23"/>
        </w:rPr>
        <w:t>that, in the event of an emergency in connection with the facility, is adequate for those kinds of communication.</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In particular, the safety case must provide for the communications systems of the facility to be—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adequate to handle—</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a likely emergency on or relating to the facility;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the operation requirements of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protected so as to be capable of operation in an emergency to the extent specified by the formal safety assessment relating to the facility.</w:t>
      </w:r>
    </w:p>
    <w:p w:rsidR="00283071" w:rsidRDefault="00283071" w:rsidP="00762261">
      <w:pPr>
        <w:spacing w:after="0" w:line="240" w:lineRule="auto"/>
        <w:jc w:val="left"/>
        <w:rPr>
          <w:rFonts w:eastAsia="Times New Roman"/>
          <w:b/>
          <w:bCs/>
          <w:color w:val="000000"/>
          <w:sz w:val="26"/>
          <w:szCs w:val="26"/>
          <w:lang w:eastAsia="en-AU"/>
        </w:rPr>
      </w:pPr>
      <w:bookmarkStart w:id="252" w:name="Elkera_Print_TOC101"/>
      <w:bookmarkStart w:id="253" w:name="Elkera_Print_BK101"/>
      <w:r>
        <w:br w:type="page"/>
      </w:r>
    </w:p>
    <w:p w:rsidR="00283071" w:rsidRDefault="00283071" w:rsidP="00762261">
      <w:pPr>
        <w:pStyle w:val="RegSpace"/>
        <w:jc w:val="left"/>
      </w:pPr>
    </w:p>
    <w:p w:rsidR="0065609F" w:rsidRDefault="0065609F" w:rsidP="00762261">
      <w:pPr>
        <w:pStyle w:val="clauseheadlevel4"/>
      </w:pPr>
      <w:r>
        <w:t>60—Control systems</w:t>
      </w:r>
      <w:bookmarkEnd w:id="252"/>
      <w:bookmarkEnd w:id="253"/>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The safety case in respect of a facility must make adequate provision for the facility, in the event of an emergency, in respect of—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back</w:t>
      </w:r>
      <w:r>
        <w:rPr>
          <w:color w:val="000000"/>
          <w:sz w:val="23"/>
          <w:szCs w:val="23"/>
        </w:rPr>
        <w:noBreakHyphen/>
        <w:t>up power supply;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lighting;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alarm systems;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ballast control;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emergency shut</w:t>
      </w:r>
      <w:r>
        <w:rPr>
          <w:color w:val="000000"/>
          <w:sz w:val="23"/>
          <w:szCs w:val="23"/>
        </w:rPr>
        <w:noBreakHyphen/>
        <w:t>down systems.</w:t>
      </w:r>
    </w:p>
    <w:p w:rsidR="0065609F" w:rsidRDefault="0065609F" w:rsidP="00762261">
      <w:pPr>
        <w:pStyle w:val="clauseheadlevel4"/>
      </w:pPr>
      <w:bookmarkStart w:id="254" w:name="Elkera_Print_TOC102"/>
      <w:bookmarkStart w:id="255" w:name="Elkera_Print_BK102"/>
      <w:r>
        <w:t>61—Emergency preparedness</w:t>
      </w:r>
      <w:bookmarkEnd w:id="254"/>
      <w:bookmarkEnd w:id="255"/>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The safety case for a facility must—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describe a response plan designed to address possible emergencies, the risk of which has been identified in the formal safety assessment for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provide for the implementation of that plan.</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plan must—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ensure, as far as reasonably practicable, the safety of persons likely to be on the facility at the time of the emergency;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specify the performance standards that it applies.</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The safety case must make adequate provision for escape drill exercises and fire drill exercises by persons on the facility.</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In particular, those exercises must ensure that those persons will be trained to function in the event of emergency with an adequate degree of knowledge, preparedness and confidence concerning the relevant emergency procedures.</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(5)</w:t>
      </w:r>
      <w:r>
        <w:rPr>
          <w:color w:val="000000"/>
          <w:sz w:val="23"/>
          <w:szCs w:val="23"/>
        </w:rPr>
        <w:tab/>
        <w:t>The safety case must provide for the operator of the facility to ensure, as far as reasonably practicable, that escape drill exercises and fire drill exercises are held in accordance with the safety case relating to the facility.</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(6)</w:t>
      </w:r>
      <w:r>
        <w:rPr>
          <w:color w:val="000000"/>
          <w:sz w:val="23"/>
          <w:szCs w:val="23"/>
        </w:rPr>
        <w:tab/>
        <w:t>The safety case in respect of a mobile facility must also specify systems that are adequate to—</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shut down or disconnect, in the event of emergency, all operations on the facility that could adversely affect the safety of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give appropriate audible and visible warnings of the shutting down or disconnecting of those operations.</w:t>
      </w:r>
    </w:p>
    <w:p w:rsidR="0065609F" w:rsidRDefault="0065609F" w:rsidP="00762261">
      <w:pPr>
        <w:pStyle w:val="clauseheadlevel4"/>
      </w:pPr>
      <w:bookmarkStart w:id="256" w:name="Elkera_Print_TOC103"/>
      <w:bookmarkStart w:id="257" w:name="Elkera_Print_BK103"/>
      <w:r>
        <w:t>62—Pipelines</w:t>
      </w:r>
      <w:bookmarkEnd w:id="256"/>
      <w:bookmarkEnd w:id="257"/>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The safety case in respect of a facility must specify adequate procedures for shutting down or isolating, in the event of emergency, each pipeline connected to the facility, so as to stop the flow of hazardous substances through the pipeline.</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In particular, the procedures must include—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effective means of controlling and operating all relevant emergency shut</w:t>
      </w:r>
      <w:r>
        <w:rPr>
          <w:color w:val="000000"/>
          <w:sz w:val="23"/>
          <w:szCs w:val="23"/>
        </w:rPr>
        <w:noBreakHyphen/>
        <w:t>down valves for a pipeline; and</w:t>
      </w:r>
    </w:p>
    <w:p w:rsidR="00A44CFD" w:rsidRDefault="00A44CFD" w:rsidP="00762261">
      <w:pPr>
        <w:spacing w:after="0" w:line="240" w:lineRule="auto"/>
        <w:jc w:val="left"/>
        <w:rPr>
          <w:color w:val="000000"/>
          <w:sz w:val="23"/>
          <w:szCs w:val="23"/>
        </w:rPr>
      </w:pPr>
      <w:r>
        <w:rPr>
          <w:color w:val="000000"/>
          <w:sz w:val="23"/>
          <w:szCs w:val="23"/>
        </w:rPr>
        <w:br w:type="page"/>
      </w:r>
    </w:p>
    <w:p w:rsidR="00A44CFD" w:rsidRDefault="00A44CFD" w:rsidP="00762261">
      <w:pPr>
        <w:pStyle w:val="RegSpace"/>
        <w:jc w:val="left"/>
      </w:pP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 fail</w:t>
      </w:r>
      <w:r>
        <w:rPr>
          <w:color w:val="000000"/>
          <w:sz w:val="23"/>
          <w:szCs w:val="23"/>
        </w:rPr>
        <w:noBreakHyphen/>
        <w:t>safe system of isolating a pipeline in the event of failure of other safety devices for the pipeline.</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The safety case in respect of a facility must also specify—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adequate means of mitigating, in the event of emergency, the risks associated with each pipeline connected to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 frequency of periodic inspection and testing of pipeline emergency shut</w:t>
      </w:r>
      <w:r>
        <w:rPr>
          <w:color w:val="000000"/>
          <w:sz w:val="23"/>
          <w:szCs w:val="23"/>
        </w:rPr>
        <w:noBreakHyphen/>
        <w:t>down valves that can reasonably be expected to ensure that they will operate correctly in an emergency.</w:t>
      </w:r>
    </w:p>
    <w:p w:rsidR="0065609F" w:rsidRDefault="0065609F" w:rsidP="00762261">
      <w:pPr>
        <w:pStyle w:val="clauseheadlevel4"/>
      </w:pPr>
      <w:bookmarkStart w:id="258" w:name="Elkera_Print_TOC105"/>
      <w:bookmarkStart w:id="259" w:name="id0e189e8e_ac97_4345_a207_376f3bc15026_3"/>
      <w:r>
        <w:t>63—Vessel and aircraft control</w:t>
      </w:r>
      <w:bookmarkEnd w:id="258"/>
      <w:bookmarkEnd w:id="259"/>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The safety case for a facility must describe a system, that is implemented or will be implemented, as part of the operation of the facility that ensures, as far as reasonably practicable, the safe performance of operations that involve vessels or aircraft.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system must be able to meet the emergency response requirements identified in the formal safety assessment in relation to the facility and be described in the facility's safety management system.</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The equipment and procedures for ensuring safe vessel and aircraft operations must be fit for purpose.</w:t>
      </w:r>
    </w:p>
    <w:p w:rsidR="0065609F" w:rsidRDefault="0065609F" w:rsidP="00762261">
      <w:pPr>
        <w:pStyle w:val="clauseheadlevel4"/>
      </w:pPr>
      <w:bookmarkStart w:id="260" w:name="Elkera_Print_TOC107"/>
      <w:bookmarkStart w:id="261" w:name="id36fac36a_1cfb_40bd_933b_83c7bb4dda5c_7"/>
      <w:r>
        <w:t>64—Arrangements for records</w:t>
      </w:r>
      <w:bookmarkEnd w:id="260"/>
      <w:bookmarkEnd w:id="261"/>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62" w:name="idb7cd6f1f_3565_4c96_9960_07b52953851b_f"/>
      <w:r>
        <w:rPr>
          <w:color w:val="000000"/>
          <w:sz w:val="23"/>
          <w:szCs w:val="23"/>
        </w:rPr>
        <w:tab/>
        <w:t>(1)</w:t>
      </w:r>
      <w:r>
        <w:rPr>
          <w:color w:val="000000"/>
          <w:sz w:val="23"/>
          <w:szCs w:val="23"/>
        </w:rPr>
        <w:tab/>
        <w:t>This regulation applies to the following documents:</w:t>
      </w:r>
      <w:bookmarkEnd w:id="262"/>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263" w:name="id1eadcfa5_3e6d_453c_ae94_ddb34979f31d_f"/>
      <w:r>
        <w:rPr>
          <w:color w:val="000000"/>
          <w:sz w:val="23"/>
          <w:szCs w:val="23"/>
        </w:rPr>
        <w:tab/>
        <w:t>(a)</w:t>
      </w:r>
      <w:r>
        <w:rPr>
          <w:color w:val="000000"/>
          <w:sz w:val="23"/>
          <w:szCs w:val="23"/>
        </w:rPr>
        <w:tab/>
        <w:t>the safety case in force for the facility;</w:t>
      </w:r>
      <w:bookmarkEnd w:id="263"/>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264" w:name="id881f5697_ac0c_4a30_b8d2_9570c825971a_0"/>
      <w:r>
        <w:rPr>
          <w:color w:val="000000"/>
          <w:sz w:val="23"/>
          <w:szCs w:val="23"/>
        </w:rPr>
        <w:tab/>
        <w:t>(b)</w:t>
      </w:r>
      <w:r>
        <w:rPr>
          <w:color w:val="000000"/>
          <w:sz w:val="23"/>
          <w:szCs w:val="23"/>
        </w:rPr>
        <w:tab/>
        <w:t>a revision to the safety case for the facility;</w:t>
      </w:r>
      <w:bookmarkEnd w:id="264"/>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265" w:name="idd8cce13f_b15d_4ba8_879a_a841560f7d1c_e"/>
      <w:r>
        <w:rPr>
          <w:color w:val="000000"/>
          <w:sz w:val="23"/>
          <w:szCs w:val="23"/>
        </w:rPr>
        <w:tab/>
        <w:t>(c)</w:t>
      </w:r>
      <w:r>
        <w:rPr>
          <w:color w:val="000000"/>
          <w:sz w:val="23"/>
          <w:szCs w:val="23"/>
        </w:rPr>
        <w:tab/>
        <w:t>a written audit report for the safety case;</w:t>
      </w:r>
      <w:bookmarkEnd w:id="265"/>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266" w:name="id24905700_95ec_4398_b54c_37af5d2852ba_b"/>
      <w:r>
        <w:rPr>
          <w:color w:val="000000"/>
          <w:sz w:val="23"/>
          <w:szCs w:val="23"/>
        </w:rPr>
        <w:tab/>
        <w:t>(d)</w:t>
      </w:r>
      <w:r>
        <w:rPr>
          <w:color w:val="000000"/>
          <w:sz w:val="23"/>
          <w:szCs w:val="23"/>
        </w:rPr>
        <w:tab/>
        <w:t xml:space="preserve">a copy of each report given to the Safety Authority in accordance with </w:t>
      </w:r>
      <w:hyperlink w:anchor="id4c8c8b1d_88e6_46ad_8797_74bddf0617ac_e" w:history="1">
        <w:r>
          <w:rPr>
            <w:color w:val="000000"/>
            <w:sz w:val="23"/>
            <w:szCs w:val="23"/>
          </w:rPr>
          <w:t>regulation 84(2)</w:t>
        </w:r>
      </w:hyperlink>
      <w:r>
        <w:rPr>
          <w:color w:val="000000"/>
          <w:sz w:val="23"/>
          <w:szCs w:val="23"/>
        </w:rPr>
        <w:t>.</w:t>
      </w:r>
      <w:bookmarkEnd w:id="266"/>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safety case for a facility must include arrangements for—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making a record of the documents;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securely storing the documents and records—</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at an address nominated for the facility;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in a manner that facilitates their retrieval as soon as practicable.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A document mentioned in </w:t>
      </w:r>
      <w:hyperlink w:anchor="id1eadcfa5_3e6d_453c_ae94_ddb34979f31d_f" w:history="1">
        <w:r>
          <w:rPr>
            <w:color w:val="000000"/>
            <w:sz w:val="23"/>
            <w:szCs w:val="23"/>
          </w:rPr>
          <w:t>subregulation (1)(a)</w:t>
        </w:r>
      </w:hyperlink>
      <w:r>
        <w:rPr>
          <w:color w:val="000000"/>
          <w:sz w:val="23"/>
          <w:szCs w:val="23"/>
        </w:rPr>
        <w:t xml:space="preserve"> or </w:t>
      </w:r>
      <w:hyperlink w:anchor="id881f5697_ac0c_4a30_b8d2_9570c825971a_0" w:history="1">
        <w:r>
          <w:rPr>
            <w:color w:val="000000"/>
            <w:sz w:val="23"/>
            <w:szCs w:val="23"/>
          </w:rPr>
          <w:t>(b)</w:t>
        </w:r>
      </w:hyperlink>
      <w:r>
        <w:rPr>
          <w:color w:val="000000"/>
          <w:sz w:val="23"/>
          <w:szCs w:val="23"/>
        </w:rPr>
        <w:t xml:space="preserve"> must be kept for 5 years after the date of acceptance of the document by the Safety Authority.</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 xml:space="preserve">A report mentioned in </w:t>
      </w:r>
      <w:hyperlink w:anchor="idd8cce13f_b15d_4ba8_879a_a841560f7d1c_e" w:history="1">
        <w:r>
          <w:rPr>
            <w:color w:val="000000"/>
            <w:sz w:val="23"/>
            <w:szCs w:val="23"/>
          </w:rPr>
          <w:t>subregulation (1)(c)</w:t>
        </w:r>
      </w:hyperlink>
      <w:r>
        <w:rPr>
          <w:color w:val="000000"/>
          <w:sz w:val="23"/>
          <w:szCs w:val="23"/>
        </w:rPr>
        <w:t xml:space="preserve"> must be kept for a period of 5 years after the date of receipt by the operator.</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(5)</w:t>
      </w:r>
      <w:r>
        <w:rPr>
          <w:color w:val="000000"/>
          <w:sz w:val="23"/>
          <w:szCs w:val="23"/>
        </w:rPr>
        <w:tab/>
        <w:t xml:space="preserve">A copy mentioned in </w:t>
      </w:r>
      <w:hyperlink w:anchor="id24905700_95ec_4398_b54c_37af5d2852ba_b" w:history="1">
        <w:r>
          <w:rPr>
            <w:color w:val="000000"/>
            <w:sz w:val="23"/>
            <w:szCs w:val="23"/>
          </w:rPr>
          <w:t>subregulation (1)(d)</w:t>
        </w:r>
      </w:hyperlink>
      <w:r>
        <w:rPr>
          <w:color w:val="000000"/>
          <w:sz w:val="23"/>
          <w:szCs w:val="23"/>
        </w:rPr>
        <w:t xml:space="preserve"> must be kept for a period of 5 years after the date the report was given to the Safety Authority.</w:t>
      </w:r>
    </w:p>
    <w:p w:rsidR="00470F5A" w:rsidRDefault="00470F5A" w:rsidP="00762261">
      <w:pPr>
        <w:spacing w:after="0" w:line="240" w:lineRule="auto"/>
        <w:jc w:val="left"/>
        <w:rPr>
          <w:rFonts w:eastAsia="Times New Roman"/>
          <w:b/>
          <w:bCs/>
          <w:color w:val="000000"/>
          <w:sz w:val="26"/>
          <w:szCs w:val="26"/>
          <w:lang w:eastAsia="en-AU"/>
        </w:rPr>
      </w:pPr>
      <w:bookmarkStart w:id="267" w:name="Elkera_Print_TOC108"/>
      <w:bookmarkStart w:id="268" w:name="Elkera_Print_BK108"/>
      <w:r>
        <w:br w:type="page"/>
      </w:r>
    </w:p>
    <w:p w:rsidR="00470F5A" w:rsidRDefault="00470F5A" w:rsidP="00762261">
      <w:pPr>
        <w:pStyle w:val="RegSpace"/>
        <w:jc w:val="left"/>
      </w:pPr>
    </w:p>
    <w:p w:rsidR="0065609F" w:rsidRDefault="0065609F" w:rsidP="00762261">
      <w:pPr>
        <w:pStyle w:val="subdivisionheadlevel3"/>
      </w:pPr>
      <w:r>
        <w:t>Subdivision 2—Submission and acceptance of safety cases</w:t>
      </w:r>
      <w:bookmarkEnd w:id="267"/>
      <w:bookmarkEnd w:id="268"/>
    </w:p>
    <w:p w:rsidR="0065609F" w:rsidRDefault="0065609F" w:rsidP="00762261">
      <w:pPr>
        <w:pStyle w:val="clauseheadlevel4"/>
      </w:pPr>
      <w:bookmarkStart w:id="269" w:name="Elkera_Print_TOC110"/>
      <w:bookmarkStart w:id="270" w:name="id5512dbc8_83bc_4c21_8d49_1601de127910_8"/>
      <w:r>
        <w:t>65—Safety case to be submitted to Safety Authority</w:t>
      </w:r>
      <w:bookmarkEnd w:id="269"/>
      <w:bookmarkEnd w:id="270"/>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If an operator for a facility wants to have a safety case accepted for the facility, they must submit the safety case to the Safety Authority.</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safety case may relate to 1 or more stages in the life of the facility.</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The safety case may relate to more than 1 facility.</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The operator must not submit the safety case before the operator and the Safety Authority have agreed on the scope of the validation for the facility.</w:t>
      </w:r>
    </w:p>
    <w:p w:rsidR="0065609F" w:rsidRDefault="0065609F" w:rsidP="00762261">
      <w:pPr>
        <w:pStyle w:val="clauseheadlevel4"/>
      </w:pPr>
      <w:bookmarkStart w:id="271" w:name="Elkera_Print_TOC111"/>
      <w:bookmarkStart w:id="272" w:name="Elkera_Print_BK111"/>
      <w:r>
        <w:t>66—Safety Authority may request more information</w:t>
      </w:r>
      <w:bookmarkEnd w:id="271"/>
      <w:bookmarkEnd w:id="272"/>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73" w:name="id4e4c048b_60c7_4c56_9c91_7a8ac5d51457_e"/>
      <w:r>
        <w:rPr>
          <w:color w:val="000000"/>
          <w:sz w:val="23"/>
          <w:szCs w:val="23"/>
        </w:rPr>
        <w:tab/>
        <w:t>(1)</w:t>
      </w:r>
      <w:r>
        <w:rPr>
          <w:color w:val="000000"/>
          <w:sz w:val="23"/>
          <w:szCs w:val="23"/>
        </w:rPr>
        <w:tab/>
        <w:t>If an operator submits a safety case to the Safety Authority, the Safety Authority may request the operator to provide further written information about any matter required by this Part to be included in a safety case.</w:t>
      </w:r>
      <w:bookmarkEnd w:id="273"/>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 request under </w:t>
      </w:r>
      <w:hyperlink w:anchor="id4e4c048b_60c7_4c56_9c91_7a8ac5d51457_e" w:history="1">
        <w:r>
          <w:rPr>
            <w:color w:val="000000"/>
            <w:sz w:val="23"/>
            <w:szCs w:val="23"/>
          </w:rPr>
          <w:t>subregulation (1)</w:t>
        </w:r>
      </w:hyperlink>
      <w:r>
        <w:rPr>
          <w:color w:val="000000"/>
          <w:sz w:val="23"/>
          <w:szCs w:val="23"/>
        </w:rPr>
        <w:t xml:space="preserve"> must—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be in writing;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set out each matter for which information is requested;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specify a period of at least 30 days within which the information is to be provided.</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If an operator receives a request, and provides all information requested by the Safety Authority within the period specified—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information becomes part of the safety case as if it had been included with the safety case as it was submitted to the Safety Authority;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Safety Authority must have regard to the information as if it had been so included.</w:t>
      </w:r>
    </w:p>
    <w:p w:rsidR="0065609F" w:rsidRDefault="0065609F" w:rsidP="00762261">
      <w:pPr>
        <w:pStyle w:val="clauseheadlevel4"/>
      </w:pPr>
      <w:bookmarkStart w:id="274" w:name="Elkera_Print_TOC113"/>
      <w:bookmarkStart w:id="275" w:name="id4874cbef_89c7_424f_9df6_2e4346e6edb3_9"/>
      <w:r>
        <w:t>67—Acceptance or rejection of a safety case</w:t>
      </w:r>
      <w:bookmarkEnd w:id="274"/>
      <w:bookmarkEnd w:id="275"/>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76" w:name="id4dc78e49_1a40_46e0_a22e_0248d438d2bd_6"/>
      <w:r>
        <w:rPr>
          <w:color w:val="000000"/>
          <w:sz w:val="23"/>
          <w:szCs w:val="23"/>
        </w:rPr>
        <w:tab/>
        <w:t>(1)</w:t>
      </w:r>
      <w:r>
        <w:rPr>
          <w:color w:val="000000"/>
          <w:sz w:val="23"/>
          <w:szCs w:val="23"/>
        </w:rPr>
        <w:tab/>
        <w:t>The Safety Authority must accept a safety case if—</w:t>
      </w:r>
      <w:bookmarkEnd w:id="276"/>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safety case is appropriate to the facility and to the activities conducted at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the safety case complies with </w:t>
      </w:r>
      <w:hyperlink w:anchor="id4a39e714_31cb_4c70_a6b1_2a5a00543ee5_0" w:history="1">
        <w:r>
          <w:rPr>
            <w:color w:val="000000"/>
            <w:sz w:val="23"/>
            <w:szCs w:val="23"/>
          </w:rPr>
          <w:t>regulations 46</w:t>
        </w:r>
      </w:hyperlink>
      <w:r>
        <w:rPr>
          <w:color w:val="000000"/>
          <w:sz w:val="23"/>
          <w:szCs w:val="23"/>
        </w:rPr>
        <w:t xml:space="preserve"> to </w:t>
      </w:r>
      <w:hyperlink w:anchor="id0e189e8e_ac97_4345_a207_376f3bc15026_3" w:history="1">
        <w:r>
          <w:rPr>
            <w:color w:val="000000"/>
            <w:sz w:val="23"/>
            <w:szCs w:val="23"/>
          </w:rPr>
          <w:t>63</w:t>
        </w:r>
      </w:hyperlink>
      <w:r>
        <w:rPr>
          <w:color w:val="000000"/>
          <w:sz w:val="23"/>
          <w:szCs w:val="23"/>
        </w:rPr>
        <w:t xml:space="preserve"> (as applicable) for each stage in the life of the facility in respect of which the safety case is submitted;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 xml:space="preserve">the safety case complies with </w:t>
      </w:r>
      <w:hyperlink w:anchor="id36fac36a_1cfb_40bd_933b_83c7bb4dda5c_7" w:history="1">
        <w:r>
          <w:rPr>
            <w:color w:val="000000"/>
            <w:sz w:val="23"/>
            <w:szCs w:val="23"/>
          </w:rPr>
          <w:t>regulation 64</w:t>
        </w:r>
      </w:hyperlink>
      <w:r>
        <w:rPr>
          <w:color w:val="000000"/>
          <w:sz w:val="23"/>
          <w:szCs w:val="23"/>
        </w:rPr>
        <w: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in a case in which the Safety Authority has requested a validation of the facility—</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 xml:space="preserve">the person, or each person, undertaking the validation meets the criteria specified in </w:t>
      </w:r>
      <w:hyperlink w:anchor="id2a913a09_1d65_4861_80bf_4dfa5911c597_b" w:history="1">
        <w:r>
          <w:rPr>
            <w:color w:val="000000"/>
            <w:sz w:val="23"/>
            <w:szCs w:val="23"/>
          </w:rPr>
          <w:t>regulation 81(5)</w:t>
        </w:r>
      </w:hyperlink>
      <w:r>
        <w:rPr>
          <w:color w:val="000000"/>
          <w:sz w:val="23"/>
          <w:szCs w:val="23"/>
        </w:rPr>
        <w:t>;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 xml:space="preserve">the validation complies with </w:t>
      </w:r>
      <w:hyperlink w:anchor="idaeaf6f72_1e83_47e2_bf34_57bf8f4dc309_c" w:history="1">
        <w:r>
          <w:rPr>
            <w:color w:val="000000"/>
            <w:sz w:val="23"/>
            <w:szCs w:val="23"/>
          </w:rPr>
          <w:t>regulation 81</w:t>
        </w:r>
      </w:hyperlink>
      <w:r>
        <w:rPr>
          <w:color w:val="000000"/>
          <w:sz w:val="23"/>
          <w:szCs w:val="23"/>
        </w:rPr>
        <w: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If a safety case is submitted for more than 1 stage in the life of the facility, the Safety Authority may accept the safety case for 1 or more stages in the life of the facility and reject the safety case for 1 or more stages in the life of the facility.</w:t>
      </w:r>
    </w:p>
    <w:p w:rsidR="00D03F96" w:rsidRDefault="00D03F96" w:rsidP="00762261">
      <w:pPr>
        <w:spacing w:after="0" w:line="240" w:lineRule="auto"/>
        <w:jc w:val="left"/>
        <w:rPr>
          <w:color w:val="000000"/>
          <w:sz w:val="23"/>
          <w:szCs w:val="23"/>
        </w:rPr>
      </w:pPr>
      <w:bookmarkStart w:id="277" w:name="id3953542f_f8b5_4d56_88a1_fde3e2e67c6c_1"/>
      <w:r>
        <w:rPr>
          <w:color w:val="000000"/>
          <w:sz w:val="23"/>
          <w:szCs w:val="23"/>
        </w:rPr>
        <w:br w:type="page"/>
      </w:r>
    </w:p>
    <w:p w:rsidR="00D03F96" w:rsidRDefault="00D03F96" w:rsidP="00762261">
      <w:pPr>
        <w:pStyle w:val="RegSpace"/>
        <w:jc w:val="left"/>
      </w:pP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If the Safety Authority rejects a safety case because the Safety Authority is not satisfied with any of the matters mentioned in </w:t>
      </w:r>
      <w:hyperlink w:anchor="id4dc78e49_1a40_46e0_a22e_0248d438d2bd_6" w:history="1">
        <w:r>
          <w:rPr>
            <w:color w:val="000000"/>
            <w:sz w:val="23"/>
            <w:szCs w:val="23"/>
          </w:rPr>
          <w:t>subregulation (1)</w:t>
        </w:r>
      </w:hyperlink>
      <w:r>
        <w:rPr>
          <w:color w:val="000000"/>
          <w:sz w:val="23"/>
          <w:szCs w:val="23"/>
        </w:rPr>
        <w:t>, the Safety Authority must give the operator a reasonable opportunity to change the safety case and resubmit it.</w:t>
      </w:r>
      <w:bookmarkEnd w:id="277"/>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The Safety Authority must reject the safety case if—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Safety Authority has given an operator a reasonable opportunity to change and resubmit a safety case;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operator resubmits the safety case;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 xml:space="preserve">the Safety Authority is not satisfied with any of the matters mentioned in </w:t>
      </w:r>
      <w:hyperlink w:anchor="id4dc78e49_1a40_46e0_a22e_0248d438d2bd_6" w:history="1">
        <w:r>
          <w:rPr>
            <w:color w:val="000000"/>
            <w:sz w:val="23"/>
            <w:szCs w:val="23"/>
          </w:rPr>
          <w:t>subregulation (1)</w:t>
        </w:r>
      </w:hyperlink>
      <w:r>
        <w:rPr>
          <w:color w:val="000000"/>
          <w:sz w:val="23"/>
          <w:szCs w:val="23"/>
        </w:rPr>
        <w: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78" w:name="id896ce359_e7e7_46e3_afbd_b56a0e00c476_f"/>
      <w:r>
        <w:rPr>
          <w:color w:val="000000"/>
          <w:sz w:val="23"/>
          <w:szCs w:val="23"/>
        </w:rPr>
        <w:tab/>
        <w:t>(5)</w:t>
      </w:r>
      <w:r>
        <w:rPr>
          <w:color w:val="000000"/>
          <w:sz w:val="23"/>
          <w:szCs w:val="23"/>
        </w:rPr>
        <w:tab/>
        <w:t>When accepting a safety case for a facility, the Safety Authority may impose limitations or conditions on the acceptance in respect of the facility or activities at the facility.</w:t>
      </w:r>
      <w:bookmarkEnd w:id="278"/>
    </w:p>
    <w:p w:rsidR="0065609F" w:rsidRDefault="0065609F" w:rsidP="00762261">
      <w:pPr>
        <w:pStyle w:val="clauseheadlevel4"/>
      </w:pPr>
      <w:bookmarkStart w:id="279" w:name="Elkera_Print_TOC114"/>
      <w:bookmarkStart w:id="280" w:name="Elkera_Print_BK114"/>
      <w:r>
        <w:t>68—Notice of decision on safety case</w:t>
      </w:r>
      <w:bookmarkEnd w:id="279"/>
      <w:bookmarkEnd w:id="280"/>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81" w:name="id78b95956_52ce_4af3_9083_6c0d1c12ee1d_a"/>
      <w:r>
        <w:rPr>
          <w:color w:val="000000"/>
          <w:sz w:val="23"/>
          <w:szCs w:val="23"/>
        </w:rPr>
        <w:tab/>
        <w:t>(1)</w:t>
      </w:r>
      <w:r>
        <w:rPr>
          <w:color w:val="000000"/>
          <w:sz w:val="23"/>
          <w:szCs w:val="23"/>
        </w:rPr>
        <w:tab/>
        <w:t xml:space="preserve">Within 90 days after receiving a safety case given under </w:t>
      </w:r>
      <w:hyperlink w:anchor="id5512dbc8_83bc_4c21_8d49_1601de127910_8" w:history="1">
        <w:r>
          <w:rPr>
            <w:color w:val="000000"/>
            <w:sz w:val="23"/>
            <w:szCs w:val="23"/>
          </w:rPr>
          <w:t>regulation 65</w:t>
        </w:r>
      </w:hyperlink>
      <w:r>
        <w:rPr>
          <w:color w:val="000000"/>
          <w:sz w:val="23"/>
          <w:szCs w:val="23"/>
        </w:rPr>
        <w:t xml:space="preserve">, or resubmitted under </w:t>
      </w:r>
      <w:hyperlink w:anchor="id3953542f_f8b5_4d56_88a1_fde3e2e67c6c_1" w:history="1">
        <w:r>
          <w:rPr>
            <w:color w:val="000000"/>
            <w:sz w:val="23"/>
            <w:szCs w:val="23"/>
          </w:rPr>
          <w:t>regulation 67(3)</w:t>
        </w:r>
      </w:hyperlink>
      <w:r>
        <w:rPr>
          <w:color w:val="000000"/>
          <w:sz w:val="23"/>
          <w:szCs w:val="23"/>
        </w:rPr>
        <w:t>, the Safety Authority must—</w:t>
      </w:r>
      <w:bookmarkEnd w:id="281"/>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282" w:name="id62df63dd_e04c_4796_933b_324d90451b74_4"/>
      <w:r>
        <w:rPr>
          <w:color w:val="000000"/>
          <w:sz w:val="23"/>
          <w:szCs w:val="23"/>
        </w:rPr>
        <w:tab/>
        <w:t>(a)</w:t>
      </w:r>
      <w:r>
        <w:rPr>
          <w:color w:val="000000"/>
          <w:sz w:val="23"/>
          <w:szCs w:val="23"/>
        </w:rPr>
        <w:tab/>
        <w:t>notify the operator, in writing, that the Safety Authority has decided to—</w:t>
      </w:r>
      <w:bookmarkEnd w:id="282"/>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accept the safety case;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reject the safety case;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do both of the following:</w:t>
      </w:r>
    </w:p>
    <w:p w:rsidR="0065609F" w:rsidRDefault="0065609F" w:rsidP="00762261">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(A)</w:t>
      </w:r>
      <w:r>
        <w:rPr>
          <w:color w:val="000000"/>
          <w:sz w:val="23"/>
          <w:szCs w:val="23"/>
        </w:rPr>
        <w:tab/>
        <w:t>accept the safety case for 1 or more specified stages in the life of the facility, but not for every stage in the life of the facility, in respect of which the safety case was submitted; and</w:t>
      </w:r>
    </w:p>
    <w:p w:rsidR="0065609F" w:rsidRDefault="0065609F" w:rsidP="00762261">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(B)</w:t>
      </w:r>
      <w:r>
        <w:rPr>
          <w:color w:val="000000"/>
          <w:sz w:val="23"/>
          <w:szCs w:val="23"/>
        </w:rPr>
        <w:tab/>
        <w:t>reject the rest of the safety case;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(iv)</w:t>
      </w:r>
      <w:r>
        <w:rPr>
          <w:color w:val="000000"/>
          <w:sz w:val="23"/>
          <w:szCs w:val="23"/>
        </w:rPr>
        <w:tab/>
        <w:t>accept the safety case subject to conditions or limitations;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notify the operator, in writing, that the Safety Authority is unable to make a decision about the safety case within the period of 90 days, and set out a proposed timetable for its consideration of the safety case.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 failure by the Safety Authority to comply with </w:t>
      </w:r>
      <w:hyperlink w:anchor="id78b95956_52ce_4af3_9083_6c0d1c12ee1d_a" w:history="1">
        <w:r>
          <w:rPr>
            <w:color w:val="000000"/>
            <w:sz w:val="23"/>
            <w:szCs w:val="23"/>
          </w:rPr>
          <w:t>subregulation (1)</w:t>
        </w:r>
      </w:hyperlink>
      <w:r>
        <w:rPr>
          <w:color w:val="000000"/>
          <w:sz w:val="23"/>
          <w:szCs w:val="23"/>
        </w:rPr>
        <w:t xml:space="preserve"> in relation to a safety case does not affect the validity of a decision by the Safety Authority to accept or reject the safety case.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A notice of a decision under </w:t>
      </w:r>
      <w:hyperlink w:anchor="id62df63dd_e04c_4796_933b_324d90451b74_4" w:history="1">
        <w:r>
          <w:rPr>
            <w:color w:val="000000"/>
            <w:sz w:val="23"/>
            <w:szCs w:val="23"/>
          </w:rPr>
          <w:t>subregulation (1)(a)</w:t>
        </w:r>
      </w:hyperlink>
      <w:r>
        <w:rPr>
          <w:color w:val="000000"/>
          <w:sz w:val="23"/>
          <w:szCs w:val="23"/>
        </w:rPr>
        <w:t xml:space="preserve"> must include the terms of the decision (including any limitations or conditions) and the reasons for it.</w:t>
      </w:r>
    </w:p>
    <w:p w:rsidR="0065609F" w:rsidRDefault="0065609F" w:rsidP="00762261">
      <w:pPr>
        <w:pStyle w:val="clauseheadlevel4"/>
      </w:pPr>
      <w:bookmarkStart w:id="283" w:name="Elkera_Print_TOC116"/>
      <w:bookmarkStart w:id="284" w:name="idba0a87cd_e0c3_4662_8d56_40f8796f3353_6"/>
      <w:r>
        <w:t>69—Consent to undertake work outside of the requirements of the safety case</w:t>
      </w:r>
      <w:bookmarkEnd w:id="283"/>
      <w:bookmarkEnd w:id="284"/>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85" w:name="idfe8c01bd_5b12_4d08_af40_8a607e357736_6"/>
      <w:r>
        <w:rPr>
          <w:color w:val="000000"/>
          <w:sz w:val="23"/>
          <w:szCs w:val="23"/>
        </w:rPr>
        <w:tab/>
        <w:t>(1)</w:t>
      </w:r>
      <w:r>
        <w:rPr>
          <w:color w:val="000000"/>
          <w:sz w:val="23"/>
          <w:szCs w:val="23"/>
        </w:rPr>
        <w:tab/>
        <w:t>The Safety Authority may, by notice in writing, given to the operator of a facility, consent to—</w:t>
      </w:r>
      <w:bookmarkEnd w:id="285"/>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construction of the facility;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installation of the facility;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operation of the facility; or</w:t>
      </w:r>
    </w:p>
    <w:p w:rsidR="0031358F" w:rsidRDefault="0031358F" w:rsidP="00762261">
      <w:pPr>
        <w:spacing w:after="0" w:line="240" w:lineRule="auto"/>
        <w:jc w:val="left"/>
        <w:rPr>
          <w:color w:val="000000"/>
          <w:sz w:val="23"/>
          <w:szCs w:val="23"/>
        </w:rPr>
      </w:pPr>
      <w:r>
        <w:rPr>
          <w:color w:val="000000"/>
          <w:sz w:val="23"/>
          <w:szCs w:val="23"/>
        </w:rPr>
        <w:br w:type="page"/>
      </w:r>
    </w:p>
    <w:p w:rsidR="0031358F" w:rsidRDefault="0031358F" w:rsidP="00762261">
      <w:pPr>
        <w:pStyle w:val="RegSpace"/>
        <w:jc w:val="left"/>
      </w:pP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 modification of the facility;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the decommissioning of the facility,</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in a manner that is different from the safety case in force in relation to the facility.</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The Safety Authority must not give a consent under </w:t>
      </w:r>
      <w:hyperlink w:anchor="idfe8c01bd_5b12_4d08_af40_8a607e357736_6" w:history="1">
        <w:r>
          <w:rPr>
            <w:color w:val="000000"/>
            <w:sz w:val="23"/>
            <w:szCs w:val="23"/>
          </w:rPr>
          <w:t>subregulation (1)</w:t>
        </w:r>
      </w:hyperlink>
      <w:r>
        <w:rPr>
          <w:color w:val="000000"/>
          <w:sz w:val="23"/>
          <w:szCs w:val="23"/>
        </w:rPr>
        <w:t xml:space="preserve"> unless it is satisfied that there will not be an occurrence of a significant new risk to health and safety or a significant increase in an existing risk to health and safety arising from the construction, installation, operation, modification or decommissioning of the facility in the relevant manner.</w:t>
      </w:r>
    </w:p>
    <w:p w:rsidR="0065609F" w:rsidRDefault="0065609F" w:rsidP="00762261">
      <w:pPr>
        <w:pStyle w:val="clauseheadlevel4"/>
      </w:pPr>
      <w:bookmarkStart w:id="286" w:name="Elkera_Print_TOC117"/>
      <w:bookmarkStart w:id="287" w:name="Elkera_Print_BK117"/>
      <w:r>
        <w:t>70—Duties under Part 2 of Schedule 7 of the Act</w:t>
      </w:r>
      <w:bookmarkEnd w:id="286"/>
      <w:bookmarkEnd w:id="287"/>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The acceptance of a safety case by the Safety Authority, or compliance by an operator or another person with a safety case that has been accepted by the Safety Authority, does not derogate from the duties of the operator or person under Part 2 of Schedule 7 of the Act.</w:t>
      </w:r>
    </w:p>
    <w:p w:rsidR="0065609F" w:rsidRDefault="0065609F" w:rsidP="00762261">
      <w:pPr>
        <w:pStyle w:val="subdivisionheadlevel3"/>
      </w:pPr>
      <w:bookmarkStart w:id="288" w:name="Elkera_Print_TOC118"/>
      <w:bookmarkStart w:id="289" w:name="Elkera_Print_BK118"/>
      <w:r>
        <w:t>Subdivision 3—Revised safety cases</w:t>
      </w:r>
      <w:bookmarkEnd w:id="288"/>
      <w:bookmarkEnd w:id="289"/>
    </w:p>
    <w:p w:rsidR="0065609F" w:rsidRDefault="0065609F" w:rsidP="00762261">
      <w:pPr>
        <w:pStyle w:val="clauseheadlevel4"/>
      </w:pPr>
      <w:bookmarkStart w:id="290" w:name="Elkera_Print_TOC120"/>
      <w:bookmarkStart w:id="291" w:name="idfdcea7e2_8dda_4269_bc22_b083174d640f_f"/>
      <w:r>
        <w:t>71—Revision of a safety case because of a change of circumstances or operations</w:t>
      </w:r>
      <w:bookmarkEnd w:id="290"/>
      <w:bookmarkEnd w:id="291"/>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92" w:name="ida0408c73_4565_4003_8f36_2d0215a560a5_3"/>
      <w:r>
        <w:rPr>
          <w:color w:val="000000"/>
          <w:sz w:val="23"/>
          <w:szCs w:val="23"/>
        </w:rPr>
        <w:tab/>
        <w:t>(1)</w:t>
      </w:r>
      <w:r>
        <w:rPr>
          <w:color w:val="000000"/>
          <w:sz w:val="23"/>
          <w:szCs w:val="23"/>
        </w:rPr>
        <w:tab/>
        <w:t xml:space="preserve">Subject to </w:t>
      </w:r>
      <w:hyperlink w:anchor="id0fd7dea2_a86a_4592_b361_9be72e17b31f_8" w:history="1">
        <w:r>
          <w:rPr>
            <w:color w:val="000000"/>
            <w:sz w:val="23"/>
            <w:szCs w:val="23"/>
          </w:rPr>
          <w:t>subregulation (2)</w:t>
        </w:r>
      </w:hyperlink>
      <w:r>
        <w:rPr>
          <w:color w:val="000000"/>
          <w:sz w:val="23"/>
          <w:szCs w:val="23"/>
        </w:rPr>
        <w:t>, an operator of a facility for which a safety case is in force must submit a revised safety case to the Safety Authority as soon as practicable after the occurrence of any of the following circumstances:</w:t>
      </w:r>
      <w:bookmarkEnd w:id="292"/>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the technical knowledge relied upon to formulate the safety case, including the knowledge of systems for identifying hazards and evaluating risks of major accident events, is outdated so that the safety case no longer adequately provides for the matters mentioned in </w:t>
      </w:r>
      <w:hyperlink w:anchor="id4a39e714_31cb_4c70_a6b1_2a5a00543ee5_0" w:history="1">
        <w:r>
          <w:rPr>
            <w:color w:val="000000"/>
            <w:sz w:val="23"/>
            <w:szCs w:val="23"/>
          </w:rPr>
          <w:t>regulations 46</w:t>
        </w:r>
      </w:hyperlink>
      <w:r>
        <w:rPr>
          <w:color w:val="000000"/>
          <w:sz w:val="23"/>
          <w:szCs w:val="23"/>
        </w:rPr>
        <w:t xml:space="preserve"> to </w:t>
      </w:r>
      <w:hyperlink w:anchor="id0e189e8e_ac97_4345_a207_376f3bc15026_3" w:history="1">
        <w:r>
          <w:rPr>
            <w:color w:val="000000"/>
            <w:sz w:val="23"/>
            <w:szCs w:val="23"/>
          </w:rPr>
          <w:t>63</w:t>
        </w:r>
      </w:hyperlink>
      <w:r>
        <w:rPr>
          <w:color w:val="000000"/>
          <w:sz w:val="23"/>
          <w:szCs w:val="23"/>
        </w:rPr>
        <w: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operator proposes to modify or decommission the facility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safety case has not been accepted by the Safety Authority for the modification or decommissioning stage in the life of the facility;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the proposed modification or decommissioning is not adequately addressed in the safety case;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there are reasonable grounds for believing that a series of proposed modifications to the facility would result in a significant cumulative change in the overall level of risk of major accident events;</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 operator proposes to significantly change the safety management system that is in force at the facility;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the activities to be carried out at the facility are different from the activities contemplated in the safety case.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93" w:name="id0fd7dea2_a86a_4592_b361_9be72e17b31f_8"/>
      <w:r>
        <w:rPr>
          <w:color w:val="000000"/>
          <w:sz w:val="23"/>
          <w:szCs w:val="23"/>
        </w:rPr>
        <w:tab/>
        <w:t>(2)</w:t>
      </w:r>
      <w:r>
        <w:rPr>
          <w:color w:val="000000"/>
          <w:sz w:val="23"/>
          <w:szCs w:val="23"/>
        </w:rPr>
        <w:tab/>
        <w:t xml:space="preserve">If a circumstance mentioned in </w:t>
      </w:r>
      <w:hyperlink w:anchor="ida0408c73_4565_4003_8f36_2d0215a560a5_3" w:history="1">
        <w:r>
          <w:rPr>
            <w:color w:val="000000"/>
            <w:sz w:val="23"/>
            <w:szCs w:val="23"/>
          </w:rPr>
          <w:t>subregulation (1)</w:t>
        </w:r>
      </w:hyperlink>
      <w:r>
        <w:rPr>
          <w:color w:val="000000"/>
          <w:sz w:val="23"/>
          <w:szCs w:val="23"/>
        </w:rPr>
        <w:t xml:space="preserve"> is satisfied because the operator proposes to modify or decommission the facility the operator must not submit the revised safety case before the operator and the Safety Authority have agreed on the scope of the validation of the proposal.</w:t>
      </w:r>
      <w:bookmarkEnd w:id="293"/>
    </w:p>
    <w:p w:rsidR="006E6B84" w:rsidRDefault="006E6B84" w:rsidP="00762261">
      <w:pPr>
        <w:spacing w:after="0" w:line="240" w:lineRule="auto"/>
        <w:jc w:val="left"/>
        <w:rPr>
          <w:color w:val="000000"/>
          <w:sz w:val="23"/>
          <w:szCs w:val="23"/>
        </w:rPr>
      </w:pPr>
      <w:r>
        <w:rPr>
          <w:color w:val="000000"/>
          <w:sz w:val="23"/>
          <w:szCs w:val="23"/>
        </w:rPr>
        <w:br w:type="page"/>
      </w:r>
    </w:p>
    <w:p w:rsidR="006E6B84" w:rsidRDefault="006E6B84" w:rsidP="00762261">
      <w:pPr>
        <w:pStyle w:val="RegSpace"/>
        <w:jc w:val="left"/>
      </w:pP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If the Safety Authority agrees, the operator of a facility may submit a revised safety case under </w:t>
      </w:r>
      <w:hyperlink w:anchor="ida0408c73_4565_4003_8f36_2d0215a560a5_3" w:history="1">
        <w:r>
          <w:rPr>
            <w:color w:val="000000"/>
            <w:sz w:val="23"/>
            <w:szCs w:val="23"/>
          </w:rPr>
          <w:t>subregulation (1)</w:t>
        </w:r>
      </w:hyperlink>
      <w:r>
        <w:rPr>
          <w:color w:val="000000"/>
          <w:sz w:val="23"/>
          <w:szCs w:val="23"/>
        </w:rPr>
        <w:t xml:space="preserve"> in the form of a revision to part of the safety case in force for the facility.</w:t>
      </w:r>
    </w:p>
    <w:p w:rsidR="0065609F" w:rsidRDefault="0065609F" w:rsidP="00762261">
      <w:pPr>
        <w:pStyle w:val="clauseheadlevel4"/>
      </w:pPr>
      <w:bookmarkStart w:id="294" w:name="Elkera_Print_TOC122"/>
      <w:bookmarkStart w:id="295" w:name="id2d7a31eb_12b7_4dfe_82e1_2f8dc037fd29_9"/>
      <w:r>
        <w:t>72—Revision on request by the Safety Authority</w:t>
      </w:r>
      <w:bookmarkEnd w:id="294"/>
      <w:bookmarkEnd w:id="295"/>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96" w:name="idd691c3b8_3d03_4e9a_b000_6f09b6ad0703_9"/>
      <w:r>
        <w:rPr>
          <w:color w:val="000000"/>
          <w:sz w:val="23"/>
          <w:szCs w:val="23"/>
        </w:rPr>
        <w:tab/>
        <w:t>(1)</w:t>
      </w:r>
      <w:r>
        <w:rPr>
          <w:color w:val="000000"/>
          <w:sz w:val="23"/>
          <w:szCs w:val="23"/>
        </w:rPr>
        <w:tab/>
        <w:t>The Safety Authority may request the operator of a facility for which a safety case is in force to submit a revised safety case to the Safety Authority.</w:t>
      </w:r>
      <w:bookmarkEnd w:id="296"/>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If the Safety Authority agrees, the operator of a facility may submit a revised safety case under </w:t>
      </w:r>
      <w:hyperlink w:anchor="idd691c3b8_3d03_4e9a_b000_6f09b6ad0703_9" w:history="1">
        <w:r>
          <w:rPr>
            <w:color w:val="000000"/>
            <w:sz w:val="23"/>
            <w:szCs w:val="23"/>
          </w:rPr>
          <w:t>subregulation (1)</w:t>
        </w:r>
      </w:hyperlink>
      <w:r>
        <w:rPr>
          <w:color w:val="000000"/>
          <w:sz w:val="23"/>
          <w:szCs w:val="23"/>
        </w:rPr>
        <w:t xml:space="preserve"> in the form of a revision to part of the safety case in force for the facility.</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A request by the Safety Authority must be in writing and include the following information: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matters to be addressed by the revision;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proposed date of effect of the revision;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grounds for the request.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97" w:name="id6e0dfc99_013f_4e2a_a09c_ac798896c95a_7"/>
      <w:r>
        <w:rPr>
          <w:color w:val="000000"/>
          <w:sz w:val="23"/>
          <w:szCs w:val="23"/>
        </w:rPr>
        <w:tab/>
        <w:t>(4)</w:t>
      </w:r>
      <w:r>
        <w:rPr>
          <w:color w:val="000000"/>
          <w:sz w:val="23"/>
          <w:szCs w:val="23"/>
        </w:rPr>
        <w:tab/>
        <w:t>The operator may make a submission in writing to the Safety Authority requesting the variation or withdrawal of the request and stating the reasons why—</w:t>
      </w:r>
      <w:bookmarkEnd w:id="297"/>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revision should not occur;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revision should be in different terms from the terms proposed;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revision should take effect on a date after the date proposed.</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298" w:name="id788f29f2_b83e_4000_86db_dde1397d29a3_f"/>
      <w:r>
        <w:rPr>
          <w:color w:val="000000"/>
          <w:sz w:val="23"/>
          <w:szCs w:val="23"/>
        </w:rPr>
        <w:tab/>
        <w:t>(5)</w:t>
      </w:r>
      <w:r>
        <w:rPr>
          <w:color w:val="000000"/>
          <w:sz w:val="23"/>
          <w:szCs w:val="23"/>
        </w:rPr>
        <w:tab/>
        <w:t>The operator must make the submission—</w:t>
      </w:r>
      <w:bookmarkEnd w:id="298"/>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within 21 days after receiving the request;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within a longer period specified in writing by the Safety Authority.</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(6)</w:t>
      </w:r>
      <w:r>
        <w:rPr>
          <w:color w:val="000000"/>
          <w:sz w:val="23"/>
          <w:szCs w:val="23"/>
        </w:rPr>
        <w:tab/>
        <w:t xml:space="preserve">If the Safety Authority receives a submission that complies with </w:t>
      </w:r>
      <w:hyperlink w:anchor="id6e0dfc99_013f_4e2a_a09c_ac798896c95a_7" w:history="1">
        <w:r>
          <w:rPr>
            <w:color w:val="000000"/>
            <w:sz w:val="23"/>
            <w:szCs w:val="23"/>
          </w:rPr>
          <w:t>subregulations (4)</w:t>
        </w:r>
      </w:hyperlink>
      <w:r>
        <w:rPr>
          <w:color w:val="000000"/>
          <w:sz w:val="23"/>
          <w:szCs w:val="23"/>
        </w:rPr>
        <w:t xml:space="preserve"> and </w:t>
      </w:r>
      <w:hyperlink w:anchor="id788f29f2_b83e_4000_86db_dde1397d29a3_f" w:history="1">
        <w:r>
          <w:rPr>
            <w:color w:val="000000"/>
            <w:sz w:val="23"/>
            <w:szCs w:val="23"/>
          </w:rPr>
          <w:t>(5)</w:t>
        </w:r>
      </w:hyperlink>
      <w:r>
        <w:rPr>
          <w:color w:val="000000"/>
          <w:sz w:val="23"/>
          <w:szCs w:val="23"/>
        </w:rPr>
        <w:t>, the Safety Authority must—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decide whether to accept the submission or part of the submission;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give the operator written notice of the decision;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to the extent that the submission is accepted—give the operator written notice that varies or withdraws the request in accordance with the decision;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to the extent that the submission is rejected—give the operator written notice of the grounds for rejecting the submission or part of the submission.</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(7)</w:t>
      </w:r>
      <w:r>
        <w:rPr>
          <w:color w:val="000000"/>
          <w:sz w:val="23"/>
          <w:szCs w:val="23"/>
        </w:rPr>
        <w:tab/>
        <w:t>Unless the request is withdrawn, the operator must comply with a request, or a varied request.</w:t>
      </w:r>
    </w:p>
    <w:p w:rsidR="0065609F" w:rsidRDefault="0065609F" w:rsidP="00762261">
      <w:pPr>
        <w:pStyle w:val="clauseheadlevel4"/>
      </w:pPr>
      <w:bookmarkStart w:id="299" w:name="Elkera_Print_TOC124"/>
      <w:bookmarkStart w:id="300" w:name="idf9cf3389_2f4a_47cc_be36_597fc7854d09_9"/>
      <w:r>
        <w:t>73—Revision after 5 years</w:t>
      </w:r>
      <w:bookmarkEnd w:id="299"/>
      <w:bookmarkEnd w:id="300"/>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The operator of a facility for which a safety case is in force must submit a revised safety case to the Safety Authority—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5 years after the date that the safety case was first accepted under </w:t>
      </w:r>
      <w:hyperlink w:anchor="id4874cbef_89c7_424f_9df6_2e4346e6edb3_9" w:history="1">
        <w:r>
          <w:rPr>
            <w:color w:val="000000"/>
            <w:sz w:val="23"/>
            <w:szCs w:val="23"/>
          </w:rPr>
          <w:t>regulation 67</w:t>
        </w:r>
      </w:hyperlink>
      <w:r>
        <w:rPr>
          <w:color w:val="000000"/>
          <w:sz w:val="23"/>
          <w:szCs w:val="23"/>
        </w:rPr>
        <w: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5 years after the date of each acceptance of a revised safety case under </w:t>
      </w:r>
      <w:hyperlink w:anchor="id7eb436fc_076d_48b3_b254_e93984c4e378_d" w:history="1">
        <w:r>
          <w:rPr>
            <w:color w:val="000000"/>
            <w:sz w:val="23"/>
            <w:szCs w:val="23"/>
          </w:rPr>
          <w:t>regulation 75</w:t>
        </w:r>
      </w:hyperlink>
      <w:r>
        <w:rPr>
          <w:color w:val="000000"/>
          <w:sz w:val="23"/>
          <w:szCs w:val="23"/>
        </w:rPr>
        <w: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whether or not a revision under </w:t>
      </w:r>
      <w:hyperlink w:anchor="idfdcea7e2_8dda_4269_bc22_b083174d640f_f" w:history="1">
        <w:r>
          <w:rPr>
            <w:color w:val="000000"/>
            <w:sz w:val="23"/>
            <w:szCs w:val="23"/>
          </w:rPr>
          <w:t>regulation 71</w:t>
        </w:r>
      </w:hyperlink>
      <w:r>
        <w:rPr>
          <w:color w:val="000000"/>
          <w:sz w:val="23"/>
          <w:szCs w:val="23"/>
        </w:rPr>
        <w:t xml:space="preserve"> or </w:t>
      </w:r>
      <w:hyperlink w:anchor="id2d7a31eb_12b7_4dfe_82e1_2f8dc037fd29_9" w:history="1">
        <w:r>
          <w:rPr>
            <w:color w:val="000000"/>
            <w:sz w:val="23"/>
            <w:szCs w:val="23"/>
          </w:rPr>
          <w:t>72</w:t>
        </w:r>
      </w:hyperlink>
      <w:r>
        <w:rPr>
          <w:color w:val="000000"/>
          <w:sz w:val="23"/>
          <w:szCs w:val="23"/>
        </w:rPr>
        <w:t xml:space="preserve"> has been accepted within the 5 year period.</w:t>
      </w:r>
    </w:p>
    <w:p w:rsidR="00151171" w:rsidRDefault="00151171" w:rsidP="00762261">
      <w:pPr>
        <w:spacing w:after="0" w:line="240" w:lineRule="auto"/>
        <w:jc w:val="left"/>
        <w:rPr>
          <w:color w:val="000000"/>
          <w:sz w:val="23"/>
          <w:szCs w:val="23"/>
        </w:rPr>
      </w:pPr>
      <w:r>
        <w:rPr>
          <w:color w:val="000000"/>
          <w:sz w:val="23"/>
          <w:szCs w:val="23"/>
        </w:rPr>
        <w:br w:type="page"/>
      </w:r>
    </w:p>
    <w:p w:rsidR="00151171" w:rsidRDefault="00151171" w:rsidP="00762261">
      <w:pPr>
        <w:pStyle w:val="RegSpace"/>
        <w:jc w:val="left"/>
      </w:pP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 revised safety case submitted under this regulation must describe the means by which the operator will ensure the ongoing integrity of the technical and other control measures identified by the formal safety assessment for the facility.</w:t>
      </w:r>
    </w:p>
    <w:p w:rsidR="0065609F" w:rsidRDefault="0065609F" w:rsidP="00762261">
      <w:pPr>
        <w:pStyle w:val="clauseheadlevel4"/>
      </w:pPr>
      <w:bookmarkStart w:id="301" w:name="Elkera_Print_TOC125"/>
      <w:bookmarkStart w:id="302" w:name="Elkera_Print_BK125"/>
      <w:r>
        <w:t>74—Safety Authority may request more information</w:t>
      </w:r>
      <w:bookmarkEnd w:id="301"/>
      <w:bookmarkEnd w:id="302"/>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03" w:name="ida2e0d822_8050_40f9_8a9f_35f147382569_0"/>
      <w:r>
        <w:rPr>
          <w:color w:val="000000"/>
          <w:sz w:val="23"/>
          <w:szCs w:val="23"/>
        </w:rPr>
        <w:tab/>
        <w:t>(1)</w:t>
      </w:r>
      <w:r>
        <w:rPr>
          <w:color w:val="000000"/>
          <w:sz w:val="23"/>
          <w:szCs w:val="23"/>
        </w:rPr>
        <w:tab/>
        <w:t>If an operator submits a revised safety case to the Safety Authority, the Safety Authority may request the operator to provide further written information about any matter required by these regulations to be included in a safety case.</w:t>
      </w:r>
      <w:bookmarkEnd w:id="303"/>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 request under </w:t>
      </w:r>
      <w:hyperlink w:anchor="ida2e0d822_8050_40f9_8a9f_35f147382569_0" w:history="1">
        <w:r>
          <w:rPr>
            <w:color w:val="000000"/>
            <w:sz w:val="23"/>
            <w:szCs w:val="23"/>
          </w:rPr>
          <w:t>subregulation (1)</w:t>
        </w:r>
      </w:hyperlink>
      <w:r>
        <w:rPr>
          <w:color w:val="000000"/>
          <w:sz w:val="23"/>
          <w:szCs w:val="23"/>
        </w:rPr>
        <w:t xml:space="preserve"> must—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be in writing;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set out each matter for which information is requested;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specify a period of not less than 10 days within which the information is to be provided.</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If an operator receives a request and provides all information requested by the Safety Authority within the period specified—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information becomes part of the revised safety case as if it had been included with the revised safety case as it was submitted to the Safety Authority;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Safety Authority must have regard to the information as if it had been so included.</w:t>
      </w:r>
    </w:p>
    <w:p w:rsidR="0065609F" w:rsidRDefault="0065609F" w:rsidP="00762261">
      <w:pPr>
        <w:pStyle w:val="clauseheadlevel4"/>
      </w:pPr>
      <w:bookmarkStart w:id="304" w:name="Elkera_Print_TOC127"/>
      <w:bookmarkStart w:id="305" w:name="id7eb436fc_076d_48b3_b254_e93984c4e378_d"/>
      <w:r>
        <w:t>75—Acceptance or rejection of a revised safety case</w:t>
      </w:r>
      <w:bookmarkEnd w:id="304"/>
      <w:bookmarkEnd w:id="305"/>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06" w:name="id2a4a30ff_84f6_429b_b09f_231629f95e54_2"/>
      <w:r>
        <w:rPr>
          <w:color w:val="000000"/>
          <w:sz w:val="23"/>
          <w:szCs w:val="23"/>
        </w:rPr>
        <w:tab/>
        <w:t>(1)</w:t>
      </w:r>
      <w:r>
        <w:rPr>
          <w:color w:val="000000"/>
          <w:sz w:val="23"/>
          <w:szCs w:val="23"/>
        </w:rPr>
        <w:tab/>
        <w:t>The Safety Authority must accept a revised safety case if—</w:t>
      </w:r>
      <w:bookmarkEnd w:id="306"/>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revised safety case is appropriate to the facility and to the activities conducted at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the revised safety case complies with </w:t>
      </w:r>
      <w:hyperlink w:anchor="id4a39e714_31cb_4c70_a6b1_2a5a00543ee5_0" w:history="1">
        <w:r>
          <w:rPr>
            <w:color w:val="000000"/>
            <w:sz w:val="23"/>
            <w:szCs w:val="23"/>
          </w:rPr>
          <w:t>regulations 46</w:t>
        </w:r>
      </w:hyperlink>
      <w:r>
        <w:rPr>
          <w:color w:val="000000"/>
          <w:sz w:val="23"/>
          <w:szCs w:val="23"/>
        </w:rPr>
        <w:t xml:space="preserve"> to </w:t>
      </w:r>
      <w:hyperlink w:anchor="id0e189e8e_ac97_4345_a207_376f3bc15026_3" w:history="1">
        <w:r>
          <w:rPr>
            <w:color w:val="000000"/>
            <w:sz w:val="23"/>
            <w:szCs w:val="23"/>
          </w:rPr>
          <w:t>63</w:t>
        </w:r>
      </w:hyperlink>
      <w:r>
        <w:rPr>
          <w:color w:val="000000"/>
          <w:sz w:val="23"/>
          <w:szCs w:val="23"/>
        </w:rPr>
        <w:t xml:space="preserve"> for each stage in the life of the facility in respect of which the revision is submitted;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 xml:space="preserve">the revised safety case complies with </w:t>
      </w:r>
      <w:hyperlink w:anchor="id36fac36a_1cfb_40bd_933b_83c7bb4dda5c_7" w:history="1">
        <w:r>
          <w:rPr>
            <w:color w:val="000000"/>
            <w:sz w:val="23"/>
            <w:szCs w:val="23"/>
          </w:rPr>
          <w:t>regulation 64</w:t>
        </w:r>
      </w:hyperlink>
      <w:r>
        <w:rPr>
          <w:color w:val="000000"/>
          <w:sz w:val="23"/>
          <w:szCs w:val="23"/>
        </w:rPr>
        <w: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in a case on which the Safety Authority has required a validation relating to a proposed modification—</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 xml:space="preserve">the person, or each person, undertaking the validation meets the criteria specified in </w:t>
      </w:r>
      <w:hyperlink w:anchor="id2a913a09_1d65_4861_80bf_4dfa5911c597_b" w:history="1">
        <w:r>
          <w:rPr>
            <w:color w:val="000000"/>
            <w:sz w:val="23"/>
            <w:szCs w:val="23"/>
          </w:rPr>
          <w:t>regulation 81(5)</w:t>
        </w:r>
      </w:hyperlink>
      <w:r>
        <w:rPr>
          <w:color w:val="000000"/>
          <w:sz w:val="23"/>
          <w:szCs w:val="23"/>
        </w:rPr>
        <w:t>;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 xml:space="preserve">the validation complies with </w:t>
      </w:r>
      <w:hyperlink w:anchor="idaeaf6f72_1e83_47e2_bf34_57bf8f4dc309_c" w:history="1">
        <w:r>
          <w:rPr>
            <w:color w:val="000000"/>
            <w:sz w:val="23"/>
            <w:szCs w:val="23"/>
          </w:rPr>
          <w:t>regulation 81</w:t>
        </w:r>
      </w:hyperlink>
      <w:r>
        <w:rPr>
          <w:color w:val="000000"/>
          <w:sz w:val="23"/>
          <w:szCs w:val="23"/>
        </w:rPr>
        <w: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If a safety case is revised in relation to more than 1 stage in the life of the facility, the Safety Authority may accept the revised safety case for 1 or more stages in the life of the facility and reject the revised safety case for 1 or more stages in the life of the facility.</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If the Safety Authority rejects a safety case because the Safety Authority is not satisfied with any of the matters mentioned in </w:t>
      </w:r>
      <w:hyperlink w:anchor="id2a4a30ff_84f6_429b_b09f_231629f95e54_2" w:history="1">
        <w:r>
          <w:rPr>
            <w:color w:val="000000"/>
            <w:sz w:val="23"/>
            <w:szCs w:val="23"/>
          </w:rPr>
          <w:t>subregulation (1)</w:t>
        </w:r>
      </w:hyperlink>
      <w:r>
        <w:rPr>
          <w:color w:val="000000"/>
          <w:sz w:val="23"/>
          <w:szCs w:val="23"/>
        </w:rPr>
        <w:t>, the Safety Authority must give the operator a reasonable opportunity to change the safety case and resubmit it.</w:t>
      </w:r>
    </w:p>
    <w:p w:rsidR="0027570A" w:rsidRDefault="0027570A" w:rsidP="00762261">
      <w:pPr>
        <w:spacing w:after="0" w:line="240" w:lineRule="auto"/>
        <w:jc w:val="left"/>
        <w:rPr>
          <w:color w:val="000000"/>
          <w:sz w:val="23"/>
          <w:szCs w:val="23"/>
        </w:rPr>
      </w:pPr>
      <w:r>
        <w:rPr>
          <w:color w:val="000000"/>
          <w:sz w:val="23"/>
          <w:szCs w:val="23"/>
        </w:rPr>
        <w:br w:type="page"/>
      </w:r>
    </w:p>
    <w:p w:rsidR="0027570A" w:rsidRDefault="0027570A" w:rsidP="00762261">
      <w:pPr>
        <w:pStyle w:val="RegSpace"/>
        <w:jc w:val="left"/>
      </w:pP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If—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Safety Authority has given an operator a reasonable opportunity to change and resubmit a revised safety case or a revised part of a safety case;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operator resubmits the revised safety case or revised part of the safety case;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 xml:space="preserve">the Safety Authority is not satisfied with any of the matters mentioned in </w:t>
      </w:r>
      <w:hyperlink w:anchor="id2a4a30ff_84f6_429b_b09f_231629f95e54_2" w:history="1">
        <w:r>
          <w:rPr>
            <w:color w:val="000000"/>
            <w:sz w:val="23"/>
            <w:szCs w:val="23"/>
          </w:rPr>
          <w:t>subregulation (1)</w:t>
        </w:r>
      </w:hyperlink>
      <w:r>
        <w:rPr>
          <w:color w:val="000000"/>
          <w:sz w:val="23"/>
          <w:szCs w:val="23"/>
        </w:rPr>
        <w: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the Safety Authority must reject the revised safety case.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07" w:name="ida1517086_fd23_468c_abda_ef1f13723b2d_4"/>
      <w:r>
        <w:rPr>
          <w:color w:val="000000"/>
          <w:sz w:val="23"/>
          <w:szCs w:val="23"/>
        </w:rPr>
        <w:tab/>
        <w:t>(5)</w:t>
      </w:r>
      <w:r>
        <w:rPr>
          <w:color w:val="000000"/>
          <w:sz w:val="23"/>
          <w:szCs w:val="23"/>
        </w:rPr>
        <w:tab/>
        <w:t>When accepting a revised safety case for a facility, the Safety Authority may impose limitations or conditions on the acceptance in respect of the facility or activities at the facility.</w:t>
      </w:r>
      <w:bookmarkEnd w:id="307"/>
    </w:p>
    <w:p w:rsidR="0065609F" w:rsidRDefault="0065609F" w:rsidP="00762261">
      <w:pPr>
        <w:pStyle w:val="clauseheadlevel4"/>
      </w:pPr>
      <w:bookmarkStart w:id="308" w:name="Elkera_Print_TOC128"/>
      <w:bookmarkStart w:id="309" w:name="Elkera_Print_BK128"/>
      <w:r>
        <w:t>76—Notice of decision on revised safety case</w:t>
      </w:r>
      <w:bookmarkEnd w:id="308"/>
      <w:bookmarkEnd w:id="309"/>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10" w:name="id79176654_8ba7_48d0_9ecc_c2b9916daac1_9"/>
      <w:r>
        <w:rPr>
          <w:color w:val="000000"/>
          <w:sz w:val="23"/>
          <w:szCs w:val="23"/>
        </w:rPr>
        <w:tab/>
        <w:t>(1)</w:t>
      </w:r>
      <w:r>
        <w:rPr>
          <w:color w:val="000000"/>
          <w:sz w:val="23"/>
          <w:szCs w:val="23"/>
        </w:rPr>
        <w:tab/>
        <w:t>Within 30 days after receiving a revised safety case, or a revised part of a safety case, the Safety Authority must—</w:t>
      </w:r>
      <w:bookmarkEnd w:id="310"/>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notify the operator, in writing, that the Safety Authority has decided to—</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accept the revised safety case;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reject the revised safety case;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accept the revised safety case for 1 or more stages in the life of the facility, in respect of which the revised safety case was submitted, but not for every stage in the life of the facility;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(iv)</w:t>
      </w:r>
      <w:r>
        <w:rPr>
          <w:color w:val="000000"/>
          <w:sz w:val="23"/>
          <w:szCs w:val="23"/>
        </w:rPr>
        <w:tab/>
        <w:t>accept the revised safety case subject to conditions or limitations;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notify the operator, in writing, that the Safety Authority is unable to make a decision about the revised safety case within the period of 30 days, and set out a proposed timetable for its consideration of the revised safety case.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 failure by the Safety Authority to comply with </w:t>
      </w:r>
      <w:hyperlink w:anchor="id79176654_8ba7_48d0_9ecc_c2b9916daac1_9" w:history="1">
        <w:r>
          <w:rPr>
            <w:color w:val="000000"/>
            <w:sz w:val="23"/>
            <w:szCs w:val="23"/>
          </w:rPr>
          <w:t>subregulation (1)</w:t>
        </w:r>
      </w:hyperlink>
      <w:r>
        <w:rPr>
          <w:color w:val="000000"/>
          <w:sz w:val="23"/>
          <w:szCs w:val="23"/>
        </w:rPr>
        <w:t xml:space="preserve"> in relation to a revised safety case does not affect the validity of a decision by the Safety Authority to accept or reject the revision.</w:t>
      </w:r>
    </w:p>
    <w:p w:rsidR="0065609F" w:rsidRDefault="0065609F" w:rsidP="00762261">
      <w:pPr>
        <w:pStyle w:val="clauseheadlevel4"/>
      </w:pPr>
      <w:bookmarkStart w:id="311" w:name="Elkera_Print_TOC129"/>
      <w:bookmarkStart w:id="312" w:name="Elkera_Print_BK129"/>
      <w:r>
        <w:t>77—Effect of rejection of revised safety case</w:t>
      </w:r>
      <w:bookmarkEnd w:id="311"/>
      <w:bookmarkEnd w:id="312"/>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If a revised safety case is not accepted, the safety case in force in relation to the facility immediately before the revised safety case was submitted remains in force subject to the Act and this Part, as if the revised safety case had not been submitted.</w:t>
      </w:r>
    </w:p>
    <w:p w:rsidR="0065609F" w:rsidRDefault="0065609F" w:rsidP="00762261">
      <w:pPr>
        <w:pStyle w:val="subdivisionheadlevel3"/>
      </w:pPr>
      <w:bookmarkStart w:id="313" w:name="Elkera_Print_TOC130"/>
      <w:bookmarkStart w:id="314" w:name="Elkera_Print_BK130"/>
      <w:r>
        <w:t>Subdivision 4—Withdrawal of acceptance of a safety case</w:t>
      </w:r>
      <w:bookmarkEnd w:id="313"/>
      <w:bookmarkEnd w:id="314"/>
    </w:p>
    <w:p w:rsidR="0065609F" w:rsidRDefault="0065609F" w:rsidP="00762261">
      <w:pPr>
        <w:pStyle w:val="clauseheadlevel4"/>
      </w:pPr>
      <w:bookmarkStart w:id="315" w:name="Elkera_Print_TOC131"/>
      <w:bookmarkStart w:id="316" w:name="Elkera_Print_BK131"/>
      <w:r>
        <w:t>78—Grounds for withdrawal of acceptance</w:t>
      </w:r>
      <w:bookmarkEnd w:id="315"/>
      <w:bookmarkEnd w:id="316"/>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17" w:name="id8f0e701a_81b0_45cd_b80c_6282723a91e9_d"/>
      <w:r>
        <w:rPr>
          <w:color w:val="000000"/>
          <w:sz w:val="23"/>
          <w:szCs w:val="23"/>
        </w:rPr>
        <w:tab/>
        <w:t>(1)</w:t>
      </w:r>
      <w:r>
        <w:rPr>
          <w:color w:val="000000"/>
          <w:sz w:val="23"/>
          <w:szCs w:val="23"/>
        </w:rPr>
        <w:tab/>
        <w:t>The Safety Authority may, by written notice to the operator of a facility, withdraw the acceptance of the safety case for the facility on any of the following grounds:</w:t>
      </w:r>
      <w:bookmarkEnd w:id="317"/>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operator has not complied with—</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Schedule 7 of the Act;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a notice issued by an OHS inspector under Schedule 7 of the Act; or</w:t>
      </w:r>
    </w:p>
    <w:p w:rsidR="001A1D7B" w:rsidRDefault="001A1D7B" w:rsidP="00762261">
      <w:pPr>
        <w:spacing w:after="0" w:line="240" w:lineRule="auto"/>
        <w:jc w:val="left"/>
        <w:rPr>
          <w:color w:val="000000"/>
          <w:sz w:val="23"/>
          <w:szCs w:val="23"/>
        </w:rPr>
      </w:pPr>
      <w:r>
        <w:rPr>
          <w:color w:val="000000"/>
          <w:sz w:val="23"/>
          <w:szCs w:val="23"/>
        </w:rPr>
        <w:br w:type="page"/>
      </w:r>
    </w:p>
    <w:p w:rsidR="001A1D7B" w:rsidRDefault="001A1D7B" w:rsidP="00762261">
      <w:pPr>
        <w:pStyle w:val="RegSpace"/>
        <w:jc w:val="left"/>
      </w:pP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r>
      <w:hyperlink w:anchor="idfdcea7e2_8dda_4269_bc22_b083174d640f_f" w:history="1">
        <w:r>
          <w:rPr>
            <w:color w:val="000000"/>
            <w:sz w:val="23"/>
            <w:szCs w:val="23"/>
          </w:rPr>
          <w:t>regulation 71</w:t>
        </w:r>
      </w:hyperlink>
      <w:r>
        <w:rPr>
          <w:color w:val="000000"/>
          <w:sz w:val="23"/>
          <w:szCs w:val="23"/>
        </w:rPr>
        <w:t xml:space="preserve">, </w:t>
      </w:r>
      <w:hyperlink w:anchor="id2d7a31eb_12b7_4dfe_82e1_2f8dc037fd29_9" w:history="1">
        <w:r>
          <w:rPr>
            <w:color w:val="000000"/>
            <w:sz w:val="23"/>
            <w:szCs w:val="23"/>
          </w:rPr>
          <w:t>72</w:t>
        </w:r>
      </w:hyperlink>
      <w:r>
        <w:rPr>
          <w:color w:val="000000"/>
          <w:sz w:val="23"/>
          <w:szCs w:val="23"/>
        </w:rPr>
        <w:t xml:space="preserve"> or </w:t>
      </w:r>
      <w:hyperlink w:anchor="idf9cf3389_2f4a_47cc_be36_597fc7854d09_9" w:history="1">
        <w:r>
          <w:rPr>
            <w:color w:val="000000"/>
            <w:sz w:val="23"/>
            <w:szCs w:val="23"/>
          </w:rPr>
          <w:t>73</w:t>
        </w:r>
      </w:hyperlink>
      <w:r>
        <w:rPr>
          <w:color w:val="000000"/>
          <w:sz w:val="23"/>
          <w:szCs w:val="23"/>
        </w:rPr>
        <w:t>;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Safety Authority has rejected a revised safety case.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 notice under </w:t>
      </w:r>
      <w:hyperlink w:anchor="id8f0e701a_81b0_45cd_b80c_6282723a91e9_d" w:history="1">
        <w:r>
          <w:rPr>
            <w:color w:val="000000"/>
            <w:sz w:val="23"/>
            <w:szCs w:val="23"/>
          </w:rPr>
          <w:t>subregulation (1)</w:t>
        </w:r>
      </w:hyperlink>
      <w:r>
        <w:rPr>
          <w:color w:val="000000"/>
          <w:sz w:val="23"/>
          <w:szCs w:val="23"/>
        </w:rPr>
        <w:t xml:space="preserve"> must contain a statement of the reasons for the decision.</w:t>
      </w:r>
    </w:p>
    <w:p w:rsidR="0065609F" w:rsidRDefault="0065609F" w:rsidP="00762261">
      <w:pPr>
        <w:pStyle w:val="clauseheadlevel4"/>
      </w:pPr>
      <w:bookmarkStart w:id="318" w:name="Elkera_Print_TOC132"/>
      <w:bookmarkStart w:id="319" w:name="Elkera_Print_BK132"/>
      <w:r>
        <w:t>79—Notice before withdrawal of acceptance</w:t>
      </w:r>
      <w:bookmarkEnd w:id="318"/>
      <w:bookmarkEnd w:id="319"/>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Before withdrawing the acceptance of a safety case for a facility, the Safety Authority must give the operator at least 30 days notice, in writing, of its intention to withdraw the acceptance.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Safety Authority may give a copy of the notice to such other persons as it thinks fit.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20" w:name="id1c65811b_2944_422b_a6a5_51880e18c79f_0"/>
      <w:r>
        <w:rPr>
          <w:color w:val="000000"/>
          <w:sz w:val="23"/>
          <w:szCs w:val="23"/>
        </w:rPr>
        <w:tab/>
        <w:t>(3)</w:t>
      </w:r>
      <w:r>
        <w:rPr>
          <w:color w:val="000000"/>
          <w:sz w:val="23"/>
          <w:szCs w:val="23"/>
        </w:rPr>
        <w:tab/>
        <w:t xml:space="preserve">The Safety Authority must specify, in the notice, a date (the </w:t>
      </w:r>
      <w:r>
        <w:rPr>
          <w:b/>
          <w:bCs/>
          <w:i/>
          <w:iCs/>
          <w:color w:val="000000"/>
          <w:sz w:val="23"/>
          <w:szCs w:val="23"/>
        </w:rPr>
        <w:t>cut</w:t>
      </w:r>
      <w:r>
        <w:rPr>
          <w:b/>
          <w:bCs/>
          <w:i/>
          <w:iCs/>
          <w:color w:val="000000"/>
          <w:sz w:val="23"/>
          <w:szCs w:val="23"/>
        </w:rPr>
        <w:noBreakHyphen/>
        <w:t>off date</w:t>
      </w:r>
      <w:r>
        <w:rPr>
          <w:color w:val="000000"/>
          <w:sz w:val="23"/>
          <w:szCs w:val="23"/>
        </w:rPr>
        <w:t>) on or before which the operator (or other person to whom a copy of the notice has been given) may submit to the Safety Authority in writing, matters that the Safety Authority should take into account when deciding to withdraw the acceptance.</w:t>
      </w:r>
      <w:bookmarkEnd w:id="320"/>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The Safety Authority must take into account—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any action taken by the operator—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to remove a ground for withdrawal of acceptance;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to prevent the recurrence of a ground for removal of acceptance;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any matter submitted under </w:t>
      </w:r>
      <w:hyperlink w:anchor="id1c65811b_2944_422b_a6a5_51880e18c79f_0" w:history="1">
        <w:r>
          <w:rPr>
            <w:color w:val="000000"/>
            <w:sz w:val="23"/>
            <w:szCs w:val="23"/>
          </w:rPr>
          <w:t>subregulation (3)</w:t>
        </w:r>
      </w:hyperlink>
      <w:r>
        <w:rPr>
          <w:color w:val="000000"/>
          <w:sz w:val="23"/>
          <w:szCs w:val="23"/>
        </w:rPr>
        <w:t xml:space="preserve"> before the cut</w:t>
      </w:r>
      <w:r>
        <w:rPr>
          <w:color w:val="000000"/>
          <w:sz w:val="23"/>
          <w:szCs w:val="23"/>
        </w:rPr>
        <w:noBreakHyphen/>
        <w:t>off date.</w:t>
      </w:r>
    </w:p>
    <w:p w:rsidR="0065609F" w:rsidRDefault="0065609F" w:rsidP="00762261">
      <w:pPr>
        <w:pStyle w:val="subdivisionheadlevel3"/>
      </w:pPr>
      <w:bookmarkStart w:id="321" w:name="Elkera_Print_TOC133"/>
      <w:bookmarkStart w:id="322" w:name="Elkera_Print_BK133"/>
      <w:r>
        <w:t>Subdivision 5—Exemptions</w:t>
      </w:r>
      <w:bookmarkEnd w:id="321"/>
      <w:bookmarkEnd w:id="322"/>
    </w:p>
    <w:p w:rsidR="0065609F" w:rsidRDefault="0065609F" w:rsidP="00762261">
      <w:pPr>
        <w:pStyle w:val="clauseheadlevel4"/>
      </w:pPr>
      <w:bookmarkStart w:id="323" w:name="Elkera_Print_TOC135"/>
      <w:bookmarkStart w:id="324" w:name="id0995b712_f742_4251_975d_3351f800b0fb_9"/>
      <w:r>
        <w:t>80—Safety Authority may give an exemption</w:t>
      </w:r>
      <w:bookmarkEnd w:id="323"/>
      <w:bookmarkEnd w:id="324"/>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The Safety Authority may, by notice in writing, exempt the operator from the operation of 1 or more provisions of this Division.</w:t>
      </w:r>
    </w:p>
    <w:p w:rsidR="0065609F" w:rsidRDefault="0065609F" w:rsidP="00762261">
      <w:pPr>
        <w:pStyle w:val="divisionheadlevel2"/>
      </w:pPr>
      <w:bookmarkStart w:id="325" w:name="Elkera_Print_TOC136"/>
      <w:bookmarkStart w:id="326" w:name="Elkera_Print_BK136"/>
      <w:r>
        <w:t>Division 4—Validation</w:t>
      </w:r>
      <w:bookmarkEnd w:id="325"/>
      <w:bookmarkEnd w:id="326"/>
    </w:p>
    <w:p w:rsidR="0065609F" w:rsidRDefault="0065609F" w:rsidP="00762261">
      <w:pPr>
        <w:pStyle w:val="clauseheadlevel3"/>
      </w:pPr>
      <w:bookmarkStart w:id="327" w:name="Elkera_Print_TOC138"/>
      <w:bookmarkStart w:id="328" w:name="idaeaf6f72_1e83_47e2_bf34_57bf8f4dc309_c"/>
      <w:r>
        <w:t>81—Validation of design, construction and installation, significant modification or decommissioning of a facility</w:t>
      </w:r>
      <w:bookmarkEnd w:id="327"/>
      <w:bookmarkEnd w:id="328"/>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The Safety Authority may, by notice in writing, require the operator of a proposed facility, or an existing facility, to provide a validation—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in respect of the proposed facility;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in respect of a proposed significant change to an existing facility.</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 validation of a proposed facility is a statement in writing by an independent validator in respect of the design, construction and installation (including instrumentation, process layout and process control systems) of the facility, to the extent that these matters are covered by the scope of the validation agreed between the Safety Authority and the operator.</w:t>
      </w:r>
    </w:p>
    <w:p w:rsidR="00237D08" w:rsidRDefault="00237D08" w:rsidP="00762261">
      <w:pPr>
        <w:spacing w:after="0" w:line="240" w:lineRule="auto"/>
        <w:jc w:val="left"/>
        <w:rPr>
          <w:color w:val="000000"/>
          <w:sz w:val="23"/>
          <w:szCs w:val="23"/>
        </w:rPr>
      </w:pPr>
      <w:r>
        <w:rPr>
          <w:color w:val="000000"/>
          <w:sz w:val="23"/>
          <w:szCs w:val="23"/>
        </w:rPr>
        <w:br w:type="page"/>
      </w:r>
    </w:p>
    <w:p w:rsidR="00237D08" w:rsidRDefault="00237D08" w:rsidP="00762261">
      <w:pPr>
        <w:pStyle w:val="RegSpace"/>
        <w:jc w:val="left"/>
      </w:pP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A validation of a proposed significant change to an existing facility is a statement in writing by an independent validator in respect of the proposed change, to the extent required by the scope of the validation agreed between the Safety Authority and the operator.</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The validation must establish, to the level of assurance reasonably required by the Safety Authority—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in the case of a proposed facility—that the design, construction and installation (including instrumentation, process layout and process control systems) of the facility incorporate measures that—</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will protect the health and safety of persons at the facility;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are consistent with the formal safety assessment for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in the case of an existing facility—that, after any proposed change or changes, the facility incorporate measures that will protect the health and safety of persons at the proposed facility.</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29" w:name="id2a913a09_1d65_4861_80bf_4dfa5911c597_b"/>
      <w:r>
        <w:rPr>
          <w:color w:val="000000"/>
          <w:sz w:val="23"/>
          <w:szCs w:val="23"/>
        </w:rPr>
        <w:tab/>
        <w:t>(5)</w:t>
      </w:r>
      <w:r>
        <w:rPr>
          <w:color w:val="000000"/>
          <w:sz w:val="23"/>
          <w:szCs w:val="23"/>
        </w:rPr>
        <w:tab/>
        <w:t>An operator who has provided material for a validation must satisfy the Safety Authority that each person who undertook the validation had the necessary competence, ability and access to data, in respect of each matter being validated, to arrive at an independent opinion on the matter.</w:t>
      </w:r>
      <w:bookmarkEnd w:id="329"/>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(6)</w:t>
      </w:r>
      <w:r>
        <w:rPr>
          <w:color w:val="000000"/>
          <w:sz w:val="23"/>
          <w:szCs w:val="23"/>
        </w:rPr>
        <w:tab/>
        <w:t>In this regulation—</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existing facility</w:t>
      </w:r>
      <w:r>
        <w:rPr>
          <w:color w:val="000000"/>
          <w:sz w:val="23"/>
          <w:szCs w:val="23"/>
        </w:rPr>
        <w:t xml:space="preserve"> means a facility at a location in the adjacent area, if the facility is or has been in use, or is available for use, in that location.</w:t>
      </w:r>
    </w:p>
    <w:p w:rsidR="0065609F" w:rsidRDefault="0065609F" w:rsidP="00762261">
      <w:pPr>
        <w:pStyle w:val="divisionheadlevel2"/>
      </w:pPr>
      <w:bookmarkStart w:id="330" w:name="Elkera_Print_TOC139"/>
      <w:bookmarkStart w:id="331" w:name="Elkera_Print_BK139"/>
      <w:r>
        <w:t>Division 5—Notifying and reporting accidents and dangerous occurrences</w:t>
      </w:r>
      <w:bookmarkEnd w:id="330"/>
      <w:bookmarkEnd w:id="331"/>
    </w:p>
    <w:p w:rsidR="0065609F" w:rsidRDefault="0065609F" w:rsidP="00762261">
      <w:pPr>
        <w:pStyle w:val="clauseheadlevel3"/>
      </w:pPr>
      <w:bookmarkStart w:id="332" w:name="Elkera_Print_TOC141"/>
      <w:bookmarkStart w:id="333" w:name="idaa501acf_3345_4152_a8b1_d62e90dae10a_6"/>
      <w:r>
        <w:t>82—Prescribed period of incapacity</w:t>
      </w:r>
      <w:bookmarkEnd w:id="332"/>
      <w:bookmarkEnd w:id="333"/>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For the purposes of clause 67(1)(b) of Schedule 7 of the Act, the prescribed period in relation to a facility to which this Part applies is 3 days.</w:t>
      </w:r>
    </w:p>
    <w:p w:rsidR="0065609F" w:rsidRDefault="0065609F" w:rsidP="00762261">
      <w:pPr>
        <w:pStyle w:val="clauseheadlevel3"/>
      </w:pPr>
      <w:bookmarkStart w:id="334" w:name="Elkera_Print_TOC143"/>
      <w:bookmarkStart w:id="335" w:name="idca8a9f49_7d37_43f3_9180_fe452d4d41d9_3"/>
      <w:r>
        <w:t>83—Meaning of dangerous occurrence</w:t>
      </w:r>
      <w:bookmarkEnd w:id="334"/>
      <w:bookmarkEnd w:id="335"/>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For the purposes of the definition of </w:t>
      </w:r>
      <w:r>
        <w:rPr>
          <w:b/>
          <w:bCs/>
          <w:i/>
          <w:iCs/>
          <w:color w:val="000000"/>
          <w:sz w:val="23"/>
          <w:szCs w:val="23"/>
        </w:rPr>
        <w:t>dangerous occurrence</w:t>
      </w:r>
      <w:r>
        <w:rPr>
          <w:color w:val="000000"/>
          <w:sz w:val="23"/>
          <w:szCs w:val="23"/>
        </w:rPr>
        <w:t xml:space="preserve"> in clause 3 of Schedule 7 of the Act, a dangerous occurrence is an occurrence, at a facility, that—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did not cause, but could reasonably have caused—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death of, or serious personal injury to, a person;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 xml:space="preserve">a member of the workforce to be incapacitated from performing work for the period mentioned in </w:t>
      </w:r>
      <w:hyperlink w:anchor="idaa501acf_3345_4152_a8b1_d62e90dae10a_6" w:history="1">
        <w:r>
          <w:rPr>
            <w:color w:val="000000"/>
            <w:sz w:val="23"/>
            <w:szCs w:val="23"/>
          </w:rPr>
          <w:t>regulation 82</w:t>
        </w:r>
      </w:hyperlink>
      <w:r>
        <w:rPr>
          <w:color w:val="000000"/>
          <w:sz w:val="23"/>
          <w:szCs w:val="23"/>
        </w:rPr>
        <w:t>;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was any of the following:</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a fire or explosion;</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a collision of a marine vessel with the facility;</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an uncontrolled release of hydrocarbon vapour exceeding 1 kg;</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(iv)</w:t>
      </w:r>
      <w:r>
        <w:rPr>
          <w:color w:val="000000"/>
          <w:sz w:val="23"/>
          <w:szCs w:val="23"/>
        </w:rPr>
        <w:tab/>
        <w:t>an uncontrolled release of petroleum liquids exceeding 80 L;</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(v)</w:t>
      </w:r>
      <w:r>
        <w:rPr>
          <w:color w:val="000000"/>
          <w:sz w:val="23"/>
          <w:szCs w:val="23"/>
        </w:rPr>
        <w:tab/>
        <w:t>a well kick exceeding 50 barrels;</w:t>
      </w:r>
    </w:p>
    <w:p w:rsidR="00AA40A0" w:rsidRDefault="00AA40A0" w:rsidP="00762261">
      <w:pPr>
        <w:spacing w:after="0" w:line="240" w:lineRule="auto"/>
        <w:jc w:val="left"/>
        <w:rPr>
          <w:color w:val="000000"/>
          <w:sz w:val="23"/>
          <w:szCs w:val="23"/>
        </w:rPr>
      </w:pPr>
      <w:r>
        <w:rPr>
          <w:color w:val="000000"/>
          <w:sz w:val="23"/>
          <w:szCs w:val="23"/>
        </w:rPr>
        <w:br w:type="page"/>
      </w:r>
    </w:p>
    <w:p w:rsidR="00AA40A0" w:rsidRDefault="00AA40A0" w:rsidP="00762261">
      <w:pPr>
        <w:pStyle w:val="RegSpace"/>
        <w:jc w:val="left"/>
      </w:pP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(vi)</w:t>
      </w:r>
      <w:r>
        <w:rPr>
          <w:color w:val="000000"/>
          <w:sz w:val="23"/>
          <w:szCs w:val="23"/>
        </w:rPr>
        <w:tab/>
        <w:t>an unplanned event that required the emergency response plan to be implemented;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(vii)</w:t>
      </w:r>
      <w:r>
        <w:rPr>
          <w:color w:val="000000"/>
          <w:sz w:val="23"/>
          <w:szCs w:val="23"/>
        </w:rPr>
        <w:tab/>
        <w:t>damage to safety critical equipment;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was of another kind that a reasonable operator would consider to require an immediate investigation.</w:t>
      </w:r>
    </w:p>
    <w:p w:rsidR="0065609F" w:rsidRDefault="0065609F" w:rsidP="00762261">
      <w:pPr>
        <w:keepNext/>
        <w:keepLines/>
        <w:autoSpaceDE w:val="0"/>
        <w:autoSpaceDN w:val="0"/>
        <w:adjustRightInd w:val="0"/>
        <w:spacing w:before="120" w:after="0" w:line="240" w:lineRule="auto"/>
        <w:ind w:left="794" w:hanging="567"/>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794"/>
        <w:jc w:val="left"/>
        <w:rPr>
          <w:color w:val="000000"/>
          <w:sz w:val="20"/>
          <w:szCs w:val="20"/>
        </w:rPr>
      </w:pPr>
      <w:r>
        <w:rPr>
          <w:color w:val="000000"/>
          <w:sz w:val="20"/>
          <w:szCs w:val="20"/>
        </w:rPr>
        <w:t xml:space="preserve">The meaning of </w:t>
      </w:r>
      <w:r>
        <w:rPr>
          <w:b/>
          <w:bCs/>
          <w:i/>
          <w:iCs/>
          <w:color w:val="000000"/>
          <w:sz w:val="20"/>
          <w:szCs w:val="20"/>
        </w:rPr>
        <w:t>facility</w:t>
      </w:r>
      <w:r>
        <w:rPr>
          <w:color w:val="000000"/>
          <w:sz w:val="20"/>
          <w:szCs w:val="20"/>
        </w:rPr>
        <w:t xml:space="preserve"> in this regulation is explained in </w:t>
      </w:r>
      <w:hyperlink w:anchor="id59648780_7cc1_4b4b_8f5a_73ae1547857d_9" w:history="1">
        <w:r>
          <w:rPr>
            <w:color w:val="000000"/>
            <w:sz w:val="20"/>
            <w:szCs w:val="20"/>
          </w:rPr>
          <w:t>regulation 42</w:t>
        </w:r>
      </w:hyperlink>
      <w:r>
        <w:rPr>
          <w:color w:val="000000"/>
          <w:sz w:val="20"/>
          <w:szCs w:val="20"/>
        </w:rPr>
        <w:t>.</w:t>
      </w:r>
    </w:p>
    <w:p w:rsidR="0065609F" w:rsidRDefault="0065609F" w:rsidP="00762261">
      <w:pPr>
        <w:pStyle w:val="clauseheadlevel3"/>
      </w:pPr>
      <w:bookmarkStart w:id="336" w:name="Elkera_Print_TOC145"/>
      <w:bookmarkStart w:id="337" w:name="id5027c6b9_7d70_4fd1_b570_564dbbb5c387_3"/>
      <w:r>
        <w:t>84—Reporting accidents and dangerous occurrences</w:t>
      </w:r>
      <w:bookmarkEnd w:id="336"/>
      <w:bookmarkEnd w:id="337"/>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For the purposes of clause 67(1) of Schedule 7 of the Act, the notice in relation to a facility to which this Part applies—</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may be oral or written;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must be provided as soon as practicable after—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first occurrence of the accident or dangerous occurrence;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if the accident or dangerous occurrence is not detected by the operator at the time of its first occurrence—the detection of the accident or dangerous occurrence by the operator;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must contain all material details concerning the accident or dangerous occurrence that are reasonably available to the operator at the time of the notification.</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38" w:name="id4c8c8b1d_88e6_46ad_8797_74bddf0617ac_e"/>
      <w:r>
        <w:rPr>
          <w:color w:val="000000"/>
          <w:sz w:val="23"/>
          <w:szCs w:val="23"/>
        </w:rPr>
        <w:tab/>
        <w:t>(2)</w:t>
      </w:r>
      <w:r>
        <w:rPr>
          <w:color w:val="000000"/>
          <w:sz w:val="23"/>
          <w:szCs w:val="23"/>
        </w:rPr>
        <w:tab/>
        <w:t>For the purposes of clause 67(1) of Schedule 7 of the Act, the report—</w:t>
      </w:r>
      <w:bookmarkEnd w:id="338"/>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must be written;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unless otherwise agreed by the Safety Authority—must be provided within 3 days after—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first occurrence of the accident or dangerous occurrence;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if the accident or dangerous occurrence is not detected by the operator at the time of its first occurrence—the detection of the accident or dangerous occurrence by the operator;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must contain material details concerning the accident or dangerous occurrence of the types determined by the Safety Authority.</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A determination mentioned in </w:t>
      </w:r>
      <w:hyperlink w:anchor="id4c8c8b1d_88e6_46ad_8797_74bddf0617ac_e" w:history="1">
        <w:r>
          <w:rPr>
            <w:color w:val="000000"/>
            <w:sz w:val="23"/>
            <w:szCs w:val="23"/>
          </w:rPr>
          <w:t>subregulation (2)</w:t>
        </w:r>
      </w:hyperlink>
      <w:r>
        <w:rPr>
          <w:color w:val="000000"/>
          <w:sz w:val="23"/>
          <w:szCs w:val="23"/>
        </w:rPr>
        <w:t xml:space="preserve"> must be—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in writing;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published in the Gazette.</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As soon as practicable, but not later than 15 days after the end of each month, the operator of a facility must submit, to the Safety Authority, a written report, for that month, summarising—</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number of deaths of persons at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number and types of injuries to persons at the facility, other than minor injuries not requiring treatment or requiring treatment only in the nature of first aid.</w:t>
      </w:r>
    </w:p>
    <w:p w:rsidR="002844B7" w:rsidRDefault="002844B7" w:rsidP="00762261">
      <w:pPr>
        <w:spacing w:after="0" w:line="240" w:lineRule="auto"/>
        <w:jc w:val="left"/>
        <w:rPr>
          <w:rFonts w:eastAsia="Times New Roman"/>
          <w:b/>
          <w:bCs/>
          <w:color w:val="000000"/>
          <w:sz w:val="28"/>
          <w:szCs w:val="28"/>
          <w:lang w:eastAsia="en-AU"/>
        </w:rPr>
      </w:pPr>
      <w:bookmarkStart w:id="339" w:name="Elkera_Print_TOC146"/>
      <w:bookmarkStart w:id="340" w:name="Elkera_Print_BK146"/>
      <w:r>
        <w:br w:type="page"/>
      </w:r>
    </w:p>
    <w:p w:rsidR="002844B7" w:rsidRDefault="002844B7" w:rsidP="00762261">
      <w:pPr>
        <w:pStyle w:val="RegSpace"/>
        <w:jc w:val="left"/>
      </w:pPr>
    </w:p>
    <w:p w:rsidR="0065609F" w:rsidRDefault="0065609F" w:rsidP="00762261">
      <w:pPr>
        <w:pStyle w:val="divisionheadlevel2"/>
      </w:pPr>
      <w:r>
        <w:t>Division 6—Penalty provisions</w:t>
      </w:r>
      <w:bookmarkEnd w:id="339"/>
      <w:bookmarkEnd w:id="340"/>
    </w:p>
    <w:p w:rsidR="0065609F" w:rsidRDefault="0065609F" w:rsidP="00762261">
      <w:pPr>
        <w:pStyle w:val="clauseheadlevel3"/>
      </w:pPr>
      <w:bookmarkStart w:id="341" w:name="Elkera_Print_TOC147"/>
      <w:bookmarkStart w:id="342" w:name="Elkera_Print_BK147"/>
      <w:r>
        <w:t>85—Facility must have registered operator</w:t>
      </w:r>
      <w:bookmarkEnd w:id="341"/>
      <w:bookmarkEnd w:id="342"/>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A person must not—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construct a facility;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install a facility;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operate a facility;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modify a facility;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decommission a facility,</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in the adjacent area if there is not an operator in respect of the facility.</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$8 800.</w:t>
      </w:r>
    </w:p>
    <w:p w:rsidR="0065609F" w:rsidRDefault="0065609F" w:rsidP="00762261">
      <w:pPr>
        <w:pStyle w:val="clauseheadlevel3"/>
      </w:pPr>
      <w:bookmarkStart w:id="343" w:name="Elkera_Print_TOC148"/>
      <w:bookmarkStart w:id="344" w:name="Elkera_Print_BK148"/>
      <w:r>
        <w:t>86—Safety case required for the relevant stage in the life of a facility</w:t>
      </w:r>
      <w:bookmarkEnd w:id="343"/>
      <w:bookmarkEnd w:id="344"/>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45" w:name="id464d356e_e22a_47ec_b6c0_f8825c3bee30_4"/>
      <w:r>
        <w:rPr>
          <w:color w:val="000000"/>
          <w:sz w:val="23"/>
          <w:szCs w:val="23"/>
        </w:rPr>
        <w:tab/>
        <w:t>(1)</w:t>
      </w:r>
      <w:r>
        <w:rPr>
          <w:color w:val="000000"/>
          <w:sz w:val="23"/>
          <w:szCs w:val="23"/>
        </w:rPr>
        <w:tab/>
        <w:t>A person must not—</w:t>
      </w:r>
      <w:bookmarkEnd w:id="345"/>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construct a facility;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install a facility;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operate a facility;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modify a facility;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decommission a facility,</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in the adjacent area if there is not a safety case in force for the relevant stage in the life of the facility that corresponds with the conduct.</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$8 800.</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r>
      <w:hyperlink w:anchor="id464d356e_e22a_47ec_b6c0_f8825c3bee30_4" w:history="1">
        <w:r>
          <w:rPr>
            <w:color w:val="000000"/>
            <w:sz w:val="23"/>
            <w:szCs w:val="23"/>
          </w:rPr>
          <w:t>Subregulation (1)</w:t>
        </w:r>
      </w:hyperlink>
      <w:r>
        <w:rPr>
          <w:color w:val="000000"/>
          <w:sz w:val="23"/>
          <w:szCs w:val="23"/>
        </w:rPr>
        <w:t xml:space="preserve"> does not apply to a person who is exempt from the requirement to have a safety case in force for the relevant stage in the life of the facility under </w:t>
      </w:r>
      <w:hyperlink w:anchor="id0995b712_f742_4251_975d_3351f800b0fb_9" w:history="1">
        <w:r>
          <w:rPr>
            <w:color w:val="000000"/>
            <w:sz w:val="23"/>
            <w:szCs w:val="23"/>
          </w:rPr>
          <w:t>regulation 80</w:t>
        </w:r>
      </w:hyperlink>
      <w:r>
        <w:rPr>
          <w:color w:val="000000"/>
          <w:sz w:val="23"/>
          <w:szCs w:val="23"/>
        </w:rPr>
        <w:t>.</w:t>
      </w:r>
    </w:p>
    <w:p w:rsidR="0065609F" w:rsidRDefault="0065609F" w:rsidP="00762261">
      <w:pPr>
        <w:pStyle w:val="clauseheadlevel3"/>
      </w:pPr>
      <w:bookmarkStart w:id="346" w:name="Elkera_Print_TOC149"/>
      <w:bookmarkStart w:id="347" w:name="Elkera_Print_BK149"/>
      <w:r>
        <w:t>87—Work on a facility must comply with the safety case</w:t>
      </w:r>
      <w:bookmarkEnd w:id="346"/>
      <w:bookmarkEnd w:id="347"/>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48" w:name="id1e021dbf_f900_4dae_a47f_55358d70580e_e"/>
      <w:r>
        <w:rPr>
          <w:color w:val="000000"/>
          <w:sz w:val="23"/>
          <w:szCs w:val="23"/>
        </w:rPr>
        <w:tab/>
        <w:t>(1)</w:t>
      </w:r>
      <w:r>
        <w:rPr>
          <w:color w:val="000000"/>
          <w:sz w:val="23"/>
          <w:szCs w:val="23"/>
        </w:rPr>
        <w:tab/>
        <w:t>This regulation applies to the following conduct:</w:t>
      </w:r>
      <w:bookmarkEnd w:id="348"/>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constructing a facility;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installing a facility;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operating a facility;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modifying a facility;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decommissioning a facility.</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49" w:name="id686fd852_ab75_46d2_aca8_435347dddf0a_7"/>
      <w:r>
        <w:rPr>
          <w:color w:val="000000"/>
          <w:sz w:val="23"/>
          <w:szCs w:val="23"/>
        </w:rPr>
        <w:tab/>
        <w:t>(2)</w:t>
      </w:r>
      <w:r>
        <w:rPr>
          <w:color w:val="000000"/>
          <w:sz w:val="23"/>
          <w:szCs w:val="23"/>
        </w:rPr>
        <w:tab/>
        <w:t xml:space="preserve">A person must not engage in conduct mentioned in </w:t>
      </w:r>
      <w:hyperlink w:anchor="id1e021dbf_f900_4dae_a47f_55358d70580e_e" w:history="1">
        <w:r>
          <w:rPr>
            <w:color w:val="000000"/>
            <w:sz w:val="23"/>
            <w:szCs w:val="23"/>
          </w:rPr>
          <w:t>subregulation (1)</w:t>
        </w:r>
      </w:hyperlink>
      <w:r>
        <w:rPr>
          <w:color w:val="000000"/>
          <w:sz w:val="23"/>
          <w:szCs w:val="23"/>
        </w:rPr>
        <w:t xml:space="preserve"> in a manner that is contrary to—</w:t>
      </w:r>
      <w:bookmarkEnd w:id="349"/>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safety case in force for the relevant stage in the life of the facility; or</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a limitation or condition imposed by </w:t>
      </w:r>
      <w:hyperlink w:anchor="id896ce359_e7e7_46e3_afbd_b56a0e00c476_f" w:history="1">
        <w:r>
          <w:rPr>
            <w:color w:val="000000"/>
            <w:sz w:val="23"/>
            <w:szCs w:val="23"/>
          </w:rPr>
          <w:t>regulation 67(5)</w:t>
        </w:r>
      </w:hyperlink>
      <w:r>
        <w:rPr>
          <w:color w:val="000000"/>
          <w:sz w:val="23"/>
          <w:szCs w:val="23"/>
        </w:rPr>
        <w:t xml:space="preserve"> or </w:t>
      </w:r>
      <w:hyperlink w:anchor="ida1517086_fd23_468c_abda_ef1f13723b2d_4" w:history="1">
        <w:r>
          <w:rPr>
            <w:color w:val="000000"/>
            <w:sz w:val="23"/>
            <w:szCs w:val="23"/>
          </w:rPr>
          <w:t>regulation 75(5)</w:t>
        </w:r>
      </w:hyperlink>
      <w:r>
        <w:rPr>
          <w:color w:val="000000"/>
          <w:sz w:val="23"/>
          <w:szCs w:val="23"/>
        </w:rPr>
        <w:t>.</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$8 800.</w:t>
      </w:r>
    </w:p>
    <w:p w:rsidR="00E46DB0" w:rsidRDefault="00E46DB0" w:rsidP="00762261">
      <w:pPr>
        <w:spacing w:after="0" w:line="240" w:lineRule="auto"/>
        <w:jc w:val="left"/>
        <w:rPr>
          <w:color w:val="000000"/>
          <w:sz w:val="23"/>
          <w:szCs w:val="23"/>
        </w:rPr>
      </w:pPr>
      <w:r>
        <w:rPr>
          <w:color w:val="000000"/>
          <w:sz w:val="23"/>
          <w:szCs w:val="23"/>
        </w:rPr>
        <w:br w:type="page"/>
      </w:r>
    </w:p>
    <w:p w:rsidR="00E46DB0" w:rsidRDefault="00E46DB0" w:rsidP="00762261">
      <w:pPr>
        <w:pStyle w:val="RegSpace"/>
        <w:jc w:val="left"/>
      </w:pP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r>
      <w:hyperlink w:anchor="id686fd852_ab75_46d2_aca8_435347dddf0a_7" w:history="1">
        <w:r>
          <w:rPr>
            <w:color w:val="000000"/>
            <w:sz w:val="23"/>
            <w:szCs w:val="23"/>
          </w:rPr>
          <w:t>Subregulation (2)</w:t>
        </w:r>
      </w:hyperlink>
      <w:r>
        <w:rPr>
          <w:color w:val="000000"/>
          <w:sz w:val="23"/>
          <w:szCs w:val="23"/>
        </w:rPr>
        <w:t xml:space="preserve"> does not apply to particular conduct if the Safety Authority has given the person a written consent under </w:t>
      </w:r>
      <w:hyperlink w:anchor="idba0a87cd_e0c3_4662_8d56_40f8796f3353_6" w:history="1">
        <w:r>
          <w:rPr>
            <w:color w:val="000000"/>
            <w:sz w:val="23"/>
            <w:szCs w:val="23"/>
          </w:rPr>
          <w:t>regulation 69</w:t>
        </w:r>
      </w:hyperlink>
      <w:r>
        <w:rPr>
          <w:color w:val="000000"/>
          <w:sz w:val="23"/>
          <w:szCs w:val="23"/>
        </w:rPr>
        <w:t xml:space="preserve"> to engage in that conduct in a manner contrary to the safety case or a limitation or condition on the safety case.</w:t>
      </w:r>
    </w:p>
    <w:p w:rsidR="0065609F" w:rsidRDefault="0065609F" w:rsidP="00762261">
      <w:pPr>
        <w:pStyle w:val="clauseheadlevel3"/>
      </w:pPr>
      <w:bookmarkStart w:id="350" w:name="Elkera_Print_TOC150"/>
      <w:bookmarkStart w:id="351" w:name="Elkera_Print_BK150"/>
      <w:r>
        <w:t>88—New health and safety risk</w:t>
      </w:r>
      <w:bookmarkEnd w:id="350"/>
      <w:bookmarkEnd w:id="351"/>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52" w:name="idcc22796b_37ef_41c5_acd2_09931672ad85_4"/>
      <w:r>
        <w:rPr>
          <w:color w:val="000000"/>
          <w:sz w:val="23"/>
          <w:szCs w:val="23"/>
        </w:rPr>
        <w:tab/>
        <w:t>(1)</w:t>
      </w:r>
      <w:r>
        <w:rPr>
          <w:color w:val="000000"/>
          <w:sz w:val="23"/>
          <w:szCs w:val="23"/>
        </w:rPr>
        <w:tab/>
        <w:t>This regulation applies to the following conduct:</w:t>
      </w:r>
      <w:bookmarkEnd w:id="352"/>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constructing a facility;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installing a facility;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operating a facility;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modifying a facility;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decommissioning a facility.</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53" w:name="id53141890_c0bd_46fc_a957_cf81082314c3_4"/>
      <w:r>
        <w:rPr>
          <w:color w:val="000000"/>
          <w:sz w:val="23"/>
          <w:szCs w:val="23"/>
        </w:rPr>
        <w:tab/>
        <w:t>(2)</w:t>
      </w:r>
      <w:r>
        <w:rPr>
          <w:color w:val="000000"/>
          <w:sz w:val="23"/>
          <w:szCs w:val="23"/>
        </w:rPr>
        <w:tab/>
        <w:t xml:space="preserve">A person must not engage in conduct mentioned in a paragraph of </w:t>
      </w:r>
      <w:hyperlink w:anchor="idcc22796b_37ef_41c5_acd2_09931672ad85_4" w:history="1">
        <w:r>
          <w:rPr>
            <w:color w:val="000000"/>
            <w:sz w:val="23"/>
            <w:szCs w:val="23"/>
          </w:rPr>
          <w:t>subregulation (1)</w:t>
        </w:r>
      </w:hyperlink>
      <w:r>
        <w:rPr>
          <w:color w:val="000000"/>
          <w:sz w:val="23"/>
          <w:szCs w:val="23"/>
        </w:rPr>
        <w:t xml:space="preserve"> in the adjacent area if—</w:t>
      </w:r>
      <w:bookmarkEnd w:id="353"/>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there has been an occurrence of a significant new risk to health and safety or a significant increase in an existing risk to health and safety arising from the construction, installation, operation, modification or decommissioning of the 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new risk or increased risk is not provided for—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in the safety case in force for the facility;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in a revised safety case—</w:t>
      </w:r>
    </w:p>
    <w:p w:rsidR="0065609F" w:rsidRDefault="0065609F" w:rsidP="00762261">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(A)</w:t>
      </w:r>
      <w:r>
        <w:rPr>
          <w:color w:val="000000"/>
          <w:sz w:val="23"/>
          <w:szCs w:val="23"/>
        </w:rPr>
        <w:tab/>
        <w:t>submitted to the Safety Authority; and</w:t>
      </w:r>
    </w:p>
    <w:p w:rsidR="0065609F" w:rsidRDefault="0065609F" w:rsidP="00762261">
      <w:pPr>
        <w:keepNext/>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(B)</w:t>
      </w:r>
      <w:r>
        <w:rPr>
          <w:color w:val="000000"/>
          <w:sz w:val="23"/>
          <w:szCs w:val="23"/>
        </w:rPr>
        <w:tab/>
        <w:t>not refused acceptance by the Safety Authority.</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$8 800.</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r>
      <w:hyperlink w:anchor="id53141890_c0bd_46fc_a957_cf81082314c3_4" w:history="1">
        <w:r>
          <w:rPr>
            <w:color w:val="000000"/>
            <w:sz w:val="23"/>
            <w:szCs w:val="23"/>
          </w:rPr>
          <w:t>Subregulation (2)</w:t>
        </w:r>
      </w:hyperlink>
      <w:r>
        <w:rPr>
          <w:color w:val="000000"/>
          <w:sz w:val="23"/>
          <w:szCs w:val="23"/>
        </w:rPr>
        <w:t xml:space="preserve"> does not apply if the person is a person who is exempt from the requirement to have a safety case in force for the relevant stage in the life of the facility under </w:t>
      </w:r>
      <w:hyperlink w:anchor="id0995b712_f742_4251_975d_3351f800b0fb_9" w:history="1">
        <w:r>
          <w:rPr>
            <w:color w:val="000000"/>
            <w:sz w:val="23"/>
            <w:szCs w:val="23"/>
          </w:rPr>
          <w:t>regulation 80</w:t>
        </w:r>
      </w:hyperlink>
      <w:r>
        <w:rPr>
          <w:color w:val="000000"/>
          <w:sz w:val="23"/>
          <w:szCs w:val="23"/>
        </w:rPr>
        <w:t>.</w:t>
      </w:r>
    </w:p>
    <w:p w:rsidR="0065609F" w:rsidRDefault="0065609F" w:rsidP="00762261">
      <w:pPr>
        <w:pStyle w:val="clauseheadlevel3"/>
      </w:pPr>
      <w:bookmarkStart w:id="354" w:name="Elkera_Print_TOC151"/>
      <w:bookmarkStart w:id="355" w:name="Elkera_Print_BK151"/>
      <w:r>
        <w:t>89—Maintaining records</w:t>
      </w:r>
      <w:bookmarkEnd w:id="354"/>
      <w:bookmarkEnd w:id="355"/>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The operator of a facility must keep all documents required by the safety case in force for the facility in the manner set out in the safety case.</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$3 300.</w:t>
      </w:r>
    </w:p>
    <w:p w:rsidR="0065609F" w:rsidRDefault="0065609F" w:rsidP="00762261">
      <w:pPr>
        <w:keepNext/>
        <w:keepLines/>
        <w:autoSpaceDE w:val="0"/>
        <w:autoSpaceDN w:val="0"/>
        <w:adjustRightInd w:val="0"/>
        <w:spacing w:before="120" w:after="0" w:line="240" w:lineRule="auto"/>
        <w:ind w:left="794" w:hanging="567"/>
        <w:jc w:val="left"/>
        <w:rPr>
          <w:b/>
          <w:bCs/>
          <w:color w:val="000000"/>
          <w:sz w:val="20"/>
          <w:szCs w:val="20"/>
        </w:rPr>
      </w:pPr>
      <w:r>
        <w:rPr>
          <w:b/>
          <w:bCs/>
          <w:color w:val="000000"/>
          <w:sz w:val="20"/>
          <w:szCs w:val="20"/>
        </w:rPr>
        <w:t>Note—</w:t>
      </w:r>
    </w:p>
    <w:p w:rsidR="0065609F" w:rsidRDefault="00123FDA" w:rsidP="00762261">
      <w:pPr>
        <w:keepLines/>
        <w:autoSpaceDE w:val="0"/>
        <w:autoSpaceDN w:val="0"/>
        <w:adjustRightInd w:val="0"/>
        <w:spacing w:before="120" w:after="0" w:line="240" w:lineRule="auto"/>
        <w:ind w:left="794"/>
        <w:jc w:val="left"/>
        <w:rPr>
          <w:color w:val="000000"/>
          <w:sz w:val="20"/>
          <w:szCs w:val="20"/>
        </w:rPr>
      </w:pPr>
      <w:hyperlink w:anchor="id36fac36a_1cfb_40bd_933b_83c7bb4dda5c_7" w:history="1">
        <w:r w:rsidR="0065609F">
          <w:rPr>
            <w:color w:val="000000"/>
            <w:sz w:val="20"/>
            <w:szCs w:val="20"/>
          </w:rPr>
          <w:t>Regulation 64</w:t>
        </w:r>
      </w:hyperlink>
      <w:r w:rsidR="0065609F">
        <w:rPr>
          <w:color w:val="000000"/>
          <w:sz w:val="20"/>
          <w:szCs w:val="20"/>
        </w:rPr>
        <w:t xml:space="preserve"> sets out the record keeping requirements in relation to documents.</w:t>
      </w:r>
    </w:p>
    <w:p w:rsidR="0065609F" w:rsidRDefault="0065609F" w:rsidP="00762261">
      <w:pPr>
        <w:pStyle w:val="clauseheadlevel3"/>
      </w:pPr>
      <w:bookmarkStart w:id="356" w:name="Elkera_Print_TOC152"/>
      <w:bookmarkStart w:id="357" w:name="Elkera_Print_BK152"/>
      <w:r>
        <w:t>90—Person on a facility must comply with safety case</w:t>
      </w:r>
      <w:bookmarkEnd w:id="356"/>
      <w:bookmarkEnd w:id="357"/>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A person on a facility must comply with a safety requirement of the safety case in force for the facility that applies to the person.</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$1 100.</w:t>
      </w:r>
    </w:p>
    <w:p w:rsidR="00917E2A" w:rsidRDefault="00917E2A" w:rsidP="00762261">
      <w:pPr>
        <w:spacing w:after="0" w:line="240" w:lineRule="auto"/>
        <w:jc w:val="left"/>
        <w:rPr>
          <w:rFonts w:eastAsia="Times New Roman"/>
          <w:b/>
          <w:bCs/>
          <w:color w:val="000000"/>
          <w:sz w:val="26"/>
          <w:szCs w:val="26"/>
          <w:lang w:eastAsia="en-AU"/>
        </w:rPr>
      </w:pPr>
      <w:bookmarkStart w:id="358" w:name="Elkera_Print_TOC153"/>
      <w:bookmarkStart w:id="359" w:name="Elkera_Print_BK153"/>
      <w:r>
        <w:br w:type="page"/>
      </w:r>
    </w:p>
    <w:p w:rsidR="00B34C54" w:rsidRDefault="00B34C54" w:rsidP="00762261">
      <w:pPr>
        <w:pStyle w:val="RegSpace"/>
        <w:jc w:val="left"/>
      </w:pPr>
    </w:p>
    <w:p w:rsidR="0065609F" w:rsidRDefault="0065609F" w:rsidP="00762261">
      <w:pPr>
        <w:pStyle w:val="clauseheadlevel3"/>
      </w:pPr>
      <w:r>
        <w:t>91—Interference with accident sites</w:t>
      </w:r>
      <w:bookmarkEnd w:id="358"/>
      <w:bookmarkEnd w:id="359"/>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60" w:name="idcf2c2ae2_e4d9_4224_b860_22ff0d31f72a_7"/>
      <w:r>
        <w:rPr>
          <w:color w:val="000000"/>
          <w:sz w:val="23"/>
          <w:szCs w:val="23"/>
        </w:rPr>
        <w:tab/>
        <w:t>(1)</w:t>
      </w:r>
      <w:r>
        <w:rPr>
          <w:color w:val="000000"/>
          <w:sz w:val="23"/>
          <w:szCs w:val="23"/>
        </w:rPr>
        <w:tab/>
        <w:t>A person must not interfere with a site, on a facility, where there is—</w:t>
      </w:r>
      <w:bookmarkEnd w:id="360"/>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an accident that causes the death of, or serious personal injury to, any person;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an accident that causes a member of the workforce to be incapacitated from performing work for a period of 3 days;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a dangerous occurrence,</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before the completion of the inspection of the site by an OHS inspector.</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$2 200.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It is a defence to a prosecution for an offence against </w:t>
      </w:r>
      <w:hyperlink w:anchor="idcf2c2ae2_e4d9_4224_b860_22ff0d31f72a_7" w:history="1">
        <w:r>
          <w:rPr>
            <w:color w:val="000000"/>
            <w:sz w:val="23"/>
            <w:szCs w:val="23"/>
          </w:rPr>
          <w:t>subregulation (1)</w:t>
        </w:r>
      </w:hyperlink>
      <w:r>
        <w:rPr>
          <w:color w:val="000000"/>
          <w:sz w:val="23"/>
          <w:szCs w:val="23"/>
        </w:rPr>
        <w:t xml:space="preserve"> that—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person was acting with the written or oral authority of an OHS inspector;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person was acting, in a reasonable manner, for any of the following purposes:</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helping or rescuing a sick, injured or endangered person;</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maintaining the safety of the facility or of persons at the facility;</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reducing danger to the facility or to persons at the facility;</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(iv)</w:t>
      </w:r>
      <w:r>
        <w:rPr>
          <w:color w:val="000000"/>
          <w:sz w:val="23"/>
          <w:szCs w:val="23"/>
        </w:rPr>
        <w:tab/>
        <w:t>retrieving, or attempting to retrieve, the body of a dead person;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operator has given the Safety Authority notice of, and a report about, the accident or dangerous occurrence under clause 67 of Schedule 7 of the Act, and an OHS inspector has not entered the facility where the accident or dangerous occurrence occurred in response to the notice within 3 working days of the operator giving notice to the Safety Authority.</w:t>
      </w:r>
    </w:p>
    <w:p w:rsidR="0065609F" w:rsidRDefault="0065609F" w:rsidP="00762261">
      <w:pPr>
        <w:pStyle w:val="divisionheadlevel2"/>
      </w:pPr>
      <w:bookmarkStart w:id="361" w:name="Elkera_Print_TOC154"/>
      <w:bookmarkStart w:id="362" w:name="Elkera_Print_BK154"/>
      <w:r>
        <w:t>Division 7—Miscellaneous</w:t>
      </w:r>
      <w:bookmarkEnd w:id="361"/>
      <w:bookmarkEnd w:id="362"/>
    </w:p>
    <w:p w:rsidR="0065609F" w:rsidRDefault="0065609F" w:rsidP="00762261">
      <w:pPr>
        <w:pStyle w:val="clauseheadlevel3"/>
      </w:pPr>
      <w:bookmarkStart w:id="363" w:name="Elkera_Print_TOC155"/>
      <w:bookmarkStart w:id="364" w:name="Elkera_Print_BK155"/>
      <w:r>
        <w:t>92—Details in applications or submissions</w:t>
      </w:r>
      <w:bookmarkEnd w:id="363"/>
      <w:bookmarkEnd w:id="364"/>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65" w:name="idf4ac091e_b8fe_45cd_907a_a6e1c88e6f39_9"/>
      <w:r>
        <w:rPr>
          <w:color w:val="000000"/>
          <w:sz w:val="23"/>
          <w:szCs w:val="23"/>
        </w:rPr>
        <w:tab/>
        <w:t>(1)</w:t>
      </w:r>
      <w:r>
        <w:rPr>
          <w:color w:val="000000"/>
          <w:sz w:val="23"/>
          <w:szCs w:val="23"/>
        </w:rPr>
        <w:tab/>
        <w:t>An application or submission (however described) that a person is required or permitted to make or give to the Safety Authority under this Part must include—</w:t>
      </w:r>
      <w:bookmarkEnd w:id="365"/>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person's name;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if applicable, the name of the person's agent;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person's or agent's address in Australia;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 person's or agent's telephone number and email address.</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If there is a change to any of the details mentioned in </w:t>
      </w:r>
      <w:hyperlink w:anchor="idf4ac091e_b8fe_45cd_907a_a6e1c88e6f39_9" w:history="1">
        <w:r>
          <w:rPr>
            <w:color w:val="000000"/>
            <w:sz w:val="23"/>
            <w:szCs w:val="23"/>
          </w:rPr>
          <w:t>subregulation (1)</w:t>
        </w:r>
      </w:hyperlink>
      <w:r>
        <w:rPr>
          <w:color w:val="000000"/>
          <w:sz w:val="23"/>
          <w:szCs w:val="23"/>
        </w:rPr>
        <w:t>, the person or agent must notify the Safety Authority in writing as soon as practicable.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Despite any provision of this Part, the Safety Authority may delay proceeding with an application or submission until the person or agent has complied with this regulation.</w:t>
      </w:r>
    </w:p>
    <w:p w:rsidR="00457144" w:rsidRDefault="00457144" w:rsidP="00762261">
      <w:pPr>
        <w:spacing w:after="0" w:line="240" w:lineRule="auto"/>
        <w:jc w:val="left"/>
        <w:rPr>
          <w:rFonts w:eastAsia="Times New Roman"/>
          <w:b/>
          <w:bCs/>
          <w:color w:val="000000"/>
          <w:sz w:val="32"/>
          <w:szCs w:val="32"/>
          <w:lang w:eastAsia="en-AU"/>
        </w:rPr>
      </w:pPr>
      <w:bookmarkStart w:id="366" w:name="Elkera_Print_TOC157"/>
      <w:bookmarkStart w:id="367" w:name="id2f5dbadc_2a01_47ca_a9bb_87d2e628c4a1_2"/>
      <w:r>
        <w:br w:type="page"/>
      </w:r>
    </w:p>
    <w:p w:rsidR="00457144" w:rsidRDefault="00457144" w:rsidP="00762261">
      <w:pPr>
        <w:pStyle w:val="RegSpace"/>
        <w:jc w:val="left"/>
      </w:pPr>
    </w:p>
    <w:p w:rsidR="0065609F" w:rsidRDefault="0065609F" w:rsidP="00762261">
      <w:pPr>
        <w:pStyle w:val="partheadlevel1"/>
      </w:pPr>
      <w:r>
        <w:t>Part 4—Pipelines</w:t>
      </w:r>
      <w:bookmarkEnd w:id="366"/>
      <w:bookmarkEnd w:id="367"/>
    </w:p>
    <w:p w:rsidR="0065609F" w:rsidRDefault="0065609F" w:rsidP="00762261">
      <w:pPr>
        <w:pStyle w:val="divisionheadlevel2"/>
      </w:pPr>
      <w:bookmarkStart w:id="368" w:name="Elkera_Print_TOC158"/>
      <w:bookmarkStart w:id="369" w:name="Elkera_Print_BK158"/>
      <w:r>
        <w:t>Division 1—Preliminary</w:t>
      </w:r>
      <w:bookmarkEnd w:id="368"/>
      <w:bookmarkEnd w:id="369"/>
    </w:p>
    <w:p w:rsidR="0065609F" w:rsidRDefault="0065609F" w:rsidP="00762261">
      <w:pPr>
        <w:pStyle w:val="clauseheadlevel3"/>
      </w:pPr>
      <w:bookmarkStart w:id="370" w:name="Elkera_Print_TOC159"/>
      <w:bookmarkStart w:id="371" w:name="Elkera_Print_BK159"/>
      <w:r>
        <w:t>93—Object</w:t>
      </w:r>
      <w:bookmarkEnd w:id="370"/>
      <w:bookmarkEnd w:id="371"/>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The object of this Part is to ensure, over the operating life of offshore pipelines that are for use in conveying petroleum, that licensees for the pipelines use systems, work practices and procedures that will ensure that—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pipelines are designed, constructed, operated and modified in ways that are suitable for the purposes for which the pipelines are to be used;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proposals for decommissioning pipelines are suitable for the purposes for which they are made;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risks of significant pipeline accident events, and the risks to the integrity of the pipelines, are reduced to levels as low as reasonably practicable.</w:t>
      </w:r>
    </w:p>
    <w:p w:rsidR="0065609F" w:rsidRDefault="0065609F" w:rsidP="00762261">
      <w:pPr>
        <w:pStyle w:val="clauseheadlevel3"/>
      </w:pPr>
      <w:bookmarkStart w:id="372" w:name="Elkera_Print_TOC161"/>
      <w:bookmarkStart w:id="373" w:name="ide1706533_85ce_4f58_800d_8205b37cb097_1"/>
      <w:r>
        <w:t>94—Definitions</w:t>
      </w:r>
      <w:bookmarkEnd w:id="372"/>
      <w:bookmarkEnd w:id="373"/>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74" w:name="ida596b4a2_b53d_4422_b5f8_ba8f041978a2_3"/>
      <w:r>
        <w:rPr>
          <w:color w:val="000000"/>
          <w:sz w:val="23"/>
          <w:szCs w:val="23"/>
        </w:rPr>
        <w:tab/>
        <w:t>(1)</w:t>
      </w:r>
      <w:r>
        <w:rPr>
          <w:color w:val="000000"/>
          <w:sz w:val="23"/>
          <w:szCs w:val="23"/>
        </w:rPr>
        <w:tab/>
        <w:t>In this Part, unless the contrary intention appears—</w:t>
      </w:r>
      <w:bookmarkEnd w:id="374"/>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composition of petroleum</w:t>
      </w:r>
      <w:r>
        <w:rPr>
          <w:color w:val="000000"/>
          <w:sz w:val="23"/>
          <w:szCs w:val="23"/>
        </w:rPr>
        <w:t xml:space="preserve"> means a mixture of petroleum with 1 or more other substances;</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independent validator</w:t>
      </w:r>
      <w:r>
        <w:rPr>
          <w:color w:val="000000"/>
          <w:sz w:val="23"/>
          <w:szCs w:val="23"/>
        </w:rPr>
        <w:t>, for a validation, means a person who, to the reasonable satisfaction of the Minister, has the necessary competence and ability, and access to data, in relation to the matters being validated, to arrive at an independent opinion on the matters;</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operator</w:t>
      </w:r>
      <w:r>
        <w:rPr>
          <w:color w:val="000000"/>
          <w:sz w:val="23"/>
          <w:szCs w:val="23"/>
        </w:rPr>
        <w:t xml:space="preserve">, for a pipeline, means a person registered under </w:t>
      </w:r>
      <w:hyperlink w:anchor="idf9a34f4f_ac2c_4ad6_ad6d_3df794652d52_b" w:history="1">
        <w:r>
          <w:rPr>
            <w:color w:val="000000"/>
            <w:sz w:val="23"/>
            <w:szCs w:val="23"/>
          </w:rPr>
          <w:t>regulation 99</w:t>
        </w:r>
      </w:hyperlink>
      <w:r>
        <w:rPr>
          <w:color w:val="000000"/>
          <w:sz w:val="23"/>
          <w:szCs w:val="23"/>
        </w:rPr>
        <w:t xml:space="preserve"> as the operator for the pipeline by the Safety Authority;</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pipeline</w:t>
      </w:r>
      <w:r>
        <w:rPr>
          <w:color w:val="000000"/>
          <w:sz w:val="23"/>
          <w:szCs w:val="23"/>
        </w:rPr>
        <w: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in </w:t>
      </w:r>
      <w:hyperlink w:anchor="idbdf9b864_3c6a_484e_a5be_5908440abc23_3" w:history="1">
        <w:r>
          <w:rPr>
            <w:color w:val="000000"/>
            <w:sz w:val="23"/>
            <w:szCs w:val="23"/>
          </w:rPr>
          <w:t>Division 4</w:t>
        </w:r>
      </w:hyperlink>
      <w:r>
        <w:rPr>
          <w:color w:val="000000"/>
          <w:sz w:val="23"/>
          <w:szCs w:val="23"/>
        </w:rPr>
        <w:t>—</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means a pipeline to which clause 4(8) of Schedule 7 of the Act applies;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includes a pipeline, that would be a pipeline of that kind, that is—</w:t>
      </w:r>
    </w:p>
    <w:p w:rsidR="0065609F" w:rsidRDefault="0065609F" w:rsidP="00762261">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(A)</w:t>
      </w:r>
      <w:r>
        <w:rPr>
          <w:color w:val="000000"/>
          <w:sz w:val="23"/>
          <w:szCs w:val="23"/>
        </w:rPr>
        <w:tab/>
        <w:t>proposed to be constructed; or</w:t>
      </w:r>
    </w:p>
    <w:p w:rsidR="0065609F" w:rsidRDefault="0065609F" w:rsidP="00762261">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(B)</w:t>
      </w:r>
      <w:r>
        <w:rPr>
          <w:color w:val="000000"/>
          <w:sz w:val="23"/>
          <w:szCs w:val="23"/>
        </w:rPr>
        <w:tab/>
        <w:t>proposed to be operated; or</w:t>
      </w:r>
    </w:p>
    <w:p w:rsidR="0065609F" w:rsidRDefault="0065609F" w:rsidP="00762261">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(C)</w:t>
      </w:r>
      <w:r>
        <w:rPr>
          <w:color w:val="000000"/>
          <w:sz w:val="23"/>
          <w:szCs w:val="23"/>
        </w:rPr>
        <w:tab/>
        <w:t>being constructed;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in this Part, other than </w:t>
      </w:r>
      <w:hyperlink w:anchor="idbdf9b864_3c6a_484e_a5be_5908440abc23_3" w:history="1">
        <w:r>
          <w:rPr>
            <w:color w:val="000000"/>
            <w:sz w:val="23"/>
            <w:szCs w:val="23"/>
          </w:rPr>
          <w:t>Division 4</w:t>
        </w:r>
      </w:hyperlink>
      <w:r>
        <w:rPr>
          <w:color w:val="000000"/>
          <w:sz w:val="23"/>
          <w:szCs w:val="23"/>
        </w:rPr>
        <w:t>—</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means a pipeline licensed under Division 4 of Part 3 of the Act;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includes a pipeline, that would be a pipeline of that kind, that is—</w:t>
      </w:r>
    </w:p>
    <w:p w:rsidR="0065609F" w:rsidRDefault="0065609F" w:rsidP="00762261">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(A)</w:t>
      </w:r>
      <w:r>
        <w:rPr>
          <w:color w:val="000000"/>
          <w:sz w:val="23"/>
          <w:szCs w:val="23"/>
        </w:rPr>
        <w:tab/>
        <w:t>proposed to be constructed; or</w:t>
      </w:r>
    </w:p>
    <w:p w:rsidR="0065609F" w:rsidRDefault="0065609F" w:rsidP="00762261">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(B)</w:t>
      </w:r>
      <w:r>
        <w:rPr>
          <w:color w:val="000000"/>
          <w:sz w:val="23"/>
          <w:szCs w:val="23"/>
        </w:rPr>
        <w:tab/>
        <w:t>proposed to be operated; or</w:t>
      </w:r>
    </w:p>
    <w:p w:rsidR="0065609F" w:rsidRDefault="0065609F" w:rsidP="00762261">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(C)</w:t>
      </w:r>
      <w:r>
        <w:rPr>
          <w:color w:val="000000"/>
          <w:sz w:val="23"/>
          <w:szCs w:val="23"/>
        </w:rPr>
        <w:tab/>
        <w:t>being constructed;</w:t>
      </w:r>
    </w:p>
    <w:p w:rsidR="00C44726" w:rsidRDefault="00C44726" w:rsidP="00762261">
      <w:pPr>
        <w:spacing w:after="0" w:line="240" w:lineRule="auto"/>
        <w:jc w:val="left"/>
        <w:rPr>
          <w:b/>
          <w:bCs/>
          <w:i/>
          <w:iCs/>
          <w:color w:val="000000"/>
          <w:sz w:val="23"/>
          <w:szCs w:val="23"/>
        </w:rPr>
      </w:pPr>
      <w:r>
        <w:rPr>
          <w:b/>
          <w:bCs/>
          <w:i/>
          <w:iCs/>
          <w:color w:val="000000"/>
          <w:sz w:val="23"/>
          <w:szCs w:val="23"/>
        </w:rPr>
        <w:br w:type="page"/>
      </w:r>
    </w:p>
    <w:p w:rsidR="00C44726" w:rsidRDefault="00C44726" w:rsidP="00762261">
      <w:pPr>
        <w:pStyle w:val="RegSpace"/>
        <w:jc w:val="left"/>
      </w:pP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pipeline management plan in force for a pipeline</w:t>
      </w:r>
      <w:r>
        <w:rPr>
          <w:color w:val="000000"/>
          <w:sz w:val="23"/>
          <w:szCs w:val="23"/>
        </w:rPr>
        <w:t xml:space="preserve"> means a pipeline management plan for a pipeline—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submitted by or for the pipeline licensee;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accepted under this Part (or, if the pipeline management plan is accepted in part, that part of the pipeline management plan that is accepted);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as revised from time to time under this Part;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for which the acceptance has not been withdrawn;</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pipeline safety management plan</w:t>
      </w:r>
      <w:r>
        <w:rPr>
          <w:color w:val="000000"/>
          <w:sz w:val="23"/>
          <w:szCs w:val="23"/>
        </w:rPr>
        <w:t xml:space="preserve"> means the components of a pipeline management plan that provide for the health and safety of persons at or near the pipeline;</w:t>
      </w:r>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1588"/>
        <w:jc w:val="left"/>
        <w:rPr>
          <w:color w:val="000000"/>
          <w:sz w:val="20"/>
          <w:szCs w:val="20"/>
        </w:rPr>
      </w:pPr>
      <w:r>
        <w:rPr>
          <w:color w:val="000000"/>
          <w:sz w:val="20"/>
          <w:szCs w:val="20"/>
        </w:rPr>
        <w:t xml:space="preserve">The components of a pipeline management plan are set out in </w:t>
      </w:r>
      <w:hyperlink w:anchor="id49e91f2e_5615_444a_80a1_441387d580a9_5" w:history="1">
        <w:r>
          <w:rPr>
            <w:color w:val="000000"/>
            <w:sz w:val="20"/>
            <w:szCs w:val="20"/>
          </w:rPr>
          <w:t>Division 3 Subdivision 2</w:t>
        </w:r>
      </w:hyperlink>
      <w:r>
        <w:rPr>
          <w:color w:val="000000"/>
          <w:sz w:val="20"/>
          <w:szCs w:val="20"/>
        </w:rPr>
        <w: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pipeline management system description</w:t>
      </w:r>
      <w:r>
        <w:rPr>
          <w:color w:val="000000"/>
          <w:sz w:val="23"/>
          <w:szCs w:val="23"/>
        </w:rPr>
        <w:t xml:space="preserve">, for a pipeline, means a description of the matters mentioned in </w:t>
      </w:r>
      <w:hyperlink w:anchor="id38bacb2c_20d3_4fe6_89e4_3817263f902a_d" w:history="1">
        <w:r>
          <w:rPr>
            <w:color w:val="000000"/>
            <w:sz w:val="23"/>
            <w:szCs w:val="23"/>
          </w:rPr>
          <w:t>regulation 114</w:t>
        </w:r>
      </w:hyperlink>
      <w:r>
        <w:rPr>
          <w:color w:val="000000"/>
          <w:sz w:val="23"/>
          <w:szCs w:val="23"/>
        </w:rPr>
        <w:t xml:space="preserve"> in relation to the pipeline;</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reportable incident</w:t>
      </w:r>
      <w:r>
        <w:rPr>
          <w:color w:val="000000"/>
          <w:sz w:val="23"/>
          <w:szCs w:val="23"/>
        </w:rPr>
        <w:t xml:space="preserve"> means an incident that—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375" w:name="idbba9975d_ad9c_421b_81b8_2fbec0243e8f_7"/>
      <w:r>
        <w:rPr>
          <w:color w:val="000000"/>
          <w:sz w:val="23"/>
          <w:szCs w:val="23"/>
        </w:rPr>
        <w:tab/>
        <w:t>(a)</w:t>
      </w:r>
      <w:r>
        <w:rPr>
          <w:color w:val="000000"/>
          <w:sz w:val="23"/>
          <w:szCs w:val="23"/>
        </w:rPr>
        <w:tab/>
        <w:t>results in significant damage to a pipeline (for example, reducing the capacity of the pipeline to contain petroleum flowing through it); or</w:t>
      </w:r>
      <w:bookmarkEnd w:id="375"/>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is likely to have a result of a kind mentioned in </w:t>
      </w:r>
      <w:hyperlink w:anchor="idbba9975d_ad9c_421b_81b8_2fbec0243e8f_7" w:history="1">
        <w:r>
          <w:rPr>
            <w:color w:val="000000"/>
            <w:sz w:val="23"/>
            <w:szCs w:val="23"/>
          </w:rPr>
          <w:t>paragraph (a)</w:t>
        </w:r>
      </w:hyperlink>
      <w:r>
        <w:rPr>
          <w:color w:val="000000"/>
          <w:sz w:val="23"/>
          <w:szCs w:val="23"/>
        </w:rPr>
        <w:t>;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is of a kind that a reasonable pipeline licensee would consider to require immediate investigation;</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significant pipeline accident event</w:t>
      </w:r>
      <w:r>
        <w:rPr>
          <w:color w:val="000000"/>
          <w:sz w:val="23"/>
          <w:szCs w:val="23"/>
        </w:rPr>
        <w:t xml:space="preserve"> means an event that—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is connected (whether immediately or after delay) with work carried out on, or in relation to, a pipeline;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causes, or creates a significant risk of causing, human death (for example, because of hydrocarbon releases);</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validation</w:t>
      </w:r>
      <w:r>
        <w:rPr>
          <w:color w:val="000000"/>
          <w:sz w:val="23"/>
          <w:szCs w:val="23"/>
        </w:rPr>
        <w:t xml:space="preserve"> has the meaning given by </w:t>
      </w:r>
      <w:hyperlink w:anchor="id82569e6a_a4da_4f36_9770_6777ec019786_2" w:history="1">
        <w:r>
          <w:rPr>
            <w:color w:val="000000"/>
            <w:sz w:val="23"/>
            <w:szCs w:val="23"/>
          </w:rPr>
          <w:t>regulation 95</w:t>
        </w:r>
      </w:hyperlink>
      <w:r>
        <w:rPr>
          <w:color w:val="000000"/>
          <w:sz w:val="23"/>
          <w:szCs w:val="23"/>
        </w:rPr>
        <w:t xml:space="preserve">, and </w:t>
      </w:r>
      <w:r>
        <w:rPr>
          <w:b/>
          <w:bCs/>
          <w:i/>
          <w:iCs/>
          <w:color w:val="000000"/>
          <w:sz w:val="23"/>
          <w:szCs w:val="23"/>
        </w:rPr>
        <w:t>validate</w:t>
      </w:r>
      <w:r>
        <w:rPr>
          <w:color w:val="000000"/>
          <w:sz w:val="23"/>
          <w:szCs w:val="23"/>
        </w:rPr>
        <w:t xml:space="preserve"> has a corresponding meaning.</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For the purposes of this Part, a pipeline is taken to be decommissioned if—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pipeline ceases operation, other than—</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temporarily for maintenance;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for a period agreed between the Minister and pipeline licensee for the pipeline;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pipeline is removed.</w:t>
      </w:r>
    </w:p>
    <w:p w:rsidR="0065609F" w:rsidRDefault="0065609F" w:rsidP="00762261">
      <w:pPr>
        <w:pStyle w:val="clauseheadlevel3"/>
      </w:pPr>
      <w:bookmarkStart w:id="376" w:name="Elkera_Print_TOC163"/>
      <w:bookmarkStart w:id="377" w:name="id82569e6a_a4da_4f36_9770_6777ec019786_2"/>
      <w:r>
        <w:t>95—Meaning of validation</w:t>
      </w:r>
      <w:bookmarkEnd w:id="376"/>
      <w:bookmarkEnd w:id="377"/>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A </w:t>
      </w:r>
      <w:r>
        <w:rPr>
          <w:b/>
          <w:bCs/>
          <w:i/>
          <w:iCs/>
          <w:color w:val="000000"/>
          <w:sz w:val="23"/>
          <w:szCs w:val="23"/>
        </w:rPr>
        <w:t>validation</w:t>
      </w:r>
      <w:r>
        <w:rPr>
          <w:color w:val="000000"/>
          <w:sz w:val="23"/>
          <w:szCs w:val="23"/>
        </w:rPr>
        <w:t xml:space="preserve"> of a proposal for a pipeline under this Part is a statement in writing by an independent validator that—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proposal is suitable for the purposes for which it is made; and</w:t>
      </w:r>
    </w:p>
    <w:p w:rsidR="009A3183" w:rsidRDefault="009A3183" w:rsidP="00762261">
      <w:pPr>
        <w:spacing w:after="0" w:line="240" w:lineRule="auto"/>
        <w:jc w:val="left"/>
        <w:rPr>
          <w:color w:val="000000"/>
          <w:sz w:val="23"/>
          <w:szCs w:val="23"/>
        </w:rPr>
      </w:pPr>
      <w:r>
        <w:rPr>
          <w:color w:val="000000"/>
          <w:sz w:val="23"/>
          <w:szCs w:val="23"/>
        </w:rPr>
        <w:br w:type="page"/>
      </w:r>
    </w:p>
    <w:p w:rsidR="009A3183" w:rsidRDefault="009A3183" w:rsidP="00762261">
      <w:pPr>
        <w:pStyle w:val="RegSpace"/>
        <w:jc w:val="left"/>
      </w:pP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if the proposal includes a modification of the pipeline that may affect the integrity of the pipeline—there are reasonable grounds to believe that the modification will result in the pipeline being suitable for the purposes for which it is to be used;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proposal is consistent with the pipeline management system description in the pipeline management plan in force for the pipeline;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 proposal complies with any Australian or international standards that are mentioned in the pipeline management plan as applying to that kind of proposal.</w:t>
      </w:r>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Notes—</w:t>
      </w:r>
    </w:p>
    <w:p w:rsidR="0065609F" w:rsidRDefault="0065609F" w:rsidP="00762261">
      <w:pPr>
        <w:keepLines/>
        <w:tabs>
          <w:tab w:val="left" w:pos="2382"/>
        </w:tabs>
        <w:autoSpaceDE w:val="0"/>
        <w:autoSpaceDN w:val="0"/>
        <w:adjustRightInd w:val="0"/>
        <w:spacing w:before="80" w:after="0" w:line="240" w:lineRule="auto"/>
        <w:ind w:left="2382" w:hanging="794"/>
        <w:jc w:val="left"/>
        <w:rPr>
          <w:color w:val="000000"/>
          <w:sz w:val="20"/>
          <w:szCs w:val="20"/>
        </w:rPr>
      </w:pPr>
      <w:r>
        <w:rPr>
          <w:color w:val="000000"/>
          <w:sz w:val="20"/>
          <w:szCs w:val="20"/>
        </w:rPr>
        <w:t>1</w:t>
      </w:r>
      <w:r>
        <w:rPr>
          <w:color w:val="000000"/>
          <w:sz w:val="20"/>
          <w:szCs w:val="20"/>
        </w:rPr>
        <w:tab/>
        <w:t>The following proposals are subject to validation under this Part:</w:t>
      </w:r>
    </w:p>
    <w:p w:rsidR="0065609F" w:rsidRDefault="0065609F" w:rsidP="00762261">
      <w:pPr>
        <w:keepLines/>
        <w:tabs>
          <w:tab w:val="center" w:pos="2779"/>
          <w:tab w:val="left" w:pos="3176"/>
        </w:tabs>
        <w:autoSpaceDE w:val="0"/>
        <w:autoSpaceDN w:val="0"/>
        <w:adjustRightInd w:val="0"/>
        <w:spacing w:before="120" w:after="0" w:line="240" w:lineRule="auto"/>
        <w:ind w:left="3176" w:hanging="794"/>
        <w:jc w:val="left"/>
        <w:rPr>
          <w:color w:val="000000"/>
          <w:sz w:val="20"/>
          <w:szCs w:val="20"/>
        </w:rPr>
      </w:pPr>
      <w:r>
        <w:rPr>
          <w:color w:val="000000"/>
          <w:sz w:val="20"/>
          <w:szCs w:val="20"/>
        </w:rPr>
        <w:tab/>
        <w:t>•</w:t>
      </w:r>
      <w:r>
        <w:rPr>
          <w:color w:val="000000"/>
          <w:sz w:val="20"/>
          <w:szCs w:val="20"/>
        </w:rPr>
        <w:tab/>
        <w:t xml:space="preserve">proposals to carry out activities for the design and construction of a pipeline—see </w:t>
      </w:r>
      <w:hyperlink w:anchor="id2ecf6de4_e40a_4b4f_b1cb_2ee92eecf041_8" w:history="1">
        <w:r>
          <w:rPr>
            <w:color w:val="000000"/>
            <w:sz w:val="20"/>
            <w:szCs w:val="20"/>
          </w:rPr>
          <w:t>regulations 103(4)(b)</w:t>
        </w:r>
      </w:hyperlink>
      <w:r>
        <w:rPr>
          <w:color w:val="000000"/>
          <w:sz w:val="20"/>
          <w:szCs w:val="20"/>
        </w:rPr>
        <w:t xml:space="preserve"> and </w:t>
      </w:r>
      <w:hyperlink w:anchor="idfc58365a_3d82_43f3_9ef9_7c673b5077aa_1" w:history="1">
        <w:r>
          <w:rPr>
            <w:color w:val="000000"/>
            <w:sz w:val="20"/>
            <w:szCs w:val="20"/>
          </w:rPr>
          <w:t>104(3)(b)</w:t>
        </w:r>
      </w:hyperlink>
      <w:r>
        <w:rPr>
          <w:color w:val="000000"/>
          <w:sz w:val="20"/>
          <w:szCs w:val="20"/>
        </w:rPr>
        <w:t>;</w:t>
      </w:r>
    </w:p>
    <w:p w:rsidR="0065609F" w:rsidRDefault="0065609F" w:rsidP="00762261">
      <w:pPr>
        <w:keepLines/>
        <w:tabs>
          <w:tab w:val="center" w:pos="2779"/>
          <w:tab w:val="left" w:pos="3176"/>
        </w:tabs>
        <w:autoSpaceDE w:val="0"/>
        <w:autoSpaceDN w:val="0"/>
        <w:adjustRightInd w:val="0"/>
        <w:spacing w:before="120" w:after="0" w:line="240" w:lineRule="auto"/>
        <w:ind w:left="3176" w:hanging="794"/>
        <w:jc w:val="left"/>
        <w:rPr>
          <w:color w:val="000000"/>
          <w:sz w:val="20"/>
          <w:szCs w:val="20"/>
        </w:rPr>
      </w:pPr>
      <w:r>
        <w:rPr>
          <w:color w:val="000000"/>
          <w:sz w:val="20"/>
          <w:szCs w:val="20"/>
        </w:rPr>
        <w:tab/>
        <w:t>•</w:t>
      </w:r>
      <w:r>
        <w:rPr>
          <w:color w:val="000000"/>
          <w:sz w:val="20"/>
          <w:szCs w:val="20"/>
        </w:rPr>
        <w:tab/>
        <w:t xml:space="preserve">proposals for the operation of a pipeline—see </w:t>
      </w:r>
      <w:hyperlink w:anchor="idbea5695c_437b_4bb3_8228_cd577c6ef69a_6" w:history="1">
        <w:r>
          <w:rPr>
            <w:color w:val="000000"/>
            <w:sz w:val="20"/>
            <w:szCs w:val="20"/>
          </w:rPr>
          <w:t>regulations 109(3)(b)</w:t>
        </w:r>
      </w:hyperlink>
      <w:r>
        <w:rPr>
          <w:color w:val="000000"/>
          <w:sz w:val="20"/>
          <w:szCs w:val="20"/>
        </w:rPr>
        <w:t xml:space="preserve"> and </w:t>
      </w:r>
      <w:hyperlink w:anchor="id5ee17c3f_2f43_4228_b36c_6e2ec3057be2_4" w:history="1">
        <w:r>
          <w:rPr>
            <w:color w:val="000000"/>
            <w:sz w:val="20"/>
            <w:szCs w:val="20"/>
          </w:rPr>
          <w:t>110(3)(b)</w:t>
        </w:r>
      </w:hyperlink>
      <w:r>
        <w:rPr>
          <w:color w:val="000000"/>
          <w:sz w:val="20"/>
          <w:szCs w:val="20"/>
        </w:rPr>
        <w:t>;</w:t>
      </w:r>
    </w:p>
    <w:p w:rsidR="0065609F" w:rsidRDefault="0065609F" w:rsidP="00762261">
      <w:pPr>
        <w:keepLines/>
        <w:tabs>
          <w:tab w:val="center" w:pos="2779"/>
          <w:tab w:val="left" w:pos="3176"/>
        </w:tabs>
        <w:autoSpaceDE w:val="0"/>
        <w:autoSpaceDN w:val="0"/>
        <w:adjustRightInd w:val="0"/>
        <w:spacing w:before="120" w:after="0" w:line="240" w:lineRule="auto"/>
        <w:ind w:left="3176" w:hanging="794"/>
        <w:jc w:val="left"/>
        <w:rPr>
          <w:color w:val="000000"/>
          <w:sz w:val="20"/>
          <w:szCs w:val="20"/>
        </w:rPr>
      </w:pPr>
      <w:r>
        <w:rPr>
          <w:color w:val="000000"/>
          <w:sz w:val="20"/>
          <w:szCs w:val="20"/>
        </w:rPr>
        <w:tab/>
        <w:t>•</w:t>
      </w:r>
      <w:r>
        <w:rPr>
          <w:color w:val="000000"/>
          <w:sz w:val="20"/>
          <w:szCs w:val="20"/>
        </w:rPr>
        <w:tab/>
        <w:t xml:space="preserve">proposals for the revision of a pipeline management plan that relates to modification or decommissioning of a pipeline—see </w:t>
      </w:r>
      <w:hyperlink w:anchor="ide72ea1b0_b65f_4c63_8298_3f540011510d_9" w:history="1">
        <w:r>
          <w:rPr>
            <w:color w:val="000000"/>
            <w:sz w:val="20"/>
            <w:szCs w:val="20"/>
          </w:rPr>
          <w:t>regulation 130(1)(a)(iv)</w:t>
        </w:r>
      </w:hyperlink>
      <w:r>
        <w:rPr>
          <w:color w:val="000000"/>
          <w:sz w:val="20"/>
          <w:szCs w:val="20"/>
        </w:rPr>
        <w:t>.</w:t>
      </w:r>
    </w:p>
    <w:p w:rsidR="0065609F" w:rsidRDefault="0065609F" w:rsidP="00762261">
      <w:pPr>
        <w:keepLines/>
        <w:tabs>
          <w:tab w:val="left" w:pos="2382"/>
        </w:tabs>
        <w:autoSpaceDE w:val="0"/>
        <w:autoSpaceDN w:val="0"/>
        <w:adjustRightInd w:val="0"/>
        <w:spacing w:before="80" w:after="0" w:line="240" w:lineRule="auto"/>
        <w:ind w:left="2382" w:hanging="794"/>
        <w:jc w:val="left"/>
        <w:rPr>
          <w:color w:val="000000"/>
          <w:sz w:val="20"/>
          <w:szCs w:val="20"/>
        </w:rPr>
      </w:pPr>
      <w:r>
        <w:rPr>
          <w:color w:val="000000"/>
          <w:sz w:val="20"/>
          <w:szCs w:val="20"/>
        </w:rPr>
        <w:t>2</w:t>
      </w:r>
      <w:r>
        <w:rPr>
          <w:color w:val="000000"/>
          <w:sz w:val="20"/>
          <w:szCs w:val="20"/>
        </w:rPr>
        <w:tab/>
        <w:t xml:space="preserve">A pipeline management system description describes the risk of significant pipeline accident events and other risks to the integrity of the pipeline. The description also describes measures to reduce those risks to levels that are as low as reasonably practicable—see </w:t>
      </w:r>
      <w:hyperlink w:anchor="ida75a6eb9_3e14_40e9_acb7_56b3154583d0_a" w:history="1">
        <w:r>
          <w:rPr>
            <w:color w:val="000000"/>
            <w:sz w:val="20"/>
            <w:szCs w:val="20"/>
          </w:rPr>
          <w:t>regulation 121</w:t>
        </w:r>
      </w:hyperlink>
      <w:r>
        <w:rPr>
          <w:color w:val="000000"/>
          <w:sz w:val="20"/>
          <w:szCs w:val="20"/>
        </w:rPr>
        <w: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 validation must cover the scope of the validation agreed under these regulations.</w:t>
      </w:r>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65609F" w:rsidP="00762261">
      <w:pPr>
        <w:keepNext/>
        <w:keepLines/>
        <w:autoSpaceDE w:val="0"/>
        <w:autoSpaceDN w:val="0"/>
        <w:adjustRightInd w:val="0"/>
        <w:spacing w:before="120" w:after="0" w:line="240" w:lineRule="auto"/>
        <w:ind w:left="1588"/>
        <w:jc w:val="left"/>
        <w:rPr>
          <w:color w:val="000000"/>
          <w:sz w:val="20"/>
          <w:szCs w:val="20"/>
        </w:rPr>
      </w:pPr>
      <w:r>
        <w:rPr>
          <w:color w:val="000000"/>
          <w:sz w:val="20"/>
          <w:szCs w:val="20"/>
        </w:rPr>
        <w:t>The scope of a validation must be agreed between a pipeline licensee and Minister at the following stages:</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 xml:space="preserve">for a validation about the design and construction of the pipeline—before the licensee applies for a consent to construct the pipeline—see </w:t>
      </w:r>
      <w:hyperlink w:anchor="id45176e1a_6597_4d64_b53e_fe7b08ff88aa_c" w:history="1">
        <w:r>
          <w:rPr>
            <w:color w:val="000000"/>
            <w:sz w:val="20"/>
            <w:szCs w:val="20"/>
          </w:rPr>
          <w:t>regulation 102(b)</w:t>
        </w:r>
      </w:hyperlink>
      <w:r>
        <w:rPr>
          <w:color w:val="000000"/>
          <w:sz w:val="20"/>
          <w:szCs w:val="20"/>
        </w:rPr>
        <w:t>;</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 xml:space="preserve">for a validation about the operation of the pipeline—before the licensee applies for a consent to operate the pipeline—see </w:t>
      </w:r>
      <w:hyperlink w:anchor="id014f1cca_d21a_41f9_bb78_7513af3f0aa5_e" w:history="1">
        <w:r>
          <w:rPr>
            <w:color w:val="000000"/>
            <w:sz w:val="20"/>
            <w:szCs w:val="20"/>
          </w:rPr>
          <w:t>regulation 108(b)</w:t>
        </w:r>
      </w:hyperlink>
      <w:r>
        <w:rPr>
          <w:color w:val="000000"/>
          <w:sz w:val="20"/>
          <w:szCs w:val="20"/>
        </w:rPr>
        <w:t>;</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 xml:space="preserve">for a validation about a revision of a pipeline management plan for the pipeline—before the licensee submits the revision of the plan—see </w:t>
      </w:r>
      <w:hyperlink w:anchor="id0a9f97d7_2fd2_429d_b16f_aacf9208776f_d" w:history="1">
        <w:r>
          <w:rPr>
            <w:color w:val="000000"/>
            <w:sz w:val="20"/>
            <w:szCs w:val="20"/>
          </w:rPr>
          <w:t>regulation 125(2)</w:t>
        </w:r>
      </w:hyperlink>
      <w:r>
        <w:rPr>
          <w:color w:val="000000"/>
          <w:sz w:val="20"/>
          <w:szCs w:val="20"/>
        </w:rPr>
        <w:t>.</w:t>
      </w:r>
    </w:p>
    <w:p w:rsidR="0065609F" w:rsidRDefault="0065609F" w:rsidP="00762261">
      <w:pPr>
        <w:pStyle w:val="clauseheadlevel3"/>
      </w:pPr>
      <w:bookmarkStart w:id="378" w:name="Elkera_Print_TOC164"/>
      <w:bookmarkStart w:id="379" w:name="Elkera_Print_BK164"/>
      <w:r>
        <w:t>96—Relationship with other Parts</w:t>
      </w:r>
      <w:bookmarkEnd w:id="378"/>
      <w:bookmarkEnd w:id="379"/>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The requirements of this Part are in addition to the requirements imposed on a person by any other Part.</w:t>
      </w:r>
    </w:p>
    <w:p w:rsidR="0065609F" w:rsidRDefault="0065609F" w:rsidP="00762261">
      <w:pPr>
        <w:pStyle w:val="divisionheadlevel2"/>
      </w:pPr>
      <w:bookmarkStart w:id="380" w:name="Elkera_Print_TOC165"/>
      <w:bookmarkStart w:id="381" w:name="Elkera_Print_BK165"/>
      <w:r>
        <w:t>Division 2—Operators</w:t>
      </w:r>
      <w:bookmarkEnd w:id="380"/>
      <w:bookmarkEnd w:id="381"/>
    </w:p>
    <w:p w:rsidR="0065609F" w:rsidRDefault="0065609F" w:rsidP="00762261">
      <w:pPr>
        <w:pStyle w:val="clauseheadlevel3"/>
      </w:pPr>
      <w:bookmarkStart w:id="382" w:name="Elkera_Print_TOC166"/>
      <w:bookmarkStart w:id="383" w:name="Elkera_Print_BK166"/>
      <w:r>
        <w:t>97—Nomination of operator</w:t>
      </w:r>
      <w:bookmarkEnd w:id="382"/>
      <w:bookmarkEnd w:id="383"/>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84" w:name="id7d920c13_bb4d_48cd_9b0e_64456f3b5688_2"/>
      <w:r>
        <w:rPr>
          <w:color w:val="000000"/>
          <w:sz w:val="23"/>
          <w:szCs w:val="23"/>
        </w:rPr>
        <w:tab/>
        <w:t>(1)</w:t>
      </w:r>
      <w:r>
        <w:rPr>
          <w:color w:val="000000"/>
          <w:sz w:val="23"/>
          <w:szCs w:val="23"/>
        </w:rPr>
        <w:tab/>
        <w:t>A pipeline licensee may send to the Safety Authority a written notice nominating a person to be the operator for a pipeline.</w:t>
      </w:r>
      <w:bookmarkEnd w:id="384"/>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1588"/>
        <w:jc w:val="left"/>
        <w:rPr>
          <w:color w:val="000000"/>
          <w:sz w:val="20"/>
          <w:szCs w:val="20"/>
        </w:rPr>
      </w:pPr>
      <w:r>
        <w:rPr>
          <w:color w:val="000000"/>
          <w:sz w:val="20"/>
          <w:szCs w:val="20"/>
        </w:rPr>
        <w:t xml:space="preserve">Under the definition of </w:t>
      </w:r>
      <w:r>
        <w:rPr>
          <w:b/>
          <w:bCs/>
          <w:i/>
          <w:iCs/>
          <w:color w:val="000000"/>
          <w:sz w:val="20"/>
          <w:szCs w:val="20"/>
        </w:rPr>
        <w:t>pipeline</w:t>
      </w:r>
      <w:r>
        <w:rPr>
          <w:color w:val="000000"/>
          <w:sz w:val="20"/>
          <w:szCs w:val="20"/>
        </w:rPr>
        <w:t xml:space="preserve"> in </w:t>
      </w:r>
      <w:hyperlink w:anchor="ida596b4a2_b53d_4422_b5f8_ba8f041978a2_3" w:history="1">
        <w:r>
          <w:rPr>
            <w:color w:val="000000"/>
            <w:sz w:val="20"/>
            <w:szCs w:val="20"/>
          </w:rPr>
          <w:t>regulation 94(1)</w:t>
        </w:r>
      </w:hyperlink>
      <w:r>
        <w:rPr>
          <w:color w:val="000000"/>
          <w:sz w:val="20"/>
          <w:szCs w:val="20"/>
        </w:rPr>
        <w:t>, a pipeline includes a proposed pipeline.</w:t>
      </w:r>
    </w:p>
    <w:p w:rsidR="000464EE" w:rsidRDefault="000464EE" w:rsidP="00762261">
      <w:pPr>
        <w:spacing w:after="0" w:line="240" w:lineRule="auto"/>
        <w:jc w:val="left"/>
        <w:rPr>
          <w:color w:val="000000"/>
          <w:sz w:val="23"/>
          <w:szCs w:val="23"/>
        </w:rPr>
      </w:pPr>
      <w:r>
        <w:rPr>
          <w:color w:val="000000"/>
          <w:sz w:val="23"/>
          <w:szCs w:val="23"/>
        </w:rPr>
        <w:br w:type="page"/>
      </w:r>
    </w:p>
    <w:p w:rsidR="000464EE" w:rsidRDefault="000464EE" w:rsidP="00762261">
      <w:pPr>
        <w:pStyle w:val="RegSpace"/>
        <w:jc w:val="left"/>
      </w:pP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 notice under </w:t>
      </w:r>
      <w:hyperlink w:anchor="id7d920c13_bb4d_48cd_9b0e_64456f3b5688_2" w:history="1">
        <w:r>
          <w:rPr>
            <w:color w:val="000000"/>
            <w:sz w:val="23"/>
            <w:szCs w:val="23"/>
          </w:rPr>
          <w:t>subregulation (1)</w:t>
        </w:r>
      </w:hyperlink>
      <w:r>
        <w:rPr>
          <w:color w:val="000000"/>
          <w:sz w:val="23"/>
          <w:szCs w:val="23"/>
        </w:rPr>
        <w:t xml:space="preserve"> must include—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person's name;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person's contact details, including—</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a business address;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a telephone number and an email address for the operator during business hours;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a telephone number and an email address for the operator outside business hours;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person's Australian Company Number (ACN), if applicable;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 person's written consent to the nomination.</w:t>
      </w:r>
    </w:p>
    <w:p w:rsidR="0065609F" w:rsidRDefault="0065609F" w:rsidP="00762261">
      <w:pPr>
        <w:pStyle w:val="clauseheadlevel3"/>
      </w:pPr>
      <w:bookmarkStart w:id="385" w:name="Elkera_Print_TOC167"/>
      <w:bookmarkStart w:id="386" w:name="Elkera_Print_BK167"/>
      <w:r>
        <w:t>98—Acceptance or rejection of nomination of operator</w:t>
      </w:r>
      <w:bookmarkEnd w:id="385"/>
      <w:bookmarkEnd w:id="386"/>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87" w:name="idb4cfc9bd_b7f9_455b_8835_172dd6625580_e"/>
      <w:r>
        <w:rPr>
          <w:color w:val="000000"/>
          <w:sz w:val="23"/>
          <w:szCs w:val="23"/>
        </w:rPr>
        <w:tab/>
        <w:t>(1)</w:t>
      </w:r>
      <w:r>
        <w:rPr>
          <w:color w:val="000000"/>
          <w:sz w:val="23"/>
          <w:szCs w:val="23"/>
        </w:rPr>
        <w:tab/>
        <w:t>The Safety Authority must accept the nomination of a person as an operator if it is satisfied that the person has, or will have, the day</w:t>
      </w:r>
      <w:r>
        <w:rPr>
          <w:color w:val="000000"/>
          <w:sz w:val="23"/>
          <w:szCs w:val="23"/>
        </w:rPr>
        <w:noBreakHyphen/>
        <w:t>to</w:t>
      </w:r>
      <w:r>
        <w:rPr>
          <w:color w:val="000000"/>
          <w:sz w:val="23"/>
          <w:szCs w:val="23"/>
        </w:rPr>
        <w:noBreakHyphen/>
        <w:t>day management and control of—</w:t>
      </w:r>
      <w:bookmarkEnd w:id="387"/>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388" w:name="id496b8626_b446_4d8f_a204_eb889aa58a4a_9"/>
      <w:r>
        <w:rPr>
          <w:color w:val="000000"/>
          <w:sz w:val="23"/>
          <w:szCs w:val="23"/>
        </w:rPr>
        <w:tab/>
        <w:t>(a)</w:t>
      </w:r>
      <w:r>
        <w:rPr>
          <w:color w:val="000000"/>
          <w:sz w:val="23"/>
          <w:szCs w:val="23"/>
        </w:rPr>
        <w:tab/>
        <w:t>the pipeline; and</w:t>
      </w:r>
      <w:bookmarkEnd w:id="388"/>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389" w:name="id8fdc2987_de9a_436a_a109_7deba9214feb_e"/>
      <w:r>
        <w:rPr>
          <w:color w:val="000000"/>
          <w:sz w:val="23"/>
          <w:szCs w:val="23"/>
        </w:rPr>
        <w:tab/>
        <w:t>(b)</w:t>
      </w:r>
      <w:r>
        <w:rPr>
          <w:color w:val="000000"/>
          <w:sz w:val="23"/>
          <w:szCs w:val="23"/>
        </w:rPr>
        <w:tab/>
        <w:t xml:space="preserve">each of the activities mentioned in </w:t>
      </w:r>
      <w:hyperlink w:anchor="id6436443b_1aab_4a63_a3e9_a2e44c38bff5_f" w:history="1">
        <w:r>
          <w:rPr>
            <w:color w:val="000000"/>
            <w:sz w:val="23"/>
            <w:szCs w:val="23"/>
          </w:rPr>
          <w:t>regulation 100(1)</w:t>
        </w:r>
      </w:hyperlink>
      <w:r>
        <w:rPr>
          <w:color w:val="000000"/>
          <w:sz w:val="23"/>
          <w:szCs w:val="23"/>
        </w:rPr>
        <w:t>.</w:t>
      </w:r>
      <w:bookmarkEnd w:id="389"/>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1588"/>
        <w:jc w:val="left"/>
        <w:rPr>
          <w:color w:val="000000"/>
          <w:sz w:val="20"/>
          <w:szCs w:val="20"/>
        </w:rPr>
      </w:pPr>
      <w:r>
        <w:rPr>
          <w:color w:val="000000"/>
          <w:sz w:val="20"/>
          <w:szCs w:val="20"/>
        </w:rPr>
        <w:t xml:space="preserve">Under the definition of </w:t>
      </w:r>
      <w:r>
        <w:rPr>
          <w:b/>
          <w:bCs/>
          <w:i/>
          <w:iCs/>
          <w:color w:val="000000"/>
          <w:sz w:val="20"/>
          <w:szCs w:val="20"/>
        </w:rPr>
        <w:t>pipeline</w:t>
      </w:r>
      <w:r>
        <w:rPr>
          <w:color w:val="000000"/>
          <w:sz w:val="20"/>
          <w:szCs w:val="20"/>
        </w:rPr>
        <w:t xml:space="preserve"> in </w:t>
      </w:r>
      <w:hyperlink w:anchor="ida596b4a2_b53d_4422_b5f8_ba8f041978a2_3" w:history="1">
        <w:r>
          <w:rPr>
            <w:color w:val="000000"/>
            <w:sz w:val="20"/>
            <w:szCs w:val="20"/>
          </w:rPr>
          <w:t>regulation 94(1)</w:t>
        </w:r>
      </w:hyperlink>
      <w:r>
        <w:rPr>
          <w:color w:val="000000"/>
          <w:sz w:val="20"/>
          <w:szCs w:val="20"/>
        </w:rPr>
        <w:t>, a pipeline includes a proposed pipeline.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If the Safety Authority is not satisfied of the matters in </w:t>
      </w:r>
      <w:hyperlink w:anchor="id496b8626_b446_4d8f_a204_eb889aa58a4a_9" w:history="1">
        <w:r>
          <w:rPr>
            <w:color w:val="000000"/>
            <w:sz w:val="23"/>
            <w:szCs w:val="23"/>
          </w:rPr>
          <w:t>subregulation (1)(a)</w:t>
        </w:r>
      </w:hyperlink>
      <w:r>
        <w:rPr>
          <w:color w:val="000000"/>
          <w:sz w:val="23"/>
          <w:szCs w:val="23"/>
        </w:rPr>
        <w:t xml:space="preserve"> and </w:t>
      </w:r>
      <w:hyperlink w:anchor="id8fdc2987_de9a_436a_a109_7deba9214feb_e" w:history="1">
        <w:r>
          <w:rPr>
            <w:color w:val="000000"/>
            <w:sz w:val="23"/>
            <w:szCs w:val="23"/>
          </w:rPr>
          <w:t>(b)</w:t>
        </w:r>
      </w:hyperlink>
      <w:r>
        <w:rPr>
          <w:color w:val="000000"/>
          <w:sz w:val="23"/>
          <w:szCs w:val="23"/>
        </w:rPr>
        <w:t>, it must reject the nomination.</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If the Safety Authority accepts the nomination, it must register the nominee as the operator of the pipeline, in accordance with </w:t>
      </w:r>
      <w:hyperlink w:anchor="idf9a34f4f_ac2c_4ad6_ad6d_3df794652d52_b" w:history="1">
        <w:r>
          <w:rPr>
            <w:color w:val="000000"/>
            <w:sz w:val="23"/>
            <w:szCs w:val="23"/>
          </w:rPr>
          <w:t>regulation 99</w:t>
        </w:r>
      </w:hyperlink>
      <w:r>
        <w:rPr>
          <w:color w:val="000000"/>
          <w:sz w:val="23"/>
          <w:szCs w:val="23"/>
        </w:rPr>
        <w: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The Safety Authority must notify the pipeline licensee who made the nomination, and the nominee—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of the decision to accept or reject the nomination;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if the Safety Authority has decided to reject the nomination—of the reasons for the rejection.</w:t>
      </w:r>
    </w:p>
    <w:p w:rsidR="0065609F" w:rsidRDefault="0065609F" w:rsidP="00762261">
      <w:pPr>
        <w:pStyle w:val="clauseheadlevel3"/>
      </w:pPr>
      <w:bookmarkStart w:id="390" w:name="Elkera_Print_TOC169"/>
      <w:bookmarkStart w:id="391" w:name="idf9a34f4f_ac2c_4ad6_ad6d_3df794652d52_b"/>
      <w:r>
        <w:t>99—Register of operators</w:t>
      </w:r>
      <w:bookmarkEnd w:id="390"/>
      <w:bookmarkEnd w:id="391"/>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The Safety Authority must maintain the register of operators.</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92" w:name="idfb274140_9f9e_4ce9_8801_240ffd965546_0"/>
      <w:r>
        <w:rPr>
          <w:color w:val="000000"/>
          <w:sz w:val="23"/>
          <w:szCs w:val="23"/>
        </w:rPr>
        <w:tab/>
        <w:t>(2)</w:t>
      </w:r>
      <w:r>
        <w:rPr>
          <w:color w:val="000000"/>
          <w:sz w:val="23"/>
          <w:szCs w:val="23"/>
        </w:rPr>
        <w:tab/>
        <w:t>A pipeline licensee who has nominated a person to be the operator of the pipeline, or the operator of the pipeline, may notify the Safety Authority, in writing, that the registered operator has ceased to be the person who has, or will have, the day</w:t>
      </w:r>
      <w:r>
        <w:rPr>
          <w:color w:val="000000"/>
          <w:sz w:val="23"/>
          <w:szCs w:val="23"/>
        </w:rPr>
        <w:noBreakHyphen/>
        <w:t>to</w:t>
      </w:r>
      <w:r>
        <w:rPr>
          <w:color w:val="000000"/>
          <w:sz w:val="23"/>
          <w:szCs w:val="23"/>
        </w:rPr>
        <w:noBreakHyphen/>
        <w:t>day management and control of—</w:t>
      </w:r>
      <w:bookmarkEnd w:id="392"/>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pipeline;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each of the activities mentioned in </w:t>
      </w:r>
      <w:hyperlink w:anchor="id6436443b_1aab_4a63_a3e9_a2e44c38bff5_f" w:history="1">
        <w:r>
          <w:rPr>
            <w:color w:val="000000"/>
            <w:sz w:val="23"/>
            <w:szCs w:val="23"/>
          </w:rPr>
          <w:t>regulation 100(1)</w:t>
        </w:r>
      </w:hyperlink>
      <w:r>
        <w:rPr>
          <w:color w:val="000000"/>
          <w:sz w:val="23"/>
          <w:szCs w:val="23"/>
        </w:rPr>
        <w:t>.</w:t>
      </w:r>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1588"/>
        <w:jc w:val="left"/>
        <w:rPr>
          <w:color w:val="000000"/>
          <w:sz w:val="20"/>
          <w:szCs w:val="20"/>
        </w:rPr>
      </w:pPr>
      <w:r>
        <w:rPr>
          <w:color w:val="000000"/>
          <w:sz w:val="20"/>
          <w:szCs w:val="20"/>
        </w:rPr>
        <w:t xml:space="preserve">Under the definition of </w:t>
      </w:r>
      <w:r>
        <w:rPr>
          <w:b/>
          <w:bCs/>
          <w:i/>
          <w:iCs/>
          <w:color w:val="000000"/>
          <w:sz w:val="20"/>
          <w:szCs w:val="20"/>
        </w:rPr>
        <w:t>pipeline</w:t>
      </w:r>
      <w:r>
        <w:rPr>
          <w:color w:val="000000"/>
          <w:sz w:val="20"/>
          <w:szCs w:val="20"/>
        </w:rPr>
        <w:t xml:space="preserve"> in </w:t>
      </w:r>
      <w:hyperlink w:anchor="ida596b4a2_b53d_4422_b5f8_ba8f041978a2_3" w:history="1">
        <w:r>
          <w:rPr>
            <w:color w:val="000000"/>
            <w:sz w:val="20"/>
            <w:szCs w:val="20"/>
          </w:rPr>
          <w:t>regulation 94(1)</w:t>
        </w:r>
      </w:hyperlink>
      <w:r>
        <w:rPr>
          <w:color w:val="000000"/>
          <w:sz w:val="20"/>
          <w:szCs w:val="20"/>
        </w:rPr>
        <w:t>, a pipeline includes a proposed pipeline.</w:t>
      </w:r>
    </w:p>
    <w:p w:rsidR="0010671A" w:rsidRDefault="0010671A" w:rsidP="00762261">
      <w:pPr>
        <w:spacing w:after="0" w:line="240" w:lineRule="auto"/>
        <w:jc w:val="left"/>
        <w:rPr>
          <w:color w:val="000000"/>
          <w:sz w:val="23"/>
          <w:szCs w:val="23"/>
        </w:rPr>
      </w:pPr>
      <w:r>
        <w:rPr>
          <w:color w:val="000000"/>
          <w:sz w:val="23"/>
          <w:szCs w:val="23"/>
        </w:rPr>
        <w:br w:type="page"/>
      </w:r>
    </w:p>
    <w:p w:rsidR="0010671A" w:rsidRDefault="0010671A" w:rsidP="00762261">
      <w:pPr>
        <w:pStyle w:val="RegSpace"/>
        <w:jc w:val="left"/>
      </w:pP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On receipt of a notice under </w:t>
      </w:r>
      <w:hyperlink w:anchor="idfb274140_9f9e_4ce9_8801_240ffd965546_0" w:history="1">
        <w:r>
          <w:rPr>
            <w:color w:val="000000"/>
            <w:sz w:val="23"/>
            <w:szCs w:val="23"/>
          </w:rPr>
          <w:t>subregulation (2)</w:t>
        </w:r>
      </w:hyperlink>
      <w:r>
        <w:rPr>
          <w:color w:val="000000"/>
          <w:sz w:val="23"/>
          <w:szCs w:val="23"/>
        </w:rPr>
        <w:t>, the Safety Authority must remove the operator's name from the register.</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The Safety Authority may remove an operator's name from the register if—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Safety Authority believes, on reasonable grounds, that the operator does not or will not have day</w:t>
      </w:r>
      <w:r>
        <w:rPr>
          <w:color w:val="000000"/>
          <w:sz w:val="23"/>
          <w:szCs w:val="23"/>
        </w:rPr>
        <w:noBreakHyphen/>
        <w:t>to</w:t>
      </w:r>
      <w:r>
        <w:rPr>
          <w:color w:val="000000"/>
          <w:sz w:val="23"/>
          <w:szCs w:val="23"/>
        </w:rPr>
        <w:noBreakHyphen/>
        <w:t xml:space="preserve">day management and control of the pipeline and each of the activities mentioned in </w:t>
      </w:r>
      <w:hyperlink w:anchor="id6436443b_1aab_4a63_a3e9_a2e44c38bff5_f" w:history="1">
        <w:r>
          <w:rPr>
            <w:color w:val="000000"/>
            <w:sz w:val="23"/>
            <w:szCs w:val="23"/>
          </w:rPr>
          <w:t>regulation 100(1)</w:t>
        </w:r>
      </w:hyperlink>
      <w:r>
        <w:rPr>
          <w:color w:val="000000"/>
          <w:sz w:val="23"/>
          <w:szCs w:val="23"/>
        </w:rPr>
        <w: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Safety Authority has given notice of intention to remove the operator from the register to—</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person who nominated the operator;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the operator;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Safety Authority has allowed a period of 30 days for the nominator and the operator to make representations;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 Safety Authority has considered those representations and continues to believe on reasonable grounds that the operator does not, or will not, have day</w:t>
      </w:r>
      <w:r>
        <w:rPr>
          <w:color w:val="000000"/>
          <w:sz w:val="23"/>
          <w:szCs w:val="23"/>
        </w:rPr>
        <w:noBreakHyphen/>
        <w:t>to</w:t>
      </w:r>
      <w:r>
        <w:rPr>
          <w:color w:val="000000"/>
          <w:sz w:val="23"/>
          <w:szCs w:val="23"/>
        </w:rPr>
        <w:noBreakHyphen/>
        <w:t xml:space="preserve">day management and control of the pipeline and each of the activities mentioned in </w:t>
      </w:r>
      <w:hyperlink w:anchor="id6436443b_1aab_4a63_a3e9_a2e44c38bff5_f" w:history="1">
        <w:r>
          <w:rPr>
            <w:color w:val="000000"/>
            <w:sz w:val="23"/>
            <w:szCs w:val="23"/>
          </w:rPr>
          <w:t>regulation 100(1)</w:t>
        </w:r>
      </w:hyperlink>
      <w:r>
        <w:rPr>
          <w:color w:val="000000"/>
          <w:sz w:val="23"/>
          <w:szCs w:val="23"/>
        </w:rPr>
        <w:t>.</w:t>
      </w:r>
    </w:p>
    <w:p w:rsidR="0065609F" w:rsidRDefault="0065609F" w:rsidP="00762261">
      <w:pPr>
        <w:pStyle w:val="clauseheadlevel3"/>
      </w:pPr>
      <w:bookmarkStart w:id="393" w:name="Elkera_Print_TOC171"/>
      <w:bookmarkStart w:id="394" w:name="id71ceb2aa_85be_4ab4_95e3_9bc4ce87a8a5_c"/>
      <w:r>
        <w:t>100—Pipeline must have registered operator</w:t>
      </w:r>
      <w:bookmarkEnd w:id="393"/>
      <w:bookmarkEnd w:id="394"/>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395" w:name="id6436443b_1aab_4a63_a3e9_a2e44c38bff5_f"/>
      <w:r>
        <w:rPr>
          <w:color w:val="000000"/>
          <w:sz w:val="23"/>
          <w:szCs w:val="23"/>
        </w:rPr>
        <w:tab/>
        <w:t>(1)</w:t>
      </w:r>
      <w:r>
        <w:rPr>
          <w:color w:val="000000"/>
          <w:sz w:val="23"/>
          <w:szCs w:val="23"/>
        </w:rPr>
        <w:tab/>
        <w:t>A person must not—</w:t>
      </w:r>
      <w:bookmarkEnd w:id="395"/>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construct a pipeline;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operate a pipeline (whether or not the pipeline is in use at a particular time);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modify a pipeline;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decommission a pipeline,</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in the adjacent area if there is not an operator in respect of the pipeline.</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$8 800.</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However, </w:t>
      </w:r>
      <w:hyperlink w:anchor="id6436443b_1aab_4a63_a3e9_a2e44c38bff5_f" w:history="1">
        <w:r>
          <w:rPr>
            <w:color w:val="000000"/>
            <w:sz w:val="23"/>
            <w:szCs w:val="23"/>
          </w:rPr>
          <w:t>subregulation (1)</w:t>
        </w:r>
      </w:hyperlink>
      <w:r>
        <w:rPr>
          <w:color w:val="000000"/>
          <w:sz w:val="23"/>
          <w:szCs w:val="23"/>
        </w:rPr>
        <w:t xml:space="preserve"> does not apply to construction, operation, modification or decommissioning that occurs within 3 months after the commencement of this regulation.</w:t>
      </w:r>
    </w:p>
    <w:p w:rsidR="0065609F" w:rsidRDefault="0065609F" w:rsidP="00762261">
      <w:pPr>
        <w:pStyle w:val="divisionheadlevel2"/>
      </w:pPr>
      <w:bookmarkStart w:id="396" w:name="Elkera_Print_TOC173"/>
      <w:bookmarkStart w:id="397" w:name="id82dc4ef1_cf65_421f_ba24_063aeb2b258d_f"/>
      <w:r>
        <w:t>Division 3—Consents to construct and operate a pipeline</w:t>
      </w:r>
      <w:bookmarkEnd w:id="396"/>
      <w:bookmarkEnd w:id="397"/>
    </w:p>
    <w:p w:rsidR="0065609F" w:rsidRDefault="0065609F" w:rsidP="00762261">
      <w:pPr>
        <w:pStyle w:val="subdivisionheadlevel3"/>
      </w:pPr>
      <w:bookmarkStart w:id="398" w:name="Elkera_Print_TOC174"/>
      <w:bookmarkStart w:id="399" w:name="Elkera_Print_BK174"/>
      <w:r>
        <w:t>Subdivision 1—Consent to construct</w:t>
      </w:r>
      <w:bookmarkEnd w:id="398"/>
      <w:bookmarkEnd w:id="399"/>
    </w:p>
    <w:p w:rsidR="0065609F" w:rsidRDefault="0065609F" w:rsidP="00762261">
      <w:pPr>
        <w:pStyle w:val="clauseheadlevel4"/>
      </w:pPr>
      <w:bookmarkStart w:id="400" w:name="Elkera_Print_TOC175"/>
      <w:bookmarkStart w:id="401" w:name="Elkera_Print_BK175"/>
      <w:r>
        <w:t>101—Consent to construct required to construct a pipeline</w:t>
      </w:r>
      <w:bookmarkEnd w:id="400"/>
      <w:bookmarkEnd w:id="401"/>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A person must not carry out activities to construct a pipeline unless the Minister has granted a consent to construct for those activities.</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$5 500.</w:t>
      </w:r>
    </w:p>
    <w:p w:rsidR="00D34A9C" w:rsidRDefault="00D34A9C" w:rsidP="00762261">
      <w:pPr>
        <w:spacing w:after="0" w:line="240" w:lineRule="auto"/>
        <w:jc w:val="left"/>
        <w:rPr>
          <w:rFonts w:eastAsia="Times New Roman"/>
          <w:b/>
          <w:bCs/>
          <w:color w:val="000000"/>
          <w:sz w:val="26"/>
          <w:szCs w:val="26"/>
          <w:lang w:eastAsia="en-AU"/>
        </w:rPr>
      </w:pPr>
      <w:bookmarkStart w:id="402" w:name="Elkera_Print_TOC177"/>
      <w:bookmarkStart w:id="403" w:name="idff833d37_d7ea_47d6_80b8_41ba3d48fa13_c"/>
      <w:r>
        <w:br w:type="page"/>
      </w:r>
    </w:p>
    <w:p w:rsidR="00D34A9C" w:rsidRDefault="00D34A9C" w:rsidP="00762261">
      <w:pPr>
        <w:pStyle w:val="RegSpace"/>
        <w:jc w:val="left"/>
      </w:pPr>
    </w:p>
    <w:p w:rsidR="0065609F" w:rsidRDefault="0065609F" w:rsidP="00762261">
      <w:pPr>
        <w:pStyle w:val="clauseheadlevel4"/>
      </w:pPr>
      <w:r>
        <w:t>102—Matters to be agreed before pipeline licensee applies for consent to construct</w:t>
      </w:r>
      <w:bookmarkEnd w:id="402"/>
      <w:bookmarkEnd w:id="403"/>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A pipeline licensee may apply for a consent to construct a pipeline only if the licensee and Minister have agreed 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404" w:name="id2a32637c_a06b_482e_8c6d_1df6e1188d3c_c"/>
      <w:r>
        <w:rPr>
          <w:color w:val="000000"/>
          <w:sz w:val="23"/>
          <w:szCs w:val="23"/>
        </w:rPr>
        <w:tab/>
        <w:t>(a)</w:t>
      </w:r>
      <w:r>
        <w:rPr>
          <w:color w:val="000000"/>
          <w:sz w:val="23"/>
          <w:szCs w:val="23"/>
        </w:rPr>
        <w:tab/>
        <w:t>the matters concerning the activities to which the application relates that are to be dealt with in the pipeline management plan for the pipeline; and</w:t>
      </w:r>
      <w:bookmarkEnd w:id="404"/>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405" w:name="id45176e1a_6597_4d64_b53e_fe7b08ff88aa_c"/>
      <w:r>
        <w:rPr>
          <w:color w:val="000000"/>
          <w:sz w:val="23"/>
          <w:szCs w:val="23"/>
        </w:rPr>
        <w:tab/>
        <w:t>(b)</w:t>
      </w:r>
      <w:r>
        <w:rPr>
          <w:color w:val="000000"/>
          <w:sz w:val="23"/>
          <w:szCs w:val="23"/>
        </w:rPr>
        <w:tab/>
        <w:t>the scope of the validation of the proposal to carry out those activities.</w:t>
      </w:r>
      <w:bookmarkEnd w:id="405"/>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1588"/>
        <w:jc w:val="left"/>
        <w:rPr>
          <w:color w:val="000000"/>
          <w:sz w:val="20"/>
          <w:szCs w:val="20"/>
        </w:rPr>
      </w:pPr>
      <w:r>
        <w:rPr>
          <w:color w:val="000000"/>
          <w:sz w:val="20"/>
          <w:szCs w:val="20"/>
        </w:rPr>
        <w:t xml:space="preserve">An application may relate to all or some of the activities for designing and constructing a pipeline—see </w:t>
      </w:r>
      <w:hyperlink w:anchor="id30e97c50_2d36_4f99_8d41_f9ecbf644c78_7" w:history="1">
        <w:r>
          <w:rPr>
            <w:color w:val="000000"/>
            <w:sz w:val="20"/>
            <w:szCs w:val="20"/>
          </w:rPr>
          <w:t>regulation 103(2)</w:t>
        </w:r>
      </w:hyperlink>
      <w:r>
        <w:rPr>
          <w:color w:val="000000"/>
          <w:sz w:val="20"/>
          <w:szCs w:val="20"/>
        </w:rPr>
        <w:t>.</w:t>
      </w:r>
    </w:p>
    <w:p w:rsidR="0065609F" w:rsidRDefault="0065609F" w:rsidP="00762261">
      <w:pPr>
        <w:pStyle w:val="clauseheadlevel4"/>
      </w:pPr>
      <w:bookmarkStart w:id="406" w:name="Elkera_Print_TOC179"/>
      <w:bookmarkStart w:id="407" w:name="id6b7aa0dc_565c_49e2_8116_88a69040dc83_d"/>
      <w:r>
        <w:t>103—Application for consent to construct</w:t>
      </w:r>
      <w:bookmarkEnd w:id="406"/>
      <w:bookmarkEnd w:id="407"/>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An application for a consent to construct a pipeline must be lodged in writing with the Minister.</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08" w:name="id30e97c50_2d36_4f99_8d41_f9ecbf644c78_7"/>
      <w:r>
        <w:rPr>
          <w:color w:val="000000"/>
          <w:sz w:val="23"/>
          <w:szCs w:val="23"/>
        </w:rPr>
        <w:tab/>
        <w:t>(2)</w:t>
      </w:r>
      <w:r>
        <w:rPr>
          <w:color w:val="000000"/>
          <w:sz w:val="23"/>
          <w:szCs w:val="23"/>
        </w:rPr>
        <w:tab/>
        <w:t>An application may relate to all or some of the activities for designing and constructing the pipeline.</w:t>
      </w:r>
      <w:bookmarkEnd w:id="408"/>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The application must include the following information: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name of the applicant;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an address of the applicant, for communications on matters relating to the pipeline;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an email address within Australia for the applicant.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09" w:name="id923cd22f_a195_4d6e_886c_855a1473a337_3"/>
      <w:r>
        <w:rPr>
          <w:color w:val="000000"/>
          <w:sz w:val="23"/>
          <w:szCs w:val="23"/>
        </w:rPr>
        <w:tab/>
        <w:t>(4)</w:t>
      </w:r>
      <w:r>
        <w:rPr>
          <w:color w:val="000000"/>
          <w:sz w:val="23"/>
          <w:szCs w:val="23"/>
        </w:rPr>
        <w:tab/>
        <w:t>The application must be accompanied by—</w:t>
      </w:r>
      <w:bookmarkEnd w:id="409"/>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those parts of the pipeline management plan in force for the pipeline that provide for the activities to which the application relates;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410" w:name="id2ecf6de4_e40a_4b4f_b1cb_2ee92eecf041_8"/>
      <w:r>
        <w:rPr>
          <w:color w:val="000000"/>
          <w:sz w:val="23"/>
          <w:szCs w:val="23"/>
        </w:rPr>
        <w:tab/>
        <w:t>(b)</w:t>
      </w:r>
      <w:r>
        <w:rPr>
          <w:color w:val="000000"/>
          <w:sz w:val="23"/>
          <w:szCs w:val="23"/>
        </w:rPr>
        <w:tab/>
        <w:t>a validation of the proposal to carry out those activities; and</w:t>
      </w:r>
      <w:bookmarkEnd w:id="410"/>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other relevant information that the Minister may require on reasonable grounds.</w:t>
      </w:r>
    </w:p>
    <w:p w:rsidR="0065609F" w:rsidRDefault="0065609F" w:rsidP="00762261">
      <w:pPr>
        <w:pStyle w:val="clauseheadlevel4"/>
      </w:pPr>
      <w:bookmarkStart w:id="411" w:name="Elkera_Print_TOC181"/>
      <w:bookmarkStart w:id="412" w:name="idd0663d29_1939_4697_89aa_36a7ba78f860_a"/>
      <w:r>
        <w:t>104—Deciding an application for a consent to construct</w:t>
      </w:r>
      <w:bookmarkEnd w:id="411"/>
      <w:bookmarkEnd w:id="412"/>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13" w:name="idb058874a_54ad_440b_824c_a4a6ee753987_3"/>
      <w:r>
        <w:rPr>
          <w:color w:val="000000"/>
          <w:sz w:val="23"/>
          <w:szCs w:val="23"/>
        </w:rPr>
        <w:tab/>
        <w:t>(1)</w:t>
      </w:r>
      <w:r>
        <w:rPr>
          <w:color w:val="000000"/>
          <w:sz w:val="23"/>
          <w:szCs w:val="23"/>
        </w:rPr>
        <w:tab/>
        <w:t>Within 28 days after an application for a consent to construct a pipeline is lodged, the Minister must decide whether to grant the consent.</w:t>
      </w:r>
      <w:bookmarkEnd w:id="413"/>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1588"/>
        <w:jc w:val="left"/>
        <w:rPr>
          <w:color w:val="000000"/>
          <w:sz w:val="20"/>
          <w:szCs w:val="20"/>
        </w:rPr>
      </w:pPr>
      <w:r>
        <w:rPr>
          <w:color w:val="000000"/>
          <w:sz w:val="20"/>
          <w:szCs w:val="20"/>
        </w:rPr>
        <w:t xml:space="preserve">The Minister may decline to consider an application unless certain information is provided—see </w:t>
      </w:r>
      <w:hyperlink w:anchor="id4bde8361_1774_4c8d_a562_6cf9638c3a47_7" w:history="1">
        <w:r>
          <w:rPr>
            <w:color w:val="000000"/>
            <w:sz w:val="20"/>
            <w:szCs w:val="20"/>
          </w:rPr>
          <w:t>regulation 155</w:t>
        </w:r>
      </w:hyperlink>
      <w:r>
        <w:rPr>
          <w:color w:val="000000"/>
          <w:sz w:val="20"/>
          <w:szCs w:val="20"/>
        </w:rPr>
        <w: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 failure by the Minister to comply with </w:t>
      </w:r>
      <w:hyperlink w:anchor="idb058874a_54ad_440b_824c_a4a6ee753987_3" w:history="1">
        <w:r>
          <w:rPr>
            <w:color w:val="000000"/>
            <w:sz w:val="23"/>
            <w:szCs w:val="23"/>
          </w:rPr>
          <w:t>subregulation (1)</w:t>
        </w:r>
      </w:hyperlink>
      <w:r>
        <w:rPr>
          <w:color w:val="000000"/>
          <w:sz w:val="23"/>
          <w:szCs w:val="23"/>
        </w:rPr>
        <w:t xml:space="preserve"> in relation to an application does not of itself invalidate a decision by the Minister to grant or to refuse to grant the consent.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14" w:name="id8f53c208_e454_4bae_a64b_b3e5c1999e7e_9"/>
      <w:r>
        <w:rPr>
          <w:color w:val="000000"/>
          <w:sz w:val="23"/>
          <w:szCs w:val="23"/>
        </w:rPr>
        <w:tab/>
        <w:t>(3)</w:t>
      </w:r>
      <w:r>
        <w:rPr>
          <w:color w:val="000000"/>
          <w:sz w:val="23"/>
          <w:szCs w:val="23"/>
        </w:rPr>
        <w:tab/>
        <w:t>The Minister must grant the consent if there are reasonable grounds for believing that—</w:t>
      </w:r>
      <w:bookmarkEnd w:id="414"/>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pipeline management plan in force for the pipeline provides for the activities to which the application relates; and</w:t>
      </w:r>
    </w:p>
    <w:p w:rsidR="00DA1CAC" w:rsidRDefault="00DA1CAC" w:rsidP="00762261">
      <w:pPr>
        <w:spacing w:after="0" w:line="240" w:lineRule="auto"/>
        <w:jc w:val="left"/>
        <w:rPr>
          <w:color w:val="000000"/>
          <w:sz w:val="23"/>
          <w:szCs w:val="23"/>
        </w:rPr>
      </w:pPr>
      <w:bookmarkStart w:id="415" w:name="idfc58365a_3d82_43f3_9ef9_7c673b5077aa_1"/>
      <w:r>
        <w:rPr>
          <w:color w:val="000000"/>
          <w:sz w:val="23"/>
          <w:szCs w:val="23"/>
        </w:rPr>
        <w:br w:type="page"/>
      </w:r>
    </w:p>
    <w:p w:rsidR="00DA1CAC" w:rsidRDefault="00DA1CAC" w:rsidP="00762261">
      <w:pPr>
        <w:pStyle w:val="RegSpace"/>
        <w:jc w:val="left"/>
      </w:pP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 validation of the proposal to carry out those activities is in force.</w:t>
      </w:r>
      <w:bookmarkEnd w:id="415"/>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The Minister may grant a consent to construct in relation to all or some of the activities to design and construct the pipeline.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(5)</w:t>
      </w:r>
      <w:r>
        <w:rPr>
          <w:color w:val="000000"/>
          <w:sz w:val="23"/>
          <w:szCs w:val="23"/>
        </w:rPr>
        <w:tab/>
        <w:t>If the Minister decides to grant the consent, the Authority must, as soon as practicable, give to the applicant the consent in writing.</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(6)</w:t>
      </w:r>
      <w:r>
        <w:rPr>
          <w:color w:val="000000"/>
          <w:sz w:val="23"/>
          <w:szCs w:val="23"/>
        </w:rPr>
        <w:tab/>
        <w:t>If the Minister decides not to grant the consent in relation to all or some of the activities to design and construct the pipeline, the Authority must, as soon as practicable, give to the applicant, in writing—</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advice that the consent has not been granted for those activities;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 statement of the reasons for the decision.</w:t>
      </w:r>
    </w:p>
    <w:p w:rsidR="0065609F" w:rsidRDefault="0065609F" w:rsidP="00762261">
      <w:pPr>
        <w:pStyle w:val="clauseheadlevel4"/>
      </w:pPr>
      <w:bookmarkStart w:id="416" w:name="Elkera_Print_TOC183"/>
      <w:bookmarkStart w:id="417" w:name="idec1cb355_bd75_4b3a_bce3_1e114438b2ee_0"/>
      <w:r>
        <w:t>105—Construction must comply with pipeline management plan</w:t>
      </w:r>
      <w:bookmarkEnd w:id="416"/>
      <w:bookmarkEnd w:id="417"/>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A pipeline licensee must not construct a pipeline under the licence unless—</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pipeline management plan, or a part of a pipeline management plan, in force for the pipeline provides for the construction; and</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pipeline is constructed in a way that complies with that plan or part of that plan.</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$5 500.</w:t>
      </w:r>
    </w:p>
    <w:p w:rsidR="0065609F" w:rsidRDefault="0065609F" w:rsidP="00762261">
      <w:pPr>
        <w:pStyle w:val="clauseheadlevel4"/>
      </w:pPr>
      <w:bookmarkStart w:id="418" w:name="Elkera_Print_TOC185"/>
      <w:bookmarkStart w:id="419" w:name="id2f0df0ef_429f_4f00_b772_b6987b42db65_a"/>
      <w:r>
        <w:t>106—Notice of route followed by pipeline</w:t>
      </w:r>
      <w:bookmarkEnd w:id="418"/>
      <w:bookmarkEnd w:id="419"/>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As soon as practicable after construction of a pipeline has been completed, but within 3 months after a consent to operate is granted for the pipeline, the pipeline licensee must—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inform the Minister, in writing, of the exact route followed by the pipeline; and</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inform the Australian Hydrographic Office, in writing, of the exact route followed by the pipeline.</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$4 400.</w:t>
      </w:r>
    </w:p>
    <w:p w:rsidR="0065609F" w:rsidRDefault="0065609F" w:rsidP="00762261">
      <w:pPr>
        <w:pStyle w:val="subdivisionheadlevel3"/>
      </w:pPr>
      <w:bookmarkStart w:id="420" w:name="Elkera_Print_TOC187"/>
      <w:bookmarkStart w:id="421" w:name="id49e91f2e_5615_444a_80a1_441387d580a9_5"/>
      <w:r>
        <w:t>Subdivision 2—Consent to operate</w:t>
      </w:r>
      <w:bookmarkEnd w:id="420"/>
      <w:bookmarkEnd w:id="421"/>
    </w:p>
    <w:p w:rsidR="0065609F" w:rsidRDefault="0065609F" w:rsidP="00762261">
      <w:pPr>
        <w:pStyle w:val="clauseheadlevel4"/>
      </w:pPr>
      <w:bookmarkStart w:id="422" w:name="Elkera_Print_TOC188"/>
      <w:bookmarkStart w:id="423" w:name="Elkera_Print_BK188"/>
      <w:r>
        <w:t>107—Consent to operate required before a pipeline is operated</w:t>
      </w:r>
      <w:bookmarkEnd w:id="422"/>
      <w:bookmarkEnd w:id="423"/>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A pipeline licensee must not operate a pipeline under the licence unless the Minister has granted a consent to operate the pipeline.</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$5 500.</w:t>
      </w:r>
    </w:p>
    <w:p w:rsidR="0065609F" w:rsidRDefault="0065609F" w:rsidP="00762261">
      <w:pPr>
        <w:pStyle w:val="clauseheadlevel4"/>
      </w:pPr>
      <w:bookmarkStart w:id="424" w:name="Elkera_Print_TOC190"/>
      <w:bookmarkStart w:id="425" w:name="id3a123840_3642_4066_8d76_a02b0b37c4dc_e"/>
      <w:r>
        <w:t>108—Matters to be agreed before pipeline licensee applies for consent to operate</w:t>
      </w:r>
      <w:bookmarkEnd w:id="424"/>
      <w:bookmarkEnd w:id="425"/>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A pipeline licensee may apply for a consent to operate a pipeline only if the licensee and Minister have agreed 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426" w:name="idf5fda2ee_e969_4363_b230_95a849d431cd_7"/>
      <w:r>
        <w:rPr>
          <w:color w:val="000000"/>
          <w:sz w:val="23"/>
          <w:szCs w:val="23"/>
        </w:rPr>
        <w:tab/>
        <w:t>(a)</w:t>
      </w:r>
      <w:r>
        <w:rPr>
          <w:color w:val="000000"/>
          <w:sz w:val="23"/>
          <w:szCs w:val="23"/>
        </w:rPr>
        <w:tab/>
        <w:t>the matters concerning the operation of the pipeline that are to be dealt with in the pipeline management plan for the pipeline; and</w:t>
      </w:r>
      <w:bookmarkEnd w:id="426"/>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427" w:name="id014f1cca_d21a_41f9_bb78_7513af3f0aa5_e"/>
      <w:r>
        <w:rPr>
          <w:color w:val="000000"/>
          <w:sz w:val="23"/>
          <w:szCs w:val="23"/>
        </w:rPr>
        <w:tab/>
        <w:t>(b)</w:t>
      </w:r>
      <w:r>
        <w:rPr>
          <w:color w:val="000000"/>
          <w:sz w:val="23"/>
          <w:szCs w:val="23"/>
        </w:rPr>
        <w:tab/>
        <w:t>the scope of the validation of the proposal to operate the pipeline.</w:t>
      </w:r>
      <w:bookmarkEnd w:id="427"/>
    </w:p>
    <w:p w:rsidR="00BB3F77" w:rsidRDefault="00BB3F77" w:rsidP="00762261">
      <w:pPr>
        <w:spacing w:after="0" w:line="240" w:lineRule="auto"/>
        <w:jc w:val="left"/>
        <w:rPr>
          <w:rFonts w:eastAsia="Times New Roman"/>
          <w:b/>
          <w:bCs/>
          <w:color w:val="000000"/>
          <w:sz w:val="26"/>
          <w:szCs w:val="26"/>
          <w:lang w:eastAsia="en-AU"/>
        </w:rPr>
      </w:pPr>
      <w:bookmarkStart w:id="428" w:name="Elkera_Print_TOC192"/>
      <w:bookmarkStart w:id="429" w:name="idaa724cd8_4fab_4436_ac97_09b82f89f48f_f"/>
      <w:r>
        <w:br w:type="page"/>
      </w:r>
    </w:p>
    <w:p w:rsidR="00BB3F77" w:rsidRDefault="00BB3F77" w:rsidP="00762261">
      <w:pPr>
        <w:pStyle w:val="RegSpace"/>
        <w:jc w:val="left"/>
      </w:pPr>
    </w:p>
    <w:p w:rsidR="0065609F" w:rsidRDefault="0065609F" w:rsidP="00762261">
      <w:pPr>
        <w:pStyle w:val="clauseheadlevel4"/>
      </w:pPr>
      <w:r>
        <w:t>109—Application for consent to operate</w:t>
      </w:r>
      <w:bookmarkEnd w:id="428"/>
      <w:bookmarkEnd w:id="429"/>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An application for a consent to operate a pipeline must be lodged in writing with the Minister.</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application must include the following information: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name of the applicant;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an address of the applicant, for communications on matters relating to the pipeline;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an email address within Australia for the applicant.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30" w:name="idf9757f02_c53d_43e7_a730_c77227468787_a"/>
      <w:r>
        <w:rPr>
          <w:color w:val="000000"/>
          <w:sz w:val="23"/>
          <w:szCs w:val="23"/>
        </w:rPr>
        <w:tab/>
        <w:t>(3)</w:t>
      </w:r>
      <w:r>
        <w:rPr>
          <w:color w:val="000000"/>
          <w:sz w:val="23"/>
          <w:szCs w:val="23"/>
        </w:rPr>
        <w:tab/>
        <w:t>The application must be accompanied by—</w:t>
      </w:r>
      <w:bookmarkEnd w:id="430"/>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those parts of the pipeline management plan in force for the pipeline that provide for the operation of the pipeline;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431" w:name="idbea5695c_437b_4bb3_8228_cd577c6ef69a_6"/>
      <w:r>
        <w:rPr>
          <w:color w:val="000000"/>
          <w:sz w:val="23"/>
          <w:szCs w:val="23"/>
        </w:rPr>
        <w:tab/>
        <w:t>(b)</w:t>
      </w:r>
      <w:r>
        <w:rPr>
          <w:color w:val="000000"/>
          <w:sz w:val="23"/>
          <w:szCs w:val="23"/>
        </w:rPr>
        <w:tab/>
        <w:t>a validation of the proposal to operate the pipeline; and</w:t>
      </w:r>
      <w:bookmarkEnd w:id="431"/>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information showing that the pipeline licensee is maintaining insurance in compliance with section 96A of the Act;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other relevant information that the Minister may require on reasonable grounds.</w:t>
      </w:r>
    </w:p>
    <w:p w:rsidR="0065609F" w:rsidRDefault="0065609F" w:rsidP="00762261">
      <w:pPr>
        <w:pStyle w:val="clauseheadlevel4"/>
      </w:pPr>
      <w:bookmarkStart w:id="432" w:name="Elkera_Print_TOC194"/>
      <w:bookmarkStart w:id="433" w:name="ida16b7278_e61b_47e8_b08a_51adbb41e754_3"/>
      <w:r>
        <w:t>110—Deciding an application for a consent to operate</w:t>
      </w:r>
      <w:bookmarkEnd w:id="432"/>
      <w:bookmarkEnd w:id="433"/>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34" w:name="id9499943a_c6c9_4979_b318_18fd3fa2bca1_0"/>
      <w:r>
        <w:rPr>
          <w:color w:val="000000"/>
          <w:sz w:val="23"/>
          <w:szCs w:val="23"/>
        </w:rPr>
        <w:tab/>
        <w:t>(1)</w:t>
      </w:r>
      <w:r>
        <w:rPr>
          <w:color w:val="000000"/>
          <w:sz w:val="23"/>
          <w:szCs w:val="23"/>
        </w:rPr>
        <w:tab/>
        <w:t>Within 7 days after an application for a consent to operate a pipeline is lodged, the Minister must decide whether to grant the consent.</w:t>
      </w:r>
      <w:bookmarkEnd w:id="434"/>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1588"/>
        <w:jc w:val="left"/>
        <w:rPr>
          <w:color w:val="000000"/>
          <w:sz w:val="20"/>
          <w:szCs w:val="20"/>
        </w:rPr>
      </w:pPr>
      <w:r>
        <w:rPr>
          <w:color w:val="000000"/>
          <w:sz w:val="20"/>
          <w:szCs w:val="20"/>
        </w:rPr>
        <w:t xml:space="preserve">The Minister may decline to consider an application unless certain information is provided—see </w:t>
      </w:r>
      <w:hyperlink w:anchor="id4bde8361_1774_4c8d_a562_6cf9638c3a47_7" w:history="1">
        <w:r>
          <w:rPr>
            <w:color w:val="000000"/>
            <w:sz w:val="20"/>
            <w:szCs w:val="20"/>
          </w:rPr>
          <w:t>regulation 155</w:t>
        </w:r>
      </w:hyperlink>
      <w:r>
        <w:rPr>
          <w:color w:val="000000"/>
          <w:sz w:val="20"/>
          <w:szCs w:val="20"/>
        </w:rPr>
        <w: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 failure by the Minister to comply with </w:t>
      </w:r>
      <w:hyperlink w:anchor="id9499943a_c6c9_4979_b318_18fd3fa2bca1_0" w:history="1">
        <w:r>
          <w:rPr>
            <w:color w:val="000000"/>
            <w:sz w:val="23"/>
            <w:szCs w:val="23"/>
          </w:rPr>
          <w:t>subregulation (1)</w:t>
        </w:r>
      </w:hyperlink>
      <w:r>
        <w:rPr>
          <w:color w:val="000000"/>
          <w:sz w:val="23"/>
          <w:szCs w:val="23"/>
        </w:rPr>
        <w:t xml:space="preserve"> in relation to an application does not of itself invalidate a decision to grant or to refuse to grant the consent.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35" w:name="id76774def_72de_4f55_9639_cd73374b86c2_b"/>
      <w:r>
        <w:rPr>
          <w:color w:val="000000"/>
          <w:sz w:val="23"/>
          <w:szCs w:val="23"/>
        </w:rPr>
        <w:tab/>
        <w:t>(3)</w:t>
      </w:r>
      <w:r>
        <w:rPr>
          <w:color w:val="000000"/>
          <w:sz w:val="23"/>
          <w:szCs w:val="23"/>
        </w:rPr>
        <w:tab/>
        <w:t>The Minister must grant the consent if there are reasonable grounds for believing that—</w:t>
      </w:r>
      <w:bookmarkEnd w:id="435"/>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pipeline management plan in force for the pipeline provides for the operation of the pipeline;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436" w:name="id5ee17c3f_2f43_4228_b36c_6e2ec3057be2_4"/>
      <w:r>
        <w:rPr>
          <w:color w:val="000000"/>
          <w:sz w:val="23"/>
          <w:szCs w:val="23"/>
        </w:rPr>
        <w:tab/>
        <w:t>(b)</w:t>
      </w:r>
      <w:r>
        <w:rPr>
          <w:color w:val="000000"/>
          <w:sz w:val="23"/>
          <w:szCs w:val="23"/>
        </w:rPr>
        <w:tab/>
        <w:t>a validation of the proposal to operate the pipeline is in force; and</w:t>
      </w:r>
      <w:bookmarkEnd w:id="436"/>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pipeline licensee is maintaining insurance according to section 96A of the Act.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If the Minister decides to grant the consent, the Authority must, as soon as practicable, give the applicant the consent in writing.</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(5)</w:t>
      </w:r>
      <w:r>
        <w:rPr>
          <w:color w:val="000000"/>
          <w:sz w:val="23"/>
          <w:szCs w:val="23"/>
        </w:rPr>
        <w:tab/>
        <w:t>If the Minister decides not to grant the consent, the Authority must, as soon as practicable, give the applicant, in writing—</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advice that the consent has not been granted;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 statement of the reasons for the decision.</w:t>
      </w:r>
    </w:p>
    <w:p w:rsidR="00146F70" w:rsidRDefault="00146F70" w:rsidP="00762261">
      <w:pPr>
        <w:spacing w:after="0" w:line="240" w:lineRule="auto"/>
        <w:jc w:val="left"/>
        <w:rPr>
          <w:rFonts w:eastAsia="Times New Roman"/>
          <w:b/>
          <w:bCs/>
          <w:color w:val="000000"/>
          <w:sz w:val="26"/>
          <w:szCs w:val="26"/>
          <w:lang w:eastAsia="en-AU"/>
        </w:rPr>
      </w:pPr>
      <w:bookmarkStart w:id="437" w:name="Elkera_Print_TOC196"/>
      <w:bookmarkStart w:id="438" w:name="id9de07bb9_74dc_422e_a6b5_ad27afe07eca_e"/>
      <w:r>
        <w:br w:type="page"/>
      </w:r>
    </w:p>
    <w:p w:rsidR="00146F70" w:rsidRDefault="00146F70" w:rsidP="00762261">
      <w:pPr>
        <w:pStyle w:val="RegSpace"/>
        <w:jc w:val="left"/>
      </w:pPr>
    </w:p>
    <w:p w:rsidR="0065609F" w:rsidRDefault="0065609F" w:rsidP="00762261">
      <w:pPr>
        <w:pStyle w:val="clauseheadlevel4"/>
      </w:pPr>
      <w:r>
        <w:t>111—Operation must comply with pipeline management plan</w:t>
      </w:r>
      <w:bookmarkEnd w:id="437"/>
      <w:bookmarkEnd w:id="438"/>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39" w:name="id6c03eaf4_9685_4ecd_be5b_3835682c5aae_9"/>
      <w:r>
        <w:rPr>
          <w:color w:val="000000"/>
          <w:sz w:val="23"/>
          <w:szCs w:val="23"/>
        </w:rPr>
        <w:tab/>
        <w:t>(1)</w:t>
      </w:r>
      <w:r>
        <w:rPr>
          <w:color w:val="000000"/>
          <w:sz w:val="23"/>
          <w:szCs w:val="23"/>
        </w:rPr>
        <w:tab/>
        <w:t>A pipeline licensee must not operate a pipeline under the licence unless—</w:t>
      </w:r>
      <w:bookmarkEnd w:id="439"/>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pipeline management plan in force for the pipeline provides for the operation;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pipeline is operated in a way that—</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is consistent with the purposes for which the pipeline was designed to be used; and</w:t>
      </w:r>
    </w:p>
    <w:p w:rsidR="0065609F" w:rsidRDefault="0065609F" w:rsidP="00762261">
      <w:pPr>
        <w:keepNext/>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is not contrary to that plan.</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$5 500.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However, an offence under </w:t>
      </w:r>
      <w:hyperlink w:anchor="id6c03eaf4_9685_4ecd_be5b_3835682c5aae_9" w:history="1">
        <w:r>
          <w:rPr>
            <w:color w:val="000000"/>
            <w:sz w:val="23"/>
            <w:szCs w:val="23"/>
          </w:rPr>
          <w:t>subregulation (1)</w:t>
        </w:r>
      </w:hyperlink>
      <w:r>
        <w:rPr>
          <w:color w:val="000000"/>
          <w:sz w:val="23"/>
          <w:szCs w:val="23"/>
        </w:rPr>
        <w:t xml:space="preserve"> does not arise if—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licensee performs an act in compliance with a direction given under—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Act;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regulations made under the Act;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in an emergency in which there is a likelihood of loss or injury, or for the purpose of maintaining the pipeline in good order or repair, the licensee—</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performs an act to avoid the loss or injury, or to maintain the pipeline in good order and repair;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as soon as practicable, but within 3 days, gives written notice to the Minister about the act performed.</w:t>
      </w:r>
    </w:p>
    <w:p w:rsidR="0065609F" w:rsidRDefault="0065609F" w:rsidP="00762261">
      <w:pPr>
        <w:pStyle w:val="clauseheadlevel4"/>
      </w:pPr>
      <w:bookmarkStart w:id="440" w:name="Elkera_Print_TOC197"/>
      <w:bookmarkStart w:id="441" w:name="Elkera_Print_BK197"/>
      <w:r>
        <w:t>112—Using pipeline to convey compositions of petroleum</w:t>
      </w:r>
      <w:bookmarkEnd w:id="440"/>
      <w:bookmarkEnd w:id="441"/>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A pipeline licensee must ensure that a composition of petroleum is not conveyed through a pipeline under the licence unless—</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pipeline management plan in force for the pipeline mentions—</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that the composition is to be conveyed through the pipeline;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the safe operating limits for conveying that composition; and</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pipeline is operated within those safe operating limits.</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$5 500.</w:t>
      </w:r>
    </w:p>
    <w:p w:rsidR="0065609F" w:rsidRDefault="0065609F" w:rsidP="00762261">
      <w:pPr>
        <w:pStyle w:val="subdivisionheadlevel3"/>
      </w:pPr>
      <w:bookmarkStart w:id="442" w:name="Elkera_Print_TOC198"/>
      <w:bookmarkStart w:id="443" w:name="Elkera_Print_BK198"/>
      <w:r>
        <w:t>Subdivision 3—Modifying or decommissioning a pipeline</w:t>
      </w:r>
      <w:bookmarkEnd w:id="442"/>
      <w:bookmarkEnd w:id="443"/>
    </w:p>
    <w:p w:rsidR="0065609F" w:rsidRDefault="0065609F" w:rsidP="00762261">
      <w:pPr>
        <w:pStyle w:val="clauseheadlevel4"/>
      </w:pPr>
      <w:bookmarkStart w:id="444" w:name="Elkera_Print_TOC199"/>
      <w:bookmarkStart w:id="445" w:name="Elkera_Print_BK199"/>
      <w:r>
        <w:t>113—Modifying or decommissioning a pipeline</w:t>
      </w:r>
      <w:bookmarkEnd w:id="444"/>
      <w:bookmarkEnd w:id="445"/>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46" w:name="idf230a6ee_2694_4c17_a6f0_ae5086929b33_4"/>
      <w:r>
        <w:rPr>
          <w:color w:val="000000"/>
          <w:sz w:val="23"/>
          <w:szCs w:val="23"/>
        </w:rPr>
        <w:tab/>
        <w:t>(1)</w:t>
      </w:r>
      <w:r>
        <w:rPr>
          <w:color w:val="000000"/>
          <w:sz w:val="23"/>
          <w:szCs w:val="23"/>
        </w:rPr>
        <w:tab/>
        <w:t>A pipeline licensee must not modify a pipeline under the licence unless—</w:t>
      </w:r>
      <w:bookmarkEnd w:id="446"/>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pipeline management plan in force for the pipeline provides for the modification;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modification is carried out in a way that—</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is consistent with the purposes for which the pipeline was designed to be used; and</w:t>
      </w:r>
    </w:p>
    <w:p w:rsidR="0065609F" w:rsidRDefault="0065609F" w:rsidP="00762261">
      <w:pPr>
        <w:keepNext/>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is not contrary to that plan.</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$5 500.</w:t>
      </w:r>
    </w:p>
    <w:p w:rsidR="00FD6C79" w:rsidRDefault="00FD6C79" w:rsidP="00762261">
      <w:pPr>
        <w:spacing w:after="0" w:line="240" w:lineRule="auto"/>
        <w:jc w:val="left"/>
        <w:rPr>
          <w:color w:val="000000"/>
          <w:sz w:val="23"/>
          <w:szCs w:val="23"/>
        </w:rPr>
      </w:pPr>
      <w:bookmarkStart w:id="447" w:name="idffc3d41b_a24e_49fd_8b60_439f6bfcf859_d"/>
      <w:r>
        <w:rPr>
          <w:color w:val="000000"/>
          <w:sz w:val="23"/>
          <w:szCs w:val="23"/>
        </w:rPr>
        <w:br w:type="page"/>
      </w:r>
    </w:p>
    <w:p w:rsidR="00FD6C79" w:rsidRDefault="00FD6C79" w:rsidP="00762261">
      <w:pPr>
        <w:pStyle w:val="RegSpace"/>
        <w:jc w:val="left"/>
      </w:pP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 pipeline licensee must not decommission a pipeline under the licence unless—</w:t>
      </w:r>
      <w:bookmarkEnd w:id="447"/>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pipeline management plan in force for the pipeline provides for the decommission; and</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decommission is carried out in a way that is not contrary to that plan.</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$5 500.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However, an offence under </w:t>
      </w:r>
      <w:hyperlink w:anchor="idf230a6ee_2694_4c17_a6f0_ae5086929b33_4" w:history="1">
        <w:r>
          <w:rPr>
            <w:color w:val="000000"/>
            <w:sz w:val="23"/>
            <w:szCs w:val="23"/>
          </w:rPr>
          <w:t>subregulation (1)</w:t>
        </w:r>
      </w:hyperlink>
      <w:r>
        <w:rPr>
          <w:color w:val="000000"/>
          <w:sz w:val="23"/>
          <w:szCs w:val="23"/>
        </w:rPr>
        <w:t xml:space="preserve"> or </w:t>
      </w:r>
      <w:hyperlink w:anchor="idffc3d41b_a24e_49fd_8b60_439f6bfcf859_d" w:history="1">
        <w:r>
          <w:rPr>
            <w:color w:val="000000"/>
            <w:sz w:val="23"/>
            <w:szCs w:val="23"/>
          </w:rPr>
          <w:t>(2)</w:t>
        </w:r>
      </w:hyperlink>
      <w:r>
        <w:rPr>
          <w:color w:val="000000"/>
          <w:sz w:val="23"/>
          <w:szCs w:val="23"/>
        </w:rPr>
        <w:t xml:space="preserve"> does not arise if—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pipeline is modified or decommissioned in accordance with a direction given under—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Act;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regulations made under the Act;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in an emergency in which there is a likelihood of loss or injury, the licensee performs an act to avoid the loss or injury and as soon as practicable, but within 3 days, gives written notice to the Minister about the act performed.</w:t>
      </w:r>
    </w:p>
    <w:p w:rsidR="0065609F" w:rsidRDefault="0065609F" w:rsidP="00762261">
      <w:pPr>
        <w:pStyle w:val="divisionheadlevel2"/>
      </w:pPr>
      <w:bookmarkStart w:id="448" w:name="Elkera_Print_TOC201"/>
      <w:bookmarkStart w:id="449" w:name="idbdf9b864_3c6a_484e_a5be_5908440abc23_3"/>
      <w:r>
        <w:t>Division 4—Pipeline management plans</w:t>
      </w:r>
      <w:bookmarkEnd w:id="448"/>
      <w:bookmarkEnd w:id="449"/>
    </w:p>
    <w:p w:rsidR="0065609F" w:rsidRDefault="0065609F" w:rsidP="00762261">
      <w:pPr>
        <w:pStyle w:val="subdivisionheadlevel3"/>
      </w:pPr>
      <w:bookmarkStart w:id="450" w:name="Elkera_Print_TOC202"/>
      <w:bookmarkStart w:id="451" w:name="Elkera_Print_BK202"/>
      <w:r>
        <w:t>Subdivision 1—Acceptance of a pipeline management plan</w:t>
      </w:r>
      <w:bookmarkEnd w:id="450"/>
      <w:bookmarkEnd w:id="451"/>
    </w:p>
    <w:p w:rsidR="0065609F" w:rsidRDefault="0065609F" w:rsidP="00762261">
      <w:pPr>
        <w:pStyle w:val="clauseheadlevel4"/>
      </w:pPr>
      <w:bookmarkStart w:id="452" w:name="Elkera_Print_TOC204"/>
      <w:bookmarkStart w:id="453" w:name="id38bacb2c_20d3_4fe6_89e4_3817263f902a_d"/>
      <w:r>
        <w:t>114—Submission of a pipeline management plan</w:t>
      </w:r>
      <w:bookmarkEnd w:id="452"/>
      <w:bookmarkEnd w:id="453"/>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For a pipeline management plan to be accepted for a pipeline, the pipeline licensee must submit the plan to the Minister.</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54" w:name="id2ef484a3_11d5_49c8_9ca2_1b1679451b1f_f"/>
      <w:r>
        <w:rPr>
          <w:color w:val="000000"/>
          <w:sz w:val="23"/>
          <w:szCs w:val="23"/>
        </w:rPr>
        <w:tab/>
        <w:t>(2)</w:t>
      </w:r>
      <w:r>
        <w:rPr>
          <w:color w:val="000000"/>
          <w:sz w:val="23"/>
          <w:szCs w:val="23"/>
        </w:rPr>
        <w:tab/>
        <w:t>A pipeline management plan may be submitted for 1 or more of the following stages connected with the life of the pipeline:</w:t>
      </w:r>
      <w:bookmarkEnd w:id="454"/>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design and construction;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operation;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modification;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decommissioning.</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A pipeline management plan may be submitted that provides for 1 or more pipelines.</w:t>
      </w:r>
    </w:p>
    <w:p w:rsidR="0065609F" w:rsidRDefault="0065609F" w:rsidP="00762261">
      <w:pPr>
        <w:keepNext/>
        <w:keepLines/>
        <w:autoSpaceDE w:val="0"/>
        <w:autoSpaceDN w:val="0"/>
        <w:adjustRightInd w:val="0"/>
        <w:spacing w:before="120" w:after="0" w:line="240" w:lineRule="auto"/>
        <w:ind w:left="794" w:hanging="567"/>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794"/>
        <w:jc w:val="left"/>
        <w:rPr>
          <w:color w:val="000000"/>
          <w:sz w:val="20"/>
          <w:szCs w:val="20"/>
        </w:rPr>
      </w:pPr>
      <w:r>
        <w:rPr>
          <w:color w:val="000000"/>
          <w:sz w:val="20"/>
          <w:szCs w:val="20"/>
        </w:rPr>
        <w:t xml:space="preserve">In making decisions about a pipeline management plan, the Minister is subject to </w:t>
      </w:r>
      <w:hyperlink w:anchor="id64a14ba4_0b61_4385_952f_608bafff9c7a_2" w:history="1">
        <w:r>
          <w:rPr>
            <w:color w:val="000000"/>
            <w:sz w:val="20"/>
            <w:szCs w:val="20"/>
          </w:rPr>
          <w:t>Division 5</w:t>
        </w:r>
      </w:hyperlink>
      <w:r>
        <w:rPr>
          <w:color w:val="000000"/>
          <w:sz w:val="20"/>
          <w:szCs w:val="20"/>
        </w:rPr>
        <w:t>.</w:t>
      </w:r>
    </w:p>
    <w:p w:rsidR="0065609F" w:rsidRDefault="0065609F" w:rsidP="00762261">
      <w:pPr>
        <w:pStyle w:val="clauseheadlevel4"/>
      </w:pPr>
      <w:bookmarkStart w:id="455" w:name="Elkera_Print_TOC205"/>
      <w:bookmarkStart w:id="456" w:name="Elkera_Print_BK205"/>
      <w:r>
        <w:t>115—Handling pipeline management plan</w:t>
      </w:r>
      <w:bookmarkEnd w:id="455"/>
      <w:bookmarkEnd w:id="456"/>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The Minister—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must give a copy of a pipeline management plan to the Safety Authority as soon as practicable after the pipeline licensee gives the plan to the Minister (but not later than 7 days after the pipeline licensee gives the plan);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must not act under </w:t>
      </w:r>
      <w:hyperlink w:anchor="id10ba871c_4dfc_4d9b_a2a2_dbfc93274727_6" w:history="1">
        <w:r>
          <w:rPr>
            <w:color w:val="000000"/>
            <w:sz w:val="23"/>
            <w:szCs w:val="23"/>
          </w:rPr>
          <w:t>regulation 116</w:t>
        </w:r>
      </w:hyperlink>
      <w:r>
        <w:rPr>
          <w:color w:val="000000"/>
          <w:sz w:val="23"/>
          <w:szCs w:val="23"/>
        </w:rPr>
        <w:t xml:space="preserve"> or </w:t>
      </w:r>
      <w:hyperlink w:anchor="id5cc73a29_4f77_46a8_ac04_58d7014a02bf_9" w:history="1">
        <w:r>
          <w:rPr>
            <w:color w:val="000000"/>
            <w:sz w:val="23"/>
            <w:szCs w:val="23"/>
          </w:rPr>
          <w:t>117</w:t>
        </w:r>
      </w:hyperlink>
      <w:r>
        <w:rPr>
          <w:color w:val="000000"/>
          <w:sz w:val="23"/>
          <w:szCs w:val="23"/>
        </w:rPr>
        <w:t xml:space="preserve"> unless the Safety Authority has notified the Minister under </w:t>
      </w:r>
      <w:hyperlink w:anchor="id66b62971_9031_44c3_a86d_7fe4720fa3ca_8" w:history="1">
        <w:r>
          <w:rPr>
            <w:color w:val="000000"/>
            <w:sz w:val="23"/>
            <w:szCs w:val="23"/>
          </w:rPr>
          <w:t>regulation 136</w:t>
        </w:r>
      </w:hyperlink>
      <w:r>
        <w:rPr>
          <w:color w:val="000000"/>
          <w:sz w:val="23"/>
          <w:szCs w:val="23"/>
        </w:rPr>
        <w:t>.</w:t>
      </w:r>
    </w:p>
    <w:p w:rsidR="00FD6C79" w:rsidRDefault="00FD6C79" w:rsidP="00762261">
      <w:pPr>
        <w:spacing w:after="0" w:line="240" w:lineRule="auto"/>
        <w:jc w:val="left"/>
        <w:rPr>
          <w:b/>
          <w:bCs/>
          <w:color w:val="000000"/>
          <w:sz w:val="20"/>
          <w:szCs w:val="20"/>
        </w:rPr>
      </w:pPr>
      <w:r>
        <w:rPr>
          <w:b/>
          <w:bCs/>
          <w:color w:val="000000"/>
          <w:sz w:val="20"/>
          <w:szCs w:val="20"/>
        </w:rPr>
        <w:br w:type="page"/>
      </w:r>
    </w:p>
    <w:p w:rsidR="00FD6C79" w:rsidRDefault="00FD6C79" w:rsidP="00762261">
      <w:pPr>
        <w:pStyle w:val="RegSpace"/>
        <w:jc w:val="left"/>
      </w:pPr>
    </w:p>
    <w:p w:rsidR="0065609F" w:rsidRDefault="0065609F" w:rsidP="00762261">
      <w:pPr>
        <w:keepNext/>
        <w:keepLines/>
        <w:autoSpaceDE w:val="0"/>
        <w:autoSpaceDN w:val="0"/>
        <w:adjustRightInd w:val="0"/>
        <w:spacing w:before="120" w:after="0" w:line="240" w:lineRule="auto"/>
        <w:ind w:left="794" w:hanging="567"/>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794"/>
        <w:jc w:val="left"/>
        <w:rPr>
          <w:color w:val="000000"/>
          <w:sz w:val="20"/>
          <w:szCs w:val="20"/>
        </w:rPr>
      </w:pPr>
      <w:r>
        <w:rPr>
          <w:color w:val="000000"/>
          <w:sz w:val="20"/>
          <w:szCs w:val="20"/>
        </w:rPr>
        <w:t xml:space="preserve">The Safety Authority is required to consider the pipeline safety management plan in accordance with </w:t>
      </w:r>
      <w:hyperlink w:anchor="id64a14ba4_0b61_4385_952f_608bafff9c7a_2" w:history="1">
        <w:r>
          <w:rPr>
            <w:color w:val="000000"/>
            <w:sz w:val="20"/>
            <w:szCs w:val="20"/>
          </w:rPr>
          <w:t>Division 5</w:t>
        </w:r>
      </w:hyperlink>
      <w:r>
        <w:rPr>
          <w:color w:val="000000"/>
          <w:sz w:val="20"/>
          <w:szCs w:val="20"/>
        </w:rPr>
        <w:t xml:space="preserve">. The Safety Authority is subject to an initial 21 day timetable for considering the plan—see </w:t>
      </w:r>
      <w:hyperlink w:anchor="id66b62971_9031_44c3_a86d_7fe4720fa3ca_8" w:history="1">
        <w:r>
          <w:rPr>
            <w:color w:val="000000"/>
            <w:sz w:val="20"/>
            <w:szCs w:val="20"/>
          </w:rPr>
          <w:t>regulation 136</w:t>
        </w:r>
      </w:hyperlink>
      <w:r>
        <w:rPr>
          <w:color w:val="000000"/>
          <w:sz w:val="20"/>
          <w:szCs w:val="20"/>
        </w:rPr>
        <w:t>.</w:t>
      </w:r>
    </w:p>
    <w:p w:rsidR="0065609F" w:rsidRDefault="0065609F" w:rsidP="00762261">
      <w:pPr>
        <w:pStyle w:val="clauseheadlevel4"/>
      </w:pPr>
      <w:bookmarkStart w:id="457" w:name="Elkera_Print_TOC207"/>
      <w:bookmarkStart w:id="458" w:name="id10ba871c_4dfc_4d9b_a2a2_dbfc93274727_6"/>
      <w:r>
        <w:t>116—Time limit for accepting or not accepting a pipeline management plan</w:t>
      </w:r>
      <w:bookmarkEnd w:id="457"/>
      <w:bookmarkEnd w:id="458"/>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59" w:name="id9c58d4b8_c62d_4591_b41d_a0d0cd5ac3b5_e"/>
      <w:r>
        <w:rPr>
          <w:color w:val="000000"/>
          <w:sz w:val="23"/>
          <w:szCs w:val="23"/>
        </w:rPr>
        <w:tab/>
        <w:t>(1)</w:t>
      </w:r>
      <w:r>
        <w:rPr>
          <w:color w:val="000000"/>
          <w:sz w:val="23"/>
          <w:szCs w:val="23"/>
        </w:rPr>
        <w:tab/>
        <w:t>Within 28 days after a pipeline licensee submits a pipeline management plan, the Minister must—</w:t>
      </w:r>
      <w:bookmarkEnd w:id="459"/>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accept the plan under </w:t>
      </w:r>
      <w:hyperlink w:anchor="id5cc73a29_4f77_46a8_ac04_58d7014a02bf_9" w:history="1">
        <w:r>
          <w:rPr>
            <w:color w:val="000000"/>
            <w:sz w:val="23"/>
            <w:szCs w:val="23"/>
          </w:rPr>
          <w:t>regulation 117</w:t>
        </w:r>
      </w:hyperlink>
      <w:r>
        <w:rPr>
          <w:color w:val="000000"/>
          <w:sz w:val="23"/>
          <w:szCs w:val="23"/>
        </w:rPr>
        <w:t>;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refuse to accept the plan;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give written notice to the pipeline licensee stating that the Minister is unable to make a decision about the plan within the period of 28 days, and setting out a proposed timetable for consideration of the plan.</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 failure by the Minister to comply with </w:t>
      </w:r>
      <w:hyperlink w:anchor="id9c58d4b8_c62d_4591_b41d_a0d0cd5ac3b5_e" w:history="1">
        <w:r>
          <w:rPr>
            <w:color w:val="000000"/>
            <w:sz w:val="23"/>
            <w:szCs w:val="23"/>
          </w:rPr>
          <w:t>subregulation (1)</w:t>
        </w:r>
      </w:hyperlink>
      <w:r>
        <w:rPr>
          <w:color w:val="000000"/>
          <w:sz w:val="23"/>
          <w:szCs w:val="23"/>
        </w:rPr>
        <w:t xml:space="preserve"> in relation to a pipeline management plan does not of itself invalidate a decision to accept or to refuse to accept the plan.</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This regulation applies to a pipeline management plan resubmitted under </w:t>
      </w:r>
      <w:hyperlink w:anchor="id50d0f462_fc5e_445d_9628_c5d2019d104b_5" w:history="1">
        <w:r>
          <w:rPr>
            <w:color w:val="000000"/>
            <w:sz w:val="23"/>
            <w:szCs w:val="23"/>
          </w:rPr>
          <w:t>regulation 117(3)</w:t>
        </w:r>
      </w:hyperlink>
      <w:r>
        <w:rPr>
          <w:color w:val="000000"/>
          <w:sz w:val="23"/>
          <w:szCs w:val="23"/>
        </w:rPr>
        <w:t xml:space="preserve"> in the same way as it applies to the plan when first submitted.</w:t>
      </w:r>
    </w:p>
    <w:p w:rsidR="0065609F" w:rsidRDefault="0065609F" w:rsidP="00762261">
      <w:pPr>
        <w:pStyle w:val="clauseheadlevel4"/>
      </w:pPr>
      <w:bookmarkStart w:id="460" w:name="Elkera_Print_TOC209"/>
      <w:bookmarkStart w:id="461" w:name="id5cc73a29_4f77_46a8_ac04_58d7014a02bf_9"/>
      <w:r>
        <w:t>117—Acceptance of a pipeline management plan</w:t>
      </w:r>
      <w:bookmarkEnd w:id="460"/>
      <w:bookmarkEnd w:id="461"/>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62" w:name="ide11472f8_26c4_4cfb_8f55_d18fe91068c7_5"/>
      <w:r>
        <w:rPr>
          <w:color w:val="000000"/>
          <w:sz w:val="23"/>
          <w:szCs w:val="23"/>
        </w:rPr>
        <w:tab/>
        <w:t>(1)</w:t>
      </w:r>
      <w:r>
        <w:rPr>
          <w:color w:val="000000"/>
          <w:sz w:val="23"/>
          <w:szCs w:val="23"/>
        </w:rPr>
        <w:tab/>
        <w:t>The Minister must accept the pipeline management plan only if—</w:t>
      </w:r>
      <w:bookmarkEnd w:id="462"/>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463" w:name="id10b415f4_0461_4f46_9a6e_5820e70ebaaa_e"/>
      <w:r>
        <w:rPr>
          <w:color w:val="000000"/>
          <w:sz w:val="23"/>
          <w:szCs w:val="23"/>
        </w:rPr>
        <w:tab/>
        <w:t>(a)</w:t>
      </w:r>
      <w:r>
        <w:rPr>
          <w:color w:val="000000"/>
          <w:sz w:val="23"/>
          <w:szCs w:val="23"/>
        </w:rPr>
        <w:tab/>
        <w:t>there are reasonable grounds for believing that—</w:t>
      </w:r>
      <w:bookmarkEnd w:id="463"/>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plan is appropriate for the nature and proposed use of the pipeline;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 xml:space="preserve">the plan complies with </w:t>
      </w:r>
      <w:hyperlink w:anchor="idc95023ac_1247_411b_91b7_acbe19abb709_c" w:history="1">
        <w:r>
          <w:rPr>
            <w:color w:val="000000"/>
            <w:sz w:val="23"/>
            <w:szCs w:val="23"/>
          </w:rPr>
          <w:t>regulations 119</w:t>
        </w:r>
      </w:hyperlink>
      <w:r>
        <w:rPr>
          <w:color w:val="000000"/>
          <w:sz w:val="23"/>
          <w:szCs w:val="23"/>
        </w:rPr>
        <w:t xml:space="preserve">, </w:t>
      </w:r>
      <w:hyperlink w:anchor="id4367e338_1907_42bd_a217_2e9b116c0fa1_e" w:history="1">
        <w:r>
          <w:rPr>
            <w:color w:val="000000"/>
            <w:sz w:val="23"/>
            <w:szCs w:val="23"/>
          </w:rPr>
          <w:t>120</w:t>
        </w:r>
      </w:hyperlink>
      <w:r>
        <w:rPr>
          <w:color w:val="000000"/>
          <w:sz w:val="23"/>
          <w:szCs w:val="23"/>
        </w:rPr>
        <w:t xml:space="preserve">, </w:t>
      </w:r>
      <w:hyperlink w:anchor="ida75a6eb9_3e14_40e9_acb7_56b3154583d0_a" w:history="1">
        <w:r>
          <w:rPr>
            <w:color w:val="000000"/>
            <w:sz w:val="23"/>
            <w:szCs w:val="23"/>
          </w:rPr>
          <w:t>121</w:t>
        </w:r>
      </w:hyperlink>
      <w:r>
        <w:rPr>
          <w:color w:val="000000"/>
          <w:sz w:val="23"/>
          <w:szCs w:val="23"/>
        </w:rPr>
        <w:t xml:space="preserve">, </w:t>
      </w:r>
      <w:hyperlink w:anchor="id51fc7f5f_719e_4ea2_944a_2b4a213f2565_9" w:history="1">
        <w:r>
          <w:rPr>
            <w:color w:val="000000"/>
            <w:sz w:val="23"/>
            <w:szCs w:val="23"/>
          </w:rPr>
          <w:t>122</w:t>
        </w:r>
      </w:hyperlink>
      <w:r>
        <w:rPr>
          <w:color w:val="000000"/>
          <w:sz w:val="23"/>
          <w:szCs w:val="23"/>
        </w:rPr>
        <w:t xml:space="preserve"> and </w:t>
      </w:r>
      <w:hyperlink w:anchor="idfe22233f_e060_4f4d_85ba_06b8bce93027_3" w:history="1">
        <w:r>
          <w:rPr>
            <w:color w:val="000000"/>
            <w:sz w:val="23"/>
            <w:szCs w:val="23"/>
          </w:rPr>
          <w:t>124</w:t>
        </w:r>
      </w:hyperlink>
      <w:r>
        <w:rPr>
          <w:color w:val="000000"/>
          <w:sz w:val="23"/>
          <w:szCs w:val="23"/>
        </w:rPr>
        <w:t xml:space="preserve"> for the stages connected with the life of the pipeline mentioned in </w:t>
      </w:r>
      <w:hyperlink w:anchor="id38bacb2c_20d3_4fe6_89e4_3817263f902a_d" w:history="1">
        <w:r>
          <w:rPr>
            <w:color w:val="000000"/>
            <w:sz w:val="23"/>
            <w:szCs w:val="23"/>
          </w:rPr>
          <w:t>regulation 114</w:t>
        </w:r>
      </w:hyperlink>
      <w:r>
        <w:rPr>
          <w:color w:val="000000"/>
          <w:sz w:val="23"/>
          <w:szCs w:val="23"/>
        </w:rPr>
        <w:t xml:space="preserve"> for which the plan is submitted;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 xml:space="preserve">the plan, or a part of a pipeline management plan in force for the pipeline, complies with </w:t>
      </w:r>
      <w:hyperlink w:anchor="id51aba9e4_1288_4fca_abcc_53d9570c9824_e" w:history="1">
        <w:r>
          <w:rPr>
            <w:color w:val="000000"/>
            <w:sz w:val="23"/>
            <w:szCs w:val="23"/>
          </w:rPr>
          <w:t>regulation 123</w:t>
        </w:r>
      </w:hyperlink>
      <w:r>
        <w:rPr>
          <w:color w:val="000000"/>
          <w:sz w:val="23"/>
          <w:szCs w:val="23"/>
        </w:rPr>
        <w: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the Safety Authority has notified the Minister under </w:t>
      </w:r>
      <w:hyperlink w:anchor="id66b62971_9031_44c3_a86d_7fe4720fa3ca_8" w:history="1">
        <w:r>
          <w:rPr>
            <w:color w:val="000000"/>
            <w:sz w:val="23"/>
            <w:szCs w:val="23"/>
          </w:rPr>
          <w:t>regulation 136</w:t>
        </w:r>
      </w:hyperlink>
      <w:r>
        <w:rPr>
          <w:color w:val="000000"/>
          <w:sz w:val="23"/>
          <w:szCs w:val="23"/>
        </w:rPr>
        <w:t xml:space="preserve"> that the Safety Authority has accepted the pipeline safety management plan.</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If—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Safety Authority has accepted the pipeline safety management plan only for 1 or more specified stages connected with the life of the pipeline, but not for all of the stages to which the pipeline management plan relates;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there are reasonable grounds for believing the matters in </w:t>
      </w:r>
      <w:hyperlink w:anchor="id10b415f4_0461_4f46_9a6e_5820e70ebaaa_e" w:history="1">
        <w:r>
          <w:rPr>
            <w:color w:val="000000"/>
            <w:sz w:val="23"/>
            <w:szCs w:val="23"/>
          </w:rPr>
          <w:t>subregulation (1)(a)</w:t>
        </w:r>
      </w:hyperlink>
      <w:r>
        <w:rPr>
          <w:color w:val="000000"/>
          <w:sz w:val="23"/>
          <w:szCs w:val="23"/>
        </w:rPr>
        <w:t xml:space="preserve"> for each of those stages,</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the Minister must accept the pipeline management plan only for those stages.</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64" w:name="id50d0f462_fc5e_445d_9628_c5d2019d104b_5"/>
      <w:r>
        <w:rPr>
          <w:color w:val="000000"/>
          <w:sz w:val="23"/>
          <w:szCs w:val="23"/>
        </w:rPr>
        <w:tab/>
        <w:t>(3)</w:t>
      </w:r>
      <w:r>
        <w:rPr>
          <w:color w:val="000000"/>
          <w:sz w:val="23"/>
          <w:szCs w:val="23"/>
        </w:rPr>
        <w:tab/>
        <w:t xml:space="preserve">If the Minister is not reasonably satisfied that the pipeline management plan when first submitted meets the criteria mentioned in </w:t>
      </w:r>
      <w:hyperlink w:anchor="ide11472f8_26c4_4cfb_8f55_d18fe91068c7_5" w:history="1">
        <w:r>
          <w:rPr>
            <w:color w:val="000000"/>
            <w:sz w:val="23"/>
            <w:szCs w:val="23"/>
          </w:rPr>
          <w:t>subregulation (1)</w:t>
        </w:r>
      </w:hyperlink>
      <w:r>
        <w:rPr>
          <w:color w:val="000000"/>
          <w:sz w:val="23"/>
          <w:szCs w:val="23"/>
        </w:rPr>
        <w:t>, the Minister must give the pipeline licensee a reasonable opportunity to change and resubmit the plan.</w:t>
      </w:r>
      <w:bookmarkEnd w:id="464"/>
    </w:p>
    <w:p w:rsidR="00983D8C" w:rsidRDefault="00983D8C" w:rsidP="00762261">
      <w:pPr>
        <w:spacing w:after="0" w:line="240" w:lineRule="auto"/>
        <w:jc w:val="left"/>
        <w:rPr>
          <w:color w:val="000000"/>
          <w:sz w:val="23"/>
          <w:szCs w:val="23"/>
        </w:rPr>
      </w:pPr>
      <w:bookmarkStart w:id="465" w:name="id47e2e62f_3e91_4756_9b61_9cd9b75daece_7"/>
      <w:r>
        <w:rPr>
          <w:color w:val="000000"/>
          <w:sz w:val="23"/>
          <w:szCs w:val="23"/>
        </w:rPr>
        <w:br w:type="page"/>
      </w:r>
    </w:p>
    <w:p w:rsidR="00983D8C" w:rsidRDefault="00983D8C" w:rsidP="00762261">
      <w:pPr>
        <w:pStyle w:val="RegSpace"/>
        <w:jc w:val="left"/>
      </w:pP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 xml:space="preserve">If, after the pipeline licensee has had a reasonable opportunity to change and resubmit the pipeline management plan, the Minister is still not reasonably satisfied that the plan meets the criteria mentioned in </w:t>
      </w:r>
      <w:hyperlink w:anchor="ide11472f8_26c4_4cfb_8f55_d18fe91068c7_5" w:history="1">
        <w:r>
          <w:rPr>
            <w:color w:val="000000"/>
            <w:sz w:val="23"/>
            <w:szCs w:val="23"/>
          </w:rPr>
          <w:t>subregulation (1)</w:t>
        </w:r>
      </w:hyperlink>
      <w:r>
        <w:rPr>
          <w:color w:val="000000"/>
          <w:sz w:val="23"/>
          <w:szCs w:val="23"/>
        </w:rPr>
        <w:t>, the Minister must refuse to accept the plan.</w:t>
      </w:r>
      <w:bookmarkEnd w:id="465"/>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(5)</w:t>
      </w:r>
      <w:r>
        <w:rPr>
          <w:color w:val="000000"/>
          <w:sz w:val="23"/>
          <w:szCs w:val="23"/>
        </w:rPr>
        <w:tab/>
        <w:t xml:space="preserve">Despite </w:t>
      </w:r>
      <w:hyperlink w:anchor="id47e2e62f_3e91_4756_9b61_9cd9b75daece_7" w:history="1">
        <w:r>
          <w:rPr>
            <w:color w:val="000000"/>
            <w:sz w:val="23"/>
            <w:szCs w:val="23"/>
          </w:rPr>
          <w:t>subregulation (4)</w:t>
        </w:r>
      </w:hyperlink>
      <w:r>
        <w:rPr>
          <w:color w:val="000000"/>
          <w:sz w:val="23"/>
          <w:szCs w:val="23"/>
        </w:rPr>
        <w:t>, the Minister may do either or both of the following:</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accept the plan in part for a particular stage connected with the life of the pipeline mentioned in </w:t>
      </w:r>
      <w:hyperlink w:anchor="id38bacb2c_20d3_4fe6_89e4_3817263f902a_d" w:history="1">
        <w:r>
          <w:rPr>
            <w:color w:val="000000"/>
            <w:sz w:val="23"/>
            <w:szCs w:val="23"/>
          </w:rPr>
          <w:t>regulation 114</w:t>
        </w:r>
      </w:hyperlink>
      <w:r>
        <w:rPr>
          <w:color w:val="000000"/>
          <w:sz w:val="23"/>
          <w:szCs w:val="23"/>
        </w:rPr>
        <w: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impose limitations or conditions applying to the pipeline in respect of any of those stages.</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66" w:name="id98da86c2_6390_4a78_a236_be36233c9996_f"/>
      <w:r>
        <w:rPr>
          <w:color w:val="000000"/>
          <w:sz w:val="23"/>
          <w:szCs w:val="23"/>
        </w:rPr>
        <w:tab/>
        <w:t>(6)</w:t>
      </w:r>
      <w:r>
        <w:rPr>
          <w:color w:val="000000"/>
          <w:sz w:val="23"/>
          <w:szCs w:val="23"/>
        </w:rPr>
        <w:tab/>
        <w:t>The Minister must give the pipeline licensee written notice of a decision by the Minister—</w:t>
      </w:r>
      <w:bookmarkEnd w:id="466"/>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to accept the pipeline management plan;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467" w:name="id7eb6f501_31b1_4397_9493_223390de4d47_0"/>
      <w:r>
        <w:rPr>
          <w:color w:val="000000"/>
          <w:sz w:val="23"/>
          <w:szCs w:val="23"/>
        </w:rPr>
        <w:tab/>
        <w:t>(b)</w:t>
      </w:r>
      <w:r>
        <w:rPr>
          <w:color w:val="000000"/>
          <w:sz w:val="23"/>
          <w:szCs w:val="23"/>
        </w:rPr>
        <w:tab/>
        <w:t>not to accept the plan; or</w:t>
      </w:r>
      <w:bookmarkEnd w:id="467"/>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468" w:name="id3a8ce91f_bb5b_4f06_a74a_cf841694afbf_b"/>
      <w:r>
        <w:rPr>
          <w:color w:val="000000"/>
          <w:sz w:val="23"/>
          <w:szCs w:val="23"/>
        </w:rPr>
        <w:tab/>
        <w:t>(c)</w:t>
      </w:r>
      <w:r>
        <w:rPr>
          <w:color w:val="000000"/>
          <w:sz w:val="23"/>
          <w:szCs w:val="23"/>
        </w:rPr>
        <w:tab/>
        <w:t>to accept the plan in part for a particular stage connected with the life of the pipeline, or subject to the imposition of limitations or conditions.</w:t>
      </w:r>
      <w:bookmarkEnd w:id="468"/>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(7)</w:t>
      </w:r>
      <w:r>
        <w:rPr>
          <w:color w:val="000000"/>
          <w:sz w:val="23"/>
          <w:szCs w:val="23"/>
        </w:rPr>
        <w:tab/>
        <w:t xml:space="preserve">A notice of a decision under </w:t>
      </w:r>
      <w:hyperlink w:anchor="id7eb6f501_31b1_4397_9493_223390de4d47_0" w:history="1">
        <w:r>
          <w:rPr>
            <w:color w:val="000000"/>
            <w:sz w:val="23"/>
            <w:szCs w:val="23"/>
          </w:rPr>
          <w:t>subregulation (6)(b)</w:t>
        </w:r>
      </w:hyperlink>
      <w:r>
        <w:rPr>
          <w:color w:val="000000"/>
          <w:sz w:val="23"/>
          <w:szCs w:val="23"/>
        </w:rPr>
        <w:t xml:space="preserve"> or </w:t>
      </w:r>
      <w:hyperlink w:anchor="id3a8ce91f_bb5b_4f06_a74a_cf841694afbf_b" w:history="1">
        <w:r>
          <w:rPr>
            <w:color w:val="000000"/>
            <w:sz w:val="23"/>
            <w:szCs w:val="23"/>
          </w:rPr>
          <w:t>(c)</w:t>
        </w:r>
      </w:hyperlink>
      <w:r>
        <w:rPr>
          <w:color w:val="000000"/>
          <w:sz w:val="23"/>
          <w:szCs w:val="23"/>
        </w:rPr>
        <w:t xml:space="preserve"> must include—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advice of the decision and the reasons for it;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if limitations or conditions are to apply to a stage connected with the life of the pipeline—a statement of those limitations or conditions.</w:t>
      </w:r>
    </w:p>
    <w:p w:rsidR="0065609F" w:rsidRDefault="0065609F" w:rsidP="00762261">
      <w:pPr>
        <w:pStyle w:val="subdivisionheadlevel3"/>
      </w:pPr>
      <w:bookmarkStart w:id="469" w:name="Elkera_Print_TOC210"/>
      <w:bookmarkStart w:id="470" w:name="Elkera_Print_BK210"/>
      <w:r>
        <w:t>Subdivision 2—Contents of a pipeline management plan</w:t>
      </w:r>
      <w:bookmarkEnd w:id="469"/>
      <w:bookmarkEnd w:id="470"/>
    </w:p>
    <w:p w:rsidR="0065609F" w:rsidRDefault="0065609F" w:rsidP="00762261">
      <w:pPr>
        <w:pStyle w:val="clauseheadlevel4"/>
      </w:pPr>
      <w:bookmarkStart w:id="471" w:name="Elkera_Print_TOC211"/>
      <w:bookmarkStart w:id="472" w:name="Elkera_Print_BK211"/>
      <w:r>
        <w:t>118—Contents of a pipeline management plan</w:t>
      </w:r>
      <w:bookmarkEnd w:id="471"/>
      <w:bookmarkEnd w:id="472"/>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A pipeline management plan must include information about, or cover—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the matters mentioned in </w:t>
      </w:r>
      <w:hyperlink w:anchor="idc95023ac_1247_411b_91b7_acbe19abb709_c" w:history="1">
        <w:r>
          <w:rPr>
            <w:color w:val="000000"/>
            <w:sz w:val="23"/>
            <w:szCs w:val="23"/>
          </w:rPr>
          <w:t>regulations 119</w:t>
        </w:r>
      </w:hyperlink>
      <w:r>
        <w:rPr>
          <w:color w:val="000000"/>
          <w:sz w:val="23"/>
          <w:szCs w:val="23"/>
        </w:rPr>
        <w:t xml:space="preserve">, </w:t>
      </w:r>
      <w:hyperlink w:anchor="id4367e338_1907_42bd_a217_2e9b116c0fa1_e" w:history="1">
        <w:r>
          <w:rPr>
            <w:color w:val="000000"/>
            <w:sz w:val="23"/>
            <w:szCs w:val="23"/>
          </w:rPr>
          <w:t>120</w:t>
        </w:r>
      </w:hyperlink>
      <w:r>
        <w:rPr>
          <w:color w:val="000000"/>
          <w:sz w:val="23"/>
          <w:szCs w:val="23"/>
        </w:rPr>
        <w:t xml:space="preserve">, </w:t>
      </w:r>
      <w:hyperlink w:anchor="ida75a6eb9_3e14_40e9_acb7_56b3154583d0_a" w:history="1">
        <w:r>
          <w:rPr>
            <w:color w:val="000000"/>
            <w:sz w:val="23"/>
            <w:szCs w:val="23"/>
          </w:rPr>
          <w:t>121</w:t>
        </w:r>
      </w:hyperlink>
      <w:r>
        <w:rPr>
          <w:color w:val="000000"/>
          <w:sz w:val="23"/>
          <w:szCs w:val="23"/>
        </w:rPr>
        <w:t xml:space="preserve">, </w:t>
      </w:r>
      <w:hyperlink w:anchor="id51fc7f5f_719e_4ea2_944a_2b4a213f2565_9" w:history="1">
        <w:r>
          <w:rPr>
            <w:color w:val="000000"/>
            <w:sz w:val="23"/>
            <w:szCs w:val="23"/>
          </w:rPr>
          <w:t>122</w:t>
        </w:r>
      </w:hyperlink>
      <w:r>
        <w:rPr>
          <w:color w:val="000000"/>
          <w:sz w:val="23"/>
          <w:szCs w:val="23"/>
        </w:rPr>
        <w:t xml:space="preserve"> and </w:t>
      </w:r>
      <w:hyperlink w:anchor="idfe22233f_e060_4f4d_85ba_06b8bce93027_3" w:history="1">
        <w:r>
          <w:rPr>
            <w:color w:val="000000"/>
            <w:sz w:val="23"/>
            <w:szCs w:val="23"/>
          </w:rPr>
          <w:t>124</w:t>
        </w:r>
      </w:hyperlink>
      <w:r>
        <w:rPr>
          <w:color w:val="000000"/>
          <w:sz w:val="23"/>
          <w:szCs w:val="23"/>
        </w:rPr>
        <w:t xml:space="preserve"> for the stages connected with the life of the pipeline mentioned in </w:t>
      </w:r>
      <w:hyperlink w:anchor="id38bacb2c_20d3_4fe6_89e4_3817263f902a_d" w:history="1">
        <w:r>
          <w:rPr>
            <w:color w:val="000000"/>
            <w:sz w:val="23"/>
            <w:szCs w:val="23"/>
          </w:rPr>
          <w:t>regulation 114</w:t>
        </w:r>
      </w:hyperlink>
      <w:r>
        <w:rPr>
          <w:color w:val="000000"/>
          <w:sz w:val="23"/>
          <w:szCs w:val="23"/>
        </w:rPr>
        <w:t xml:space="preserve"> for which the plan is proposed;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the matters mentioned in </w:t>
      </w:r>
      <w:hyperlink w:anchor="id51aba9e4_1288_4fca_abcc_53d9570c9824_e" w:history="1">
        <w:r>
          <w:rPr>
            <w:color w:val="000000"/>
            <w:sz w:val="23"/>
            <w:szCs w:val="23"/>
          </w:rPr>
          <w:t>regulation 123</w:t>
        </w:r>
      </w:hyperlink>
      <w:r>
        <w:rPr>
          <w:color w:val="000000"/>
          <w:sz w:val="23"/>
          <w:szCs w:val="23"/>
        </w:rPr>
        <w:t>.</w:t>
      </w:r>
    </w:p>
    <w:p w:rsidR="0065609F" w:rsidRDefault="0065609F" w:rsidP="00762261">
      <w:pPr>
        <w:pStyle w:val="clauseheadlevel4"/>
      </w:pPr>
      <w:bookmarkStart w:id="473" w:name="Elkera_Print_TOC213"/>
      <w:bookmarkStart w:id="474" w:name="idc95023ac_1247_411b_91b7_acbe19abb709_c"/>
      <w:r>
        <w:t>119—Description of safety policy</w:t>
      </w:r>
      <w:bookmarkEnd w:id="473"/>
      <w:bookmarkEnd w:id="474"/>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The pipeline management plan must include a statement of the pipeline licensee's strategic health and safety objectives for the design, construction, operation, modification and decommission of the pipeline.</w:t>
      </w:r>
    </w:p>
    <w:p w:rsidR="0065609F" w:rsidRDefault="0065609F" w:rsidP="00762261">
      <w:pPr>
        <w:pStyle w:val="clauseheadlevel4"/>
      </w:pPr>
      <w:bookmarkStart w:id="475" w:name="Elkera_Print_TOC215"/>
      <w:bookmarkStart w:id="476" w:name="id4367e338_1907_42bd_a217_2e9b116c0fa1_e"/>
      <w:r>
        <w:t>120—Description of pipeline</w:t>
      </w:r>
      <w:bookmarkEnd w:id="475"/>
      <w:bookmarkEnd w:id="476"/>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The pipeline management plan must include a comprehensive description of—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design for the pipeline, the route corridor in which the pipeline is to be constructed, the pipeline's interface start and end positions, and the way in which the pipeline is to be constructed;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the matters agreed under </w:t>
      </w:r>
      <w:hyperlink w:anchor="id2a32637c_a06b_482e_8c6d_1df6e1188d3c_c" w:history="1">
        <w:r>
          <w:rPr>
            <w:color w:val="000000"/>
            <w:sz w:val="23"/>
            <w:szCs w:val="23"/>
          </w:rPr>
          <w:t>regulation 102(a)</w:t>
        </w:r>
      </w:hyperlink>
      <w:r>
        <w:rPr>
          <w:color w:val="000000"/>
          <w:sz w:val="23"/>
          <w:szCs w:val="23"/>
        </w:rPr>
        <w:t xml:space="preserve"> relating to the design and construction of the pipeline;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 xml:space="preserve">the matters agreed under </w:t>
      </w:r>
      <w:hyperlink w:anchor="idf5fda2ee_e969_4363_b230_95a849d431cd_7" w:history="1">
        <w:r>
          <w:rPr>
            <w:color w:val="000000"/>
            <w:sz w:val="23"/>
            <w:szCs w:val="23"/>
          </w:rPr>
          <w:t>regulation 108(a)</w:t>
        </w:r>
      </w:hyperlink>
      <w:r>
        <w:rPr>
          <w:color w:val="000000"/>
          <w:sz w:val="23"/>
          <w:szCs w:val="23"/>
        </w:rPr>
        <w:t xml:space="preserve"> relating to the operation of the pipeline; and</w:t>
      </w:r>
    </w:p>
    <w:p w:rsidR="00A53148" w:rsidRDefault="00A53148" w:rsidP="00762261">
      <w:pPr>
        <w:spacing w:after="0" w:line="240" w:lineRule="auto"/>
        <w:jc w:val="left"/>
        <w:rPr>
          <w:color w:val="000000"/>
          <w:sz w:val="23"/>
          <w:szCs w:val="23"/>
        </w:rPr>
      </w:pPr>
      <w:r>
        <w:rPr>
          <w:color w:val="000000"/>
          <w:sz w:val="23"/>
          <w:szCs w:val="23"/>
        </w:rPr>
        <w:br w:type="page"/>
      </w:r>
    </w:p>
    <w:p w:rsidR="00A53148" w:rsidRDefault="00A53148" w:rsidP="00762261">
      <w:pPr>
        <w:pStyle w:val="RegSpace"/>
        <w:jc w:val="left"/>
      </w:pP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 compositions of petroleum that are to be conveyed through the pipeline when it is operating;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the safe operating limits for conveying those compositions through the pipeline.</w:t>
      </w:r>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1588"/>
        <w:jc w:val="left"/>
        <w:rPr>
          <w:color w:val="000000"/>
          <w:sz w:val="20"/>
          <w:szCs w:val="20"/>
        </w:rPr>
      </w:pPr>
      <w:r>
        <w:rPr>
          <w:color w:val="000000"/>
          <w:sz w:val="20"/>
          <w:szCs w:val="20"/>
        </w:rPr>
        <w:t xml:space="preserve">An offence under </w:t>
      </w:r>
      <w:hyperlink w:anchor="id2f0df0ef_429f_4f00_b772_b6987b42db65_a" w:history="1">
        <w:r>
          <w:rPr>
            <w:color w:val="000000"/>
            <w:sz w:val="20"/>
            <w:szCs w:val="20"/>
          </w:rPr>
          <w:t>regulation 106</w:t>
        </w:r>
      </w:hyperlink>
      <w:r>
        <w:rPr>
          <w:color w:val="000000"/>
          <w:sz w:val="20"/>
          <w:szCs w:val="20"/>
        </w:rPr>
        <w:t xml:space="preserve"> is committed if a pipeline licensee fails to inform the Minister of the exact route followed by the pipeline. This information is to be given as soon as practicable after construction of the pipeline is completed, but in any case, within 3 months after a consent to operate the pipeline is granted.</w:t>
      </w:r>
    </w:p>
    <w:p w:rsidR="0065609F" w:rsidRDefault="0065609F" w:rsidP="00762261">
      <w:pPr>
        <w:pStyle w:val="clauseheadlevel4"/>
      </w:pPr>
      <w:bookmarkStart w:id="477" w:name="Elkera_Print_TOC217"/>
      <w:bookmarkStart w:id="478" w:name="ida75a6eb9_3e14_40e9_acb7_56b3154583d0_a"/>
      <w:r>
        <w:t>121—Description of pipeline management system</w:t>
      </w:r>
      <w:bookmarkEnd w:id="477"/>
      <w:bookmarkEnd w:id="478"/>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The pipeline management plan must include a comprehensive description or assessment of, or demonstration of the effectiveness of—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risk of significant pipeline accident events and other risks to the integrity of the pipeline associated with the design, construction, modification and decommissioning of the pipeline;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measures that have been, or will be, implemented to reduce the risks to levels that are as low as reasonably practicable;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systems used to identify, evaluate and manage the risks and measures;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 arrangements for monitoring, auditing and reviewing those systems, including the arrangements for continual and systematic identification of deficiencies of those systems and ways in which the systems could be improved.</w:t>
      </w:r>
    </w:p>
    <w:p w:rsidR="0065609F" w:rsidRDefault="0065609F" w:rsidP="00762261">
      <w:pPr>
        <w:pStyle w:val="clauseheadlevel4"/>
      </w:pPr>
      <w:bookmarkStart w:id="479" w:name="Elkera_Print_TOC219"/>
      <w:bookmarkStart w:id="480" w:name="id51fc7f5f_719e_4ea2_944a_2b4a213f2565_9"/>
      <w:r>
        <w:t>122—Statement of standards</w:t>
      </w:r>
      <w:bookmarkEnd w:id="479"/>
      <w:bookmarkEnd w:id="480"/>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The pipeline management plan must include a statement about the Australian and international standards applied, or to be applied, to the design, construction, operation, modification and decommissioning of the pipeline.</w:t>
      </w:r>
    </w:p>
    <w:p w:rsidR="0065609F" w:rsidRDefault="0065609F" w:rsidP="00762261">
      <w:pPr>
        <w:pStyle w:val="clauseheadlevel4"/>
      </w:pPr>
      <w:bookmarkStart w:id="481" w:name="Elkera_Print_TOC221"/>
      <w:bookmarkStart w:id="482" w:name="id51aba9e4_1288_4fca_abcc_53d9570c9824_e"/>
      <w:r>
        <w:t>123—Arrangements for documents</w:t>
      </w:r>
      <w:bookmarkEnd w:id="481"/>
      <w:bookmarkEnd w:id="482"/>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The pipeline management plan must include arrangements for—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recording and making available documents and other records mentioned in </w:t>
      </w:r>
      <w:hyperlink w:anchor="ide87fe8ca_f569_4583_9c58_2d0b7bc4f5ed_f" w:history="1">
        <w:r>
          <w:rPr>
            <w:color w:val="000000"/>
            <w:sz w:val="23"/>
            <w:szCs w:val="23"/>
          </w:rPr>
          <w:t>subregulation (2)</w:t>
        </w:r>
      </w:hyperlink>
      <w:r>
        <w:rPr>
          <w:color w:val="000000"/>
          <w:sz w:val="23"/>
          <w:szCs w:val="23"/>
        </w:rPr>
        <w:t xml:space="preserve"> for the pipeline;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securely storing those documents and records at the address maintained under </w:t>
      </w:r>
      <w:hyperlink w:anchor="idac6570d9_937c_4af3_b84b_562f7b991b19_7" w:history="1">
        <w:r>
          <w:rPr>
            <w:color w:val="000000"/>
            <w:sz w:val="23"/>
            <w:szCs w:val="23"/>
          </w:rPr>
          <w:t>regulation 154</w:t>
        </w:r>
      </w:hyperlink>
      <w:r>
        <w:rPr>
          <w:color w:val="000000"/>
          <w:sz w:val="23"/>
          <w:szCs w:val="23"/>
        </w:rPr>
        <w:t xml:space="preserve"> and in a way that makes their retrieval reasonably practicable.</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83" w:name="ide87fe8ca_f569_4583_9c58_2d0b7bc4f5ed_f"/>
      <w:r>
        <w:rPr>
          <w:color w:val="000000"/>
          <w:sz w:val="23"/>
          <w:szCs w:val="23"/>
        </w:rPr>
        <w:tab/>
        <w:t>(2)</w:t>
      </w:r>
      <w:r>
        <w:rPr>
          <w:color w:val="000000"/>
          <w:sz w:val="23"/>
          <w:szCs w:val="23"/>
        </w:rPr>
        <w:tab/>
        <w:t>The documents or other records are the following:</w:t>
      </w:r>
      <w:bookmarkEnd w:id="483"/>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484" w:name="id8ee34409_783e_40f9_8f52_7fbf57d8583f_c"/>
      <w:r>
        <w:rPr>
          <w:color w:val="000000"/>
          <w:sz w:val="23"/>
          <w:szCs w:val="23"/>
        </w:rPr>
        <w:tab/>
        <w:t>(a)</w:t>
      </w:r>
      <w:r>
        <w:rPr>
          <w:color w:val="000000"/>
          <w:sz w:val="23"/>
          <w:szCs w:val="23"/>
        </w:rPr>
        <w:tab/>
        <w:t>a pipeline management plan in force for the pipeline;</w:t>
      </w:r>
      <w:bookmarkEnd w:id="484"/>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485" w:name="id580bdacf_77ca_477d_ad44_20473d3017f1_8"/>
      <w:r>
        <w:rPr>
          <w:color w:val="000000"/>
          <w:sz w:val="23"/>
          <w:szCs w:val="23"/>
        </w:rPr>
        <w:tab/>
        <w:t>(b)</w:t>
      </w:r>
      <w:r>
        <w:rPr>
          <w:color w:val="000000"/>
          <w:sz w:val="23"/>
          <w:szCs w:val="23"/>
        </w:rPr>
        <w:tab/>
        <w:t>revisions of the pipeline management plan;</w:t>
      </w:r>
      <w:bookmarkEnd w:id="485"/>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486" w:name="idc309f09a_2284_4e05_aefd_448f2f1bc236_8"/>
      <w:r>
        <w:rPr>
          <w:color w:val="000000"/>
          <w:sz w:val="23"/>
          <w:szCs w:val="23"/>
        </w:rPr>
        <w:tab/>
        <w:t>(c)</w:t>
      </w:r>
      <w:r>
        <w:rPr>
          <w:color w:val="000000"/>
          <w:sz w:val="23"/>
          <w:szCs w:val="23"/>
        </w:rPr>
        <w:tab/>
        <w:t xml:space="preserve">records of reportable incidents made in compliance with </w:t>
      </w:r>
      <w:hyperlink w:anchor="id0fbb978d_0f24_4f06_837f_d246a73523c3_d" w:history="1">
        <w:r>
          <w:rPr>
            <w:color w:val="000000"/>
            <w:sz w:val="23"/>
            <w:szCs w:val="23"/>
          </w:rPr>
          <w:t>regulation 148</w:t>
        </w:r>
      </w:hyperlink>
      <w:r>
        <w:rPr>
          <w:color w:val="000000"/>
          <w:sz w:val="23"/>
          <w:szCs w:val="23"/>
        </w:rPr>
        <w:t>.</w:t>
      </w:r>
      <w:bookmarkEnd w:id="486"/>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A document mentioned in </w:t>
      </w:r>
      <w:hyperlink w:anchor="id8ee34409_783e_40f9_8f52_7fbf57d8583f_c" w:history="1">
        <w:r>
          <w:rPr>
            <w:color w:val="000000"/>
            <w:sz w:val="23"/>
            <w:szCs w:val="23"/>
          </w:rPr>
          <w:t>subregulation (2)(a)</w:t>
        </w:r>
      </w:hyperlink>
      <w:r>
        <w:rPr>
          <w:color w:val="000000"/>
          <w:sz w:val="23"/>
          <w:szCs w:val="23"/>
        </w:rPr>
        <w:t xml:space="preserve"> or </w:t>
      </w:r>
      <w:hyperlink w:anchor="id580bdacf_77ca_477d_ad44_20473d3017f1_8" w:history="1">
        <w:r>
          <w:rPr>
            <w:color w:val="000000"/>
            <w:sz w:val="23"/>
            <w:szCs w:val="23"/>
          </w:rPr>
          <w:t>(b)</w:t>
        </w:r>
      </w:hyperlink>
      <w:r>
        <w:rPr>
          <w:color w:val="000000"/>
          <w:sz w:val="23"/>
          <w:szCs w:val="23"/>
        </w:rPr>
        <w:t xml:space="preserve"> must be kept for 5 years from the acceptance of the document.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 xml:space="preserve">A record mentioned in </w:t>
      </w:r>
      <w:hyperlink w:anchor="idc309f09a_2284_4e05_aefd_448f2f1bc236_8" w:history="1">
        <w:r>
          <w:rPr>
            <w:color w:val="000000"/>
            <w:sz w:val="23"/>
            <w:szCs w:val="23"/>
          </w:rPr>
          <w:t>subregulation (2)(c)</w:t>
        </w:r>
      </w:hyperlink>
      <w:r>
        <w:rPr>
          <w:color w:val="000000"/>
          <w:sz w:val="23"/>
          <w:szCs w:val="23"/>
        </w:rPr>
        <w:t xml:space="preserve"> must be kept for 5 years from the making of the record.</w:t>
      </w:r>
    </w:p>
    <w:p w:rsidR="00455F04" w:rsidRDefault="00455F04" w:rsidP="00762261">
      <w:pPr>
        <w:spacing w:after="0" w:line="240" w:lineRule="auto"/>
        <w:jc w:val="left"/>
        <w:rPr>
          <w:rFonts w:eastAsia="Times New Roman"/>
          <w:b/>
          <w:bCs/>
          <w:color w:val="000000"/>
          <w:sz w:val="26"/>
          <w:szCs w:val="26"/>
          <w:lang w:eastAsia="en-AU"/>
        </w:rPr>
      </w:pPr>
      <w:bookmarkStart w:id="487" w:name="Elkera_Print_TOC223"/>
      <w:bookmarkStart w:id="488" w:name="idfe22233f_e060_4f4d_85ba_06b8bce93027_3"/>
      <w:r>
        <w:br w:type="page"/>
      </w:r>
    </w:p>
    <w:p w:rsidR="00455F04" w:rsidRDefault="00455F04" w:rsidP="00762261">
      <w:pPr>
        <w:pStyle w:val="RegSpace"/>
        <w:jc w:val="left"/>
      </w:pPr>
    </w:p>
    <w:p w:rsidR="0065609F" w:rsidRDefault="0065609F" w:rsidP="00762261">
      <w:pPr>
        <w:pStyle w:val="clauseheadlevel4"/>
      </w:pPr>
      <w:r>
        <w:t>124—Arrangements for reporting</w:t>
      </w:r>
      <w:bookmarkEnd w:id="487"/>
      <w:bookmarkEnd w:id="488"/>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The pipeline management plan must include arrangements for reporting to the Minister about the design, construction, operation, modification and decommissioning of the pipeline, at intervals agreed with the Minister, but not less often than annually.</w:t>
      </w:r>
    </w:p>
    <w:p w:rsidR="0065609F" w:rsidRDefault="0065609F" w:rsidP="00762261">
      <w:pPr>
        <w:pStyle w:val="subdivisionheadlevel3"/>
      </w:pPr>
      <w:bookmarkStart w:id="489" w:name="Elkera_Print_TOC224"/>
      <w:bookmarkStart w:id="490" w:name="Elkera_Print_BK224"/>
      <w:r>
        <w:t>Subdivision 3—Revision of a pipeline management plan</w:t>
      </w:r>
      <w:bookmarkEnd w:id="489"/>
      <w:bookmarkEnd w:id="490"/>
    </w:p>
    <w:p w:rsidR="0065609F" w:rsidRDefault="0065609F" w:rsidP="00762261">
      <w:pPr>
        <w:pStyle w:val="clauseheadlevel4"/>
      </w:pPr>
      <w:bookmarkStart w:id="491" w:name="Elkera_Print_TOC226"/>
      <w:bookmarkStart w:id="492" w:name="id33df2c3b_9bd5_436c_a109_59fdc7f29b40_9"/>
      <w:r>
        <w:t>125—Revision because of a change, or proposed change, of circumstances or operations</w:t>
      </w:r>
      <w:bookmarkEnd w:id="491"/>
      <w:bookmarkEnd w:id="492"/>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A pipeline licensee for a pipeline for which a pipeline management plan is in force must submit to the Minister a proposed revision of the plan as soon as practicable after any of the circumstances mentioned in </w:t>
      </w:r>
      <w:hyperlink w:anchor="ide4d56fce_6937_4b3d_9ac6_a02d8306f3f7_7" w:history="1">
        <w:r>
          <w:rPr>
            <w:color w:val="000000"/>
            <w:sz w:val="23"/>
            <w:szCs w:val="23"/>
          </w:rPr>
          <w:t>subregulation (3)</w:t>
        </w:r>
      </w:hyperlink>
      <w:r>
        <w:rPr>
          <w:color w:val="000000"/>
          <w:sz w:val="23"/>
          <w:szCs w:val="23"/>
        </w:rPr>
        <w:t xml:space="preserve"> is satisfied.</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93" w:name="id0a9f97d7_2fd2_429d_b16f_aacf9208776f_d"/>
      <w:r>
        <w:rPr>
          <w:color w:val="000000"/>
          <w:sz w:val="23"/>
          <w:szCs w:val="23"/>
        </w:rPr>
        <w:tab/>
        <w:t>(2)</w:t>
      </w:r>
      <w:r>
        <w:rPr>
          <w:color w:val="000000"/>
          <w:sz w:val="23"/>
          <w:szCs w:val="23"/>
        </w:rPr>
        <w:tab/>
        <w:t xml:space="preserve">However, if a circumstance mentioned in </w:t>
      </w:r>
      <w:hyperlink w:anchor="ide4d56fce_6937_4b3d_9ac6_a02d8306f3f7_7" w:history="1">
        <w:r>
          <w:rPr>
            <w:color w:val="000000"/>
            <w:sz w:val="23"/>
            <w:szCs w:val="23"/>
          </w:rPr>
          <w:t>subregulation (3)</w:t>
        </w:r>
      </w:hyperlink>
      <w:r>
        <w:rPr>
          <w:color w:val="000000"/>
          <w:sz w:val="23"/>
          <w:szCs w:val="23"/>
        </w:rPr>
        <w:t xml:space="preserve"> is satisfied because the licensee proposes to modify or decommission the pipeline, the licensee must not submit the proposed revision before the licensee and Minister have agreed on the scope of the validation of the proposal to revise the plan.</w:t>
      </w:r>
      <w:bookmarkEnd w:id="493"/>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94" w:name="ide4d56fce_6937_4b3d_9ac6_a02d8306f3f7_7"/>
      <w:r>
        <w:rPr>
          <w:color w:val="000000"/>
          <w:sz w:val="23"/>
          <w:szCs w:val="23"/>
        </w:rPr>
        <w:tab/>
        <w:t>(3)</w:t>
      </w:r>
      <w:r>
        <w:rPr>
          <w:color w:val="000000"/>
          <w:sz w:val="23"/>
          <w:szCs w:val="23"/>
        </w:rPr>
        <w:tab/>
        <w:t>A need to revise a plan arises if—</w:t>
      </w:r>
      <w:bookmarkEnd w:id="494"/>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there are reasonable grounds for believing that the technical knowledge relied upon to formulate the plan is outdated and accordingly the plan no longer adequately provides for—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 xml:space="preserve">the matters mentioned in </w:t>
      </w:r>
      <w:hyperlink w:anchor="idc95023ac_1247_411b_91b7_acbe19abb709_c" w:history="1">
        <w:r>
          <w:rPr>
            <w:color w:val="000000"/>
            <w:sz w:val="23"/>
            <w:szCs w:val="23"/>
          </w:rPr>
          <w:t>regulations 119</w:t>
        </w:r>
      </w:hyperlink>
      <w:r>
        <w:rPr>
          <w:color w:val="000000"/>
          <w:sz w:val="23"/>
          <w:szCs w:val="23"/>
        </w:rPr>
        <w:t xml:space="preserve">, </w:t>
      </w:r>
      <w:hyperlink w:anchor="id4367e338_1907_42bd_a217_2e9b116c0fa1_e" w:history="1">
        <w:r>
          <w:rPr>
            <w:color w:val="000000"/>
            <w:sz w:val="23"/>
            <w:szCs w:val="23"/>
          </w:rPr>
          <w:t>120</w:t>
        </w:r>
      </w:hyperlink>
      <w:r>
        <w:rPr>
          <w:color w:val="000000"/>
          <w:sz w:val="23"/>
          <w:szCs w:val="23"/>
        </w:rPr>
        <w:t xml:space="preserve">, </w:t>
      </w:r>
      <w:hyperlink w:anchor="ida75a6eb9_3e14_40e9_acb7_56b3154583d0_a" w:history="1">
        <w:r>
          <w:rPr>
            <w:color w:val="000000"/>
            <w:sz w:val="23"/>
            <w:szCs w:val="23"/>
          </w:rPr>
          <w:t>121</w:t>
        </w:r>
      </w:hyperlink>
      <w:r>
        <w:rPr>
          <w:color w:val="000000"/>
          <w:sz w:val="23"/>
          <w:szCs w:val="23"/>
        </w:rPr>
        <w:t xml:space="preserve">, </w:t>
      </w:r>
      <w:hyperlink w:anchor="id51fc7f5f_719e_4ea2_944a_2b4a213f2565_9" w:history="1">
        <w:r>
          <w:rPr>
            <w:color w:val="000000"/>
            <w:sz w:val="23"/>
            <w:szCs w:val="23"/>
          </w:rPr>
          <w:t>122</w:t>
        </w:r>
      </w:hyperlink>
      <w:r>
        <w:rPr>
          <w:color w:val="000000"/>
          <w:sz w:val="23"/>
          <w:szCs w:val="23"/>
        </w:rPr>
        <w:t xml:space="preserve"> and </w:t>
      </w:r>
      <w:hyperlink w:anchor="idfe22233f_e060_4f4d_85ba_06b8bce93027_3" w:history="1">
        <w:r>
          <w:rPr>
            <w:color w:val="000000"/>
            <w:sz w:val="23"/>
            <w:szCs w:val="23"/>
          </w:rPr>
          <w:t>124</w:t>
        </w:r>
      </w:hyperlink>
      <w:r>
        <w:rPr>
          <w:color w:val="000000"/>
          <w:sz w:val="23"/>
          <w:szCs w:val="23"/>
        </w:rPr>
        <w:t xml:space="preserve"> for the stages connected with the life of the pipeline mentioned in </w:t>
      </w:r>
      <w:hyperlink w:anchor="id38bacb2c_20d3_4fe6_89e4_3817263f902a_d" w:history="1">
        <w:r>
          <w:rPr>
            <w:color w:val="000000"/>
            <w:sz w:val="23"/>
            <w:szCs w:val="23"/>
          </w:rPr>
          <w:t>regulation 114</w:t>
        </w:r>
      </w:hyperlink>
      <w:r>
        <w:rPr>
          <w:color w:val="000000"/>
          <w:sz w:val="23"/>
          <w:szCs w:val="23"/>
        </w:rPr>
        <w:t xml:space="preserve"> for which the plan is in force;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 xml:space="preserve">the matters mentioned in </w:t>
      </w:r>
      <w:hyperlink w:anchor="id51aba9e4_1288_4fca_abcc_53d9570c9824_e" w:history="1">
        <w:r>
          <w:rPr>
            <w:color w:val="000000"/>
            <w:sz w:val="23"/>
            <w:szCs w:val="23"/>
          </w:rPr>
          <w:t>regulation 123</w:t>
        </w:r>
      </w:hyperlink>
      <w:r>
        <w:rPr>
          <w:color w:val="000000"/>
          <w:sz w:val="23"/>
          <w:szCs w:val="23"/>
        </w:rPr>
        <w:t>;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developments in systems for identifying and evaluating risks of significant pipeline accident events, or risks to the integrity of the pipeline, make it appropriate to revise the plan;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there are reasonable grounds for believing that a series of proposed modifications to the pipeline would result in a significant cumulative change in the overall level of risk—</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of significant pipeline accident events;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to the integrity of the pipeline;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there are reasonable grounds for believing that a proposed modification to the pipeline would—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significantly influence the level of a particular risk of a significant pipeline accident event or a risk to the integrity of the pipeline;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significantly change the ranking of factors contributing to those risks;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 xml:space="preserve">the licensee proposes to significantly change the pipeline management system mentioned in </w:t>
      </w:r>
      <w:hyperlink w:anchor="ida75a6eb9_3e14_40e9_acb7_56b3154583d0_a" w:history="1">
        <w:r>
          <w:rPr>
            <w:color w:val="000000"/>
            <w:sz w:val="23"/>
            <w:szCs w:val="23"/>
          </w:rPr>
          <w:t>regulation 121</w:t>
        </w:r>
      </w:hyperlink>
      <w:r>
        <w:rPr>
          <w:color w:val="000000"/>
          <w:sz w:val="23"/>
          <w:szCs w:val="23"/>
        </w:rPr>
        <w:t xml:space="preserve"> for identifying, evaluating and managing risks—</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of significant pipeline accident events;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to the integrity of the pipeline; or</w:t>
      </w:r>
    </w:p>
    <w:p w:rsidR="00A04450" w:rsidRDefault="00A04450" w:rsidP="00762261">
      <w:pPr>
        <w:spacing w:after="0" w:line="240" w:lineRule="auto"/>
        <w:jc w:val="left"/>
        <w:rPr>
          <w:color w:val="000000"/>
          <w:sz w:val="23"/>
          <w:szCs w:val="23"/>
        </w:rPr>
      </w:pPr>
      <w:r>
        <w:rPr>
          <w:color w:val="000000"/>
          <w:sz w:val="23"/>
          <w:szCs w:val="23"/>
        </w:rPr>
        <w:br w:type="page"/>
      </w:r>
    </w:p>
    <w:p w:rsidR="00A04450" w:rsidRDefault="00A04450" w:rsidP="00762261">
      <w:pPr>
        <w:pStyle w:val="RegSpace"/>
        <w:jc w:val="left"/>
      </w:pP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(f)</w:t>
      </w:r>
      <w:r>
        <w:rPr>
          <w:color w:val="000000"/>
          <w:sz w:val="23"/>
          <w:szCs w:val="23"/>
        </w:rPr>
        <w:tab/>
        <w:t>the compositions of petroleum conveyed in the pipeline are different from the compositions contemplated in the plan;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(g)</w:t>
      </w:r>
      <w:r>
        <w:rPr>
          <w:color w:val="000000"/>
          <w:sz w:val="23"/>
          <w:szCs w:val="23"/>
        </w:rPr>
        <w:tab/>
        <w:t>the licensee proposes to modify or decommission the pipeline and that proposal is not satisfactorily addressed in the plan;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(h)</w:t>
      </w:r>
      <w:r>
        <w:rPr>
          <w:color w:val="000000"/>
          <w:sz w:val="23"/>
          <w:szCs w:val="23"/>
        </w:rPr>
        <w:tab/>
        <w:t>developments in environmental conditions that affect design conditions make it appropriate to revise the plan.</w:t>
      </w:r>
    </w:p>
    <w:p w:rsidR="0065609F" w:rsidRDefault="0065609F" w:rsidP="00762261">
      <w:pPr>
        <w:pStyle w:val="clauseheadlevel4"/>
      </w:pPr>
      <w:bookmarkStart w:id="495" w:name="Elkera_Print_TOC228"/>
      <w:bookmarkStart w:id="496" w:name="id614cd66c_99e8_40c1_866c_6dcf27e65ab6_a"/>
      <w:r>
        <w:t>126—Revision on request by the Minister</w:t>
      </w:r>
      <w:bookmarkEnd w:id="495"/>
      <w:bookmarkEnd w:id="496"/>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97" w:name="ida5b5ae02_f352_450f_84b0_7ba4eab1a1b3_c"/>
      <w:r>
        <w:rPr>
          <w:color w:val="000000"/>
          <w:sz w:val="23"/>
          <w:szCs w:val="23"/>
        </w:rPr>
        <w:tab/>
        <w:t>(1)</w:t>
      </w:r>
      <w:r>
        <w:rPr>
          <w:color w:val="000000"/>
          <w:sz w:val="23"/>
          <w:szCs w:val="23"/>
        </w:rPr>
        <w:tab/>
        <w:t>The Minister may request a pipeline licensee for a pipeline for which a pipeline management plan is in force to submit to the Minister a proposed revision of the plan.</w:t>
      </w:r>
      <w:bookmarkEnd w:id="497"/>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 request by the Minister must be in writing and include the following information: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matters to be addressed by the revision;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proposed date of effect of the revision;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grounds for the request.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98" w:name="id23afb8ef_dbd3_4067_b0a5_66543c6e8e69_f"/>
      <w:r>
        <w:rPr>
          <w:color w:val="000000"/>
          <w:sz w:val="23"/>
          <w:szCs w:val="23"/>
        </w:rPr>
        <w:tab/>
        <w:t>(3)</w:t>
      </w:r>
      <w:r>
        <w:rPr>
          <w:color w:val="000000"/>
          <w:sz w:val="23"/>
          <w:szCs w:val="23"/>
        </w:rPr>
        <w:tab/>
        <w:t>The licensee may make a submission in writing to the Minister stating the reasons for which the licensee believes—</w:t>
      </w:r>
      <w:bookmarkEnd w:id="498"/>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revision should not occur;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revision should be in different terms from the proposed terms;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revision should take effect on a date after the proposed date.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499" w:name="id81d8b3e2_c1b2_4881_938b_0caf573e7b25_c"/>
      <w:r>
        <w:rPr>
          <w:color w:val="000000"/>
          <w:sz w:val="23"/>
          <w:szCs w:val="23"/>
        </w:rPr>
        <w:tab/>
        <w:t>(4)</w:t>
      </w:r>
      <w:r>
        <w:rPr>
          <w:color w:val="000000"/>
          <w:sz w:val="23"/>
          <w:szCs w:val="23"/>
        </w:rPr>
        <w:tab/>
        <w:t>A submission by the licensee must be made within 21 days after receiving the request, or within any longer period that the Minister allows in writing.</w:t>
      </w:r>
      <w:bookmarkEnd w:id="499"/>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(5)</w:t>
      </w:r>
      <w:r>
        <w:rPr>
          <w:color w:val="000000"/>
          <w:sz w:val="23"/>
          <w:szCs w:val="23"/>
        </w:rPr>
        <w:tab/>
        <w:t xml:space="preserve">If a submission complies with </w:t>
      </w:r>
      <w:hyperlink w:anchor="id23afb8ef_dbd3_4067_b0a5_66543c6e8e69_f" w:history="1">
        <w:r>
          <w:rPr>
            <w:color w:val="000000"/>
            <w:sz w:val="23"/>
            <w:szCs w:val="23"/>
          </w:rPr>
          <w:t>subregulations (3)</w:t>
        </w:r>
      </w:hyperlink>
      <w:r>
        <w:rPr>
          <w:color w:val="000000"/>
          <w:sz w:val="23"/>
          <w:szCs w:val="23"/>
        </w:rPr>
        <w:t xml:space="preserve"> and </w:t>
      </w:r>
      <w:hyperlink w:anchor="id81d8b3e2_c1b2_4881_938b_0caf573e7b25_c" w:history="1">
        <w:r>
          <w:rPr>
            <w:color w:val="000000"/>
            <w:sz w:val="23"/>
            <w:szCs w:val="23"/>
          </w:rPr>
          <w:t>(4)</w:t>
        </w:r>
      </w:hyperlink>
      <w:r>
        <w:rPr>
          <w:color w:val="000000"/>
          <w:sz w:val="23"/>
          <w:szCs w:val="23"/>
        </w:rPr>
        <w:t>, the Minister must—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decide whether to accept the reasons stated in the submission;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give the licensee written notice of the decision;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to the extent (if any) that the Minister accepts the reasons, give the licensee written notice that varies or withdraws the request in accordance with the decision;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to the extent (if any) that the Minister does not accept the reasons, give the licensee written notice of the grounds for not accepting them.</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(6)</w:t>
      </w:r>
      <w:r>
        <w:rPr>
          <w:color w:val="000000"/>
          <w:sz w:val="23"/>
          <w:szCs w:val="23"/>
        </w:rPr>
        <w:tab/>
        <w:t>The licensee must comply with the request (as varied under this regulation) as soon as practicable.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(7)</w:t>
      </w:r>
      <w:r>
        <w:rPr>
          <w:color w:val="000000"/>
          <w:sz w:val="23"/>
          <w:szCs w:val="23"/>
        </w:rPr>
        <w:tab/>
        <w:t>However, the licensee is not required to comply with the request if the request is withdrawn under this regulation.</w:t>
      </w:r>
    </w:p>
    <w:p w:rsidR="0065609F" w:rsidRDefault="0065609F" w:rsidP="00762261">
      <w:pPr>
        <w:pStyle w:val="clauseheadlevel4"/>
      </w:pPr>
      <w:bookmarkStart w:id="500" w:name="Elkera_Print_TOC230"/>
      <w:bookmarkStart w:id="501" w:name="ida8c71cc7_cced_4034_a686_427bd4698c95_3"/>
      <w:r>
        <w:t>127—Revision at the end of each 5 years</w:t>
      </w:r>
      <w:bookmarkEnd w:id="500"/>
      <w:bookmarkEnd w:id="501"/>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A pipeline licensee for a pipeline for which a pipeline management plan is in force must submit to the Minister a proposed revision of the plan (whether or not a proposal has been submitted under </w:t>
      </w:r>
      <w:hyperlink w:anchor="id33df2c3b_9bd5_436c_a109_59fdc7f29b40_9" w:history="1">
        <w:r>
          <w:rPr>
            <w:color w:val="000000"/>
            <w:sz w:val="23"/>
            <w:szCs w:val="23"/>
          </w:rPr>
          <w:t>regulation 125</w:t>
        </w:r>
      </w:hyperlink>
      <w:r>
        <w:rPr>
          <w:color w:val="000000"/>
          <w:sz w:val="23"/>
          <w:szCs w:val="23"/>
        </w:rPr>
        <w:t xml:space="preserve"> or </w:t>
      </w:r>
      <w:hyperlink w:anchor="id614cd66c_99e8_40c1_866c_6dcf27e65ab6_a" w:history="1">
        <w:r>
          <w:rPr>
            <w:color w:val="000000"/>
            <w:sz w:val="23"/>
            <w:szCs w:val="23"/>
          </w:rPr>
          <w:t>126</w:t>
        </w:r>
      </w:hyperlink>
      <w:r>
        <w:rPr>
          <w:color w:val="000000"/>
          <w:sz w:val="23"/>
          <w:szCs w:val="23"/>
        </w:rPr>
        <w: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at the end of the 5 years starting on the day the pipeline management plan is first accepted under </w:t>
      </w:r>
      <w:hyperlink w:anchor="id5cc73a29_4f77_46a8_ac04_58d7014a02bf_9" w:history="1">
        <w:r>
          <w:rPr>
            <w:color w:val="000000"/>
            <w:sz w:val="23"/>
            <w:szCs w:val="23"/>
          </w:rPr>
          <w:t>regulation 117</w:t>
        </w:r>
      </w:hyperlink>
      <w:r>
        <w:rPr>
          <w:color w:val="000000"/>
          <w:sz w:val="23"/>
          <w:szCs w:val="23"/>
        </w:rPr>
        <w:t xml:space="preserve"> by the Minister; and</w:t>
      </w:r>
    </w:p>
    <w:p w:rsidR="005E2E93" w:rsidRDefault="005E2E93" w:rsidP="00762261">
      <w:pPr>
        <w:spacing w:after="0" w:line="240" w:lineRule="auto"/>
        <w:jc w:val="left"/>
        <w:rPr>
          <w:color w:val="000000"/>
          <w:sz w:val="23"/>
          <w:szCs w:val="23"/>
        </w:rPr>
      </w:pPr>
      <w:r>
        <w:rPr>
          <w:color w:val="000000"/>
          <w:sz w:val="23"/>
          <w:szCs w:val="23"/>
        </w:rPr>
        <w:br w:type="page"/>
      </w:r>
    </w:p>
    <w:p w:rsidR="005E2E93" w:rsidRDefault="005E2E93" w:rsidP="00762261">
      <w:pPr>
        <w:pStyle w:val="RegSpace"/>
        <w:jc w:val="left"/>
      </w:pP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at the end of each 5 years starting on the day of the most recent acceptance, by the Minister, of a revision submitted under this regulation.</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 revision submitted under this regulation must include—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information about measures for ensuring the ongoing integrity of the pipeline;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details of the maximum allowable operating pressure for the pipeline.</w:t>
      </w:r>
    </w:p>
    <w:p w:rsidR="0065609F" w:rsidRDefault="0065609F" w:rsidP="00762261">
      <w:pPr>
        <w:pStyle w:val="clauseheadlevel4"/>
      </w:pPr>
      <w:bookmarkStart w:id="502" w:name="Elkera_Print_TOC231"/>
      <w:bookmarkStart w:id="503" w:name="Elkera_Print_BK231"/>
      <w:r>
        <w:t>128—Form of proposed revision</w:t>
      </w:r>
      <w:bookmarkEnd w:id="502"/>
      <w:bookmarkEnd w:id="503"/>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A proposed revision must be in the form of a revised pipeline management plan or, if the pipeline licensee and the Minister agree, a revised part of the pipeline management plan.</w:t>
      </w:r>
    </w:p>
    <w:p w:rsidR="0065609F" w:rsidRDefault="0065609F" w:rsidP="00762261">
      <w:pPr>
        <w:pStyle w:val="clauseheadlevel4"/>
      </w:pPr>
      <w:bookmarkStart w:id="504" w:name="Elkera_Print_TOC233"/>
      <w:bookmarkStart w:id="505" w:name="id3108c788_e559_491a_b443_c537f14975b7_d"/>
      <w:r>
        <w:t>129—Time limit for accepting or not accepting a proposed revision</w:t>
      </w:r>
      <w:bookmarkEnd w:id="504"/>
      <w:bookmarkEnd w:id="505"/>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06" w:name="idf66f6419_4962_4507_b5bd_ff0241715332_5"/>
      <w:r>
        <w:rPr>
          <w:color w:val="000000"/>
          <w:sz w:val="23"/>
          <w:szCs w:val="23"/>
        </w:rPr>
        <w:tab/>
        <w:t>(1)</w:t>
      </w:r>
      <w:r>
        <w:rPr>
          <w:color w:val="000000"/>
          <w:sz w:val="23"/>
          <w:szCs w:val="23"/>
        </w:rPr>
        <w:tab/>
        <w:t>Within 28 days after a pipeline licensee submits a proposed revision, the Minister must—</w:t>
      </w:r>
      <w:bookmarkEnd w:id="506"/>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accept the revision under </w:t>
      </w:r>
      <w:hyperlink w:anchor="id19f01783_b802_41a9_801a_b0aab9addf32_c" w:history="1">
        <w:r>
          <w:rPr>
            <w:color w:val="000000"/>
            <w:sz w:val="23"/>
            <w:szCs w:val="23"/>
          </w:rPr>
          <w:t>regulation 130</w:t>
        </w:r>
      </w:hyperlink>
      <w:r>
        <w:rPr>
          <w:color w:val="000000"/>
          <w:sz w:val="23"/>
          <w:szCs w:val="23"/>
        </w:rPr>
        <w:t>;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refuse to accept the revision;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give written notice to the pipeline licensee stating that the Minister is unable to make a decision about the revision within the period of 28 days, and setting out a proposed timetable for consideration of the revision.</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 failure by the Minister to comply with </w:t>
      </w:r>
      <w:hyperlink w:anchor="idf66f6419_4962_4507_b5bd_ff0241715332_5" w:history="1">
        <w:r>
          <w:rPr>
            <w:color w:val="000000"/>
            <w:sz w:val="23"/>
            <w:szCs w:val="23"/>
          </w:rPr>
          <w:t>subregulation (1)</w:t>
        </w:r>
      </w:hyperlink>
      <w:r>
        <w:rPr>
          <w:color w:val="000000"/>
          <w:sz w:val="23"/>
          <w:szCs w:val="23"/>
        </w:rPr>
        <w:t xml:space="preserve"> in relation to a proposed revision does not of itself invalidate a decision to accept or to refuse to accept the revision.</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This regulation applies to a proposed revision resubmitted under </w:t>
      </w:r>
      <w:hyperlink w:anchor="id5a12a03b_08cc_4a44_9bec_34d1e4eb790f_2" w:history="1">
        <w:r>
          <w:rPr>
            <w:color w:val="000000"/>
            <w:sz w:val="23"/>
            <w:szCs w:val="23"/>
          </w:rPr>
          <w:t>regulation 130(3)</w:t>
        </w:r>
      </w:hyperlink>
      <w:r>
        <w:rPr>
          <w:color w:val="000000"/>
          <w:sz w:val="23"/>
          <w:szCs w:val="23"/>
        </w:rPr>
        <w:t xml:space="preserve"> in the same way as it applies to the revision when first submitted.</w:t>
      </w:r>
    </w:p>
    <w:p w:rsidR="0065609F" w:rsidRDefault="0065609F" w:rsidP="00762261">
      <w:pPr>
        <w:pStyle w:val="clauseheadlevel4"/>
      </w:pPr>
      <w:bookmarkStart w:id="507" w:name="Elkera_Print_TOC235"/>
      <w:bookmarkStart w:id="508" w:name="id19f01783_b802_41a9_801a_b0aab9addf32_c"/>
      <w:r>
        <w:t>130—Acceptance of a proposed revision of a pipeline management plan</w:t>
      </w:r>
      <w:bookmarkEnd w:id="507"/>
      <w:bookmarkEnd w:id="508"/>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09" w:name="id0498da01_ccd6_498e_bcf1_7a2fb2802ed7_2"/>
      <w:r>
        <w:rPr>
          <w:color w:val="000000"/>
          <w:sz w:val="23"/>
          <w:szCs w:val="23"/>
        </w:rPr>
        <w:tab/>
        <w:t>(1)</w:t>
      </w:r>
      <w:r>
        <w:rPr>
          <w:color w:val="000000"/>
          <w:sz w:val="23"/>
          <w:szCs w:val="23"/>
        </w:rPr>
        <w:tab/>
        <w:t>The Minister must accept the proposed revision of the pipeline management plan only if—</w:t>
      </w:r>
      <w:bookmarkEnd w:id="509"/>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510" w:name="id59ad2f82_74d5_4be6_a7bb_08dab9829bb0_f"/>
      <w:r>
        <w:rPr>
          <w:color w:val="000000"/>
          <w:sz w:val="23"/>
          <w:szCs w:val="23"/>
        </w:rPr>
        <w:tab/>
        <w:t>(a)</w:t>
      </w:r>
      <w:r>
        <w:rPr>
          <w:color w:val="000000"/>
          <w:sz w:val="23"/>
          <w:szCs w:val="23"/>
        </w:rPr>
        <w:tab/>
        <w:t>there are reasonable grounds for believing that—</w:t>
      </w:r>
      <w:bookmarkEnd w:id="510"/>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revision is appropriate for the nature and proposed use of the pipeline;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 xml:space="preserve">the pipeline management plan, as revised by the proposed revision, would comply with </w:t>
      </w:r>
      <w:hyperlink w:anchor="idc95023ac_1247_411b_91b7_acbe19abb709_c" w:history="1">
        <w:r>
          <w:rPr>
            <w:color w:val="000000"/>
            <w:sz w:val="23"/>
            <w:szCs w:val="23"/>
          </w:rPr>
          <w:t>regulations 119</w:t>
        </w:r>
      </w:hyperlink>
      <w:r>
        <w:rPr>
          <w:color w:val="000000"/>
          <w:sz w:val="23"/>
          <w:szCs w:val="23"/>
        </w:rPr>
        <w:t xml:space="preserve">, </w:t>
      </w:r>
      <w:hyperlink w:anchor="id4367e338_1907_42bd_a217_2e9b116c0fa1_e" w:history="1">
        <w:r>
          <w:rPr>
            <w:color w:val="000000"/>
            <w:sz w:val="23"/>
            <w:szCs w:val="23"/>
          </w:rPr>
          <w:t>120</w:t>
        </w:r>
      </w:hyperlink>
      <w:r>
        <w:rPr>
          <w:color w:val="000000"/>
          <w:sz w:val="23"/>
          <w:szCs w:val="23"/>
        </w:rPr>
        <w:t xml:space="preserve">, </w:t>
      </w:r>
      <w:hyperlink w:anchor="ida75a6eb9_3e14_40e9_acb7_56b3154583d0_a" w:history="1">
        <w:r>
          <w:rPr>
            <w:color w:val="000000"/>
            <w:sz w:val="23"/>
            <w:szCs w:val="23"/>
          </w:rPr>
          <w:t>121</w:t>
        </w:r>
      </w:hyperlink>
      <w:r>
        <w:rPr>
          <w:color w:val="000000"/>
          <w:sz w:val="23"/>
          <w:szCs w:val="23"/>
        </w:rPr>
        <w:t xml:space="preserve">, </w:t>
      </w:r>
      <w:hyperlink w:anchor="id51fc7f5f_719e_4ea2_944a_2b4a213f2565_9" w:history="1">
        <w:r>
          <w:rPr>
            <w:color w:val="000000"/>
            <w:sz w:val="23"/>
            <w:szCs w:val="23"/>
          </w:rPr>
          <w:t>122</w:t>
        </w:r>
      </w:hyperlink>
      <w:r>
        <w:rPr>
          <w:color w:val="000000"/>
          <w:sz w:val="23"/>
          <w:szCs w:val="23"/>
        </w:rPr>
        <w:t xml:space="preserve"> or </w:t>
      </w:r>
      <w:hyperlink w:anchor="idfe22233f_e060_4f4d_85ba_06b8bce93027_3" w:history="1">
        <w:r>
          <w:rPr>
            <w:color w:val="000000"/>
            <w:sz w:val="23"/>
            <w:szCs w:val="23"/>
          </w:rPr>
          <w:t>124</w:t>
        </w:r>
      </w:hyperlink>
      <w:r>
        <w:rPr>
          <w:color w:val="000000"/>
          <w:sz w:val="23"/>
          <w:szCs w:val="23"/>
        </w:rPr>
        <w:t xml:space="preserve"> for the stages connected with the life of the pipeline mentioned in </w:t>
      </w:r>
      <w:hyperlink w:anchor="id38bacb2c_20d3_4fe6_89e4_3817263f902a_d" w:history="1">
        <w:r>
          <w:rPr>
            <w:color w:val="000000"/>
            <w:sz w:val="23"/>
            <w:szCs w:val="23"/>
          </w:rPr>
          <w:t>regulation 114</w:t>
        </w:r>
      </w:hyperlink>
      <w:r>
        <w:rPr>
          <w:color w:val="000000"/>
          <w:sz w:val="23"/>
          <w:szCs w:val="23"/>
        </w:rPr>
        <w:t xml:space="preserve"> for which the revision is submitted;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 xml:space="preserve">the pipeline management plan, as revised by the proposed revision, would comply with </w:t>
      </w:r>
      <w:hyperlink w:anchor="id51aba9e4_1288_4fca_abcc_53d9570c9824_e" w:history="1">
        <w:r>
          <w:rPr>
            <w:color w:val="000000"/>
            <w:sz w:val="23"/>
            <w:szCs w:val="23"/>
          </w:rPr>
          <w:t>regulation 123</w:t>
        </w:r>
      </w:hyperlink>
      <w:r>
        <w:rPr>
          <w:color w:val="000000"/>
          <w:sz w:val="23"/>
          <w:szCs w:val="23"/>
        </w:rPr>
        <w:t>;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bookmarkStart w:id="511" w:name="ide72ea1b0_b65f_4c63_8298_3f540011510d_9"/>
      <w:r>
        <w:rPr>
          <w:color w:val="000000"/>
          <w:sz w:val="23"/>
          <w:szCs w:val="23"/>
        </w:rPr>
        <w:tab/>
        <w:t>(iv)</w:t>
      </w:r>
      <w:r>
        <w:rPr>
          <w:color w:val="000000"/>
          <w:sz w:val="23"/>
          <w:szCs w:val="23"/>
        </w:rPr>
        <w:tab/>
        <w:t>in the case that the revision relates to a proposal to modify or decommission the pipeline—a validation of the proposal is in force; and</w:t>
      </w:r>
      <w:bookmarkEnd w:id="511"/>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the Safety Authority has notified the Minister under </w:t>
      </w:r>
      <w:hyperlink w:anchor="id66b62971_9031_44c3_a86d_7fe4720fa3ca_8" w:history="1">
        <w:r>
          <w:rPr>
            <w:color w:val="000000"/>
            <w:sz w:val="23"/>
            <w:szCs w:val="23"/>
          </w:rPr>
          <w:t>regulation 136</w:t>
        </w:r>
      </w:hyperlink>
      <w:r>
        <w:rPr>
          <w:color w:val="000000"/>
          <w:sz w:val="23"/>
          <w:szCs w:val="23"/>
        </w:rPr>
        <w:t xml:space="preserve"> that the Safety Authority has accepted the revision.</w:t>
      </w:r>
    </w:p>
    <w:p w:rsidR="00334F9E" w:rsidRDefault="00334F9E" w:rsidP="00762261">
      <w:pPr>
        <w:spacing w:after="0" w:line="240" w:lineRule="auto"/>
        <w:jc w:val="left"/>
        <w:rPr>
          <w:color w:val="000000"/>
          <w:sz w:val="23"/>
          <w:szCs w:val="23"/>
        </w:rPr>
      </w:pPr>
      <w:r>
        <w:rPr>
          <w:color w:val="000000"/>
          <w:sz w:val="23"/>
          <w:szCs w:val="23"/>
        </w:rPr>
        <w:br w:type="page"/>
      </w:r>
    </w:p>
    <w:p w:rsidR="00334F9E" w:rsidRDefault="00334F9E" w:rsidP="00762261">
      <w:pPr>
        <w:pStyle w:val="RegSpace"/>
        <w:jc w:val="left"/>
      </w:pP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If—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Safety Authority has accepted the revision only for 1 or more specified stages connected with the life of the pipeline, but not for all of the stages to which the pipeline management plan relates;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there are reasonable grounds for believing the matters in </w:t>
      </w:r>
      <w:hyperlink w:anchor="id59ad2f82_74d5_4be6_a7bb_08dab9829bb0_f" w:history="1">
        <w:r>
          <w:rPr>
            <w:color w:val="000000"/>
            <w:sz w:val="23"/>
            <w:szCs w:val="23"/>
          </w:rPr>
          <w:t>subregulation (1)(a)</w:t>
        </w:r>
      </w:hyperlink>
      <w:r>
        <w:rPr>
          <w:color w:val="000000"/>
          <w:sz w:val="23"/>
          <w:szCs w:val="23"/>
        </w:rPr>
        <w:t xml:space="preserve"> for each of those stages,</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the Minister must accept the revision only for those stages.</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12" w:name="id5a12a03b_08cc_4a44_9bec_34d1e4eb790f_2"/>
      <w:r>
        <w:rPr>
          <w:color w:val="000000"/>
          <w:sz w:val="23"/>
          <w:szCs w:val="23"/>
        </w:rPr>
        <w:tab/>
        <w:t>(3)</w:t>
      </w:r>
      <w:r>
        <w:rPr>
          <w:color w:val="000000"/>
          <w:sz w:val="23"/>
          <w:szCs w:val="23"/>
        </w:rPr>
        <w:tab/>
        <w:t xml:space="preserve">If the Minister is not reasonably satisfied that the proposed revision when first submitted meets the criteria set out in </w:t>
      </w:r>
      <w:hyperlink w:anchor="id0498da01_ccd6_498e_bcf1_7a2fb2802ed7_2" w:history="1">
        <w:r>
          <w:rPr>
            <w:color w:val="000000"/>
            <w:sz w:val="23"/>
            <w:szCs w:val="23"/>
          </w:rPr>
          <w:t>subregulation (1)</w:t>
        </w:r>
      </w:hyperlink>
      <w:r>
        <w:rPr>
          <w:color w:val="000000"/>
          <w:sz w:val="23"/>
          <w:szCs w:val="23"/>
        </w:rPr>
        <w:t>, the Minister must give the pipeline licensee a reasonable opportunity to change and resubmit the revision.</w:t>
      </w:r>
      <w:bookmarkEnd w:id="512"/>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13" w:name="ida5f1e07d_48e5_4a67_8e81_822ced33dc93_2"/>
      <w:r>
        <w:rPr>
          <w:color w:val="000000"/>
          <w:sz w:val="23"/>
          <w:szCs w:val="23"/>
        </w:rPr>
        <w:tab/>
        <w:t>(4)</w:t>
      </w:r>
      <w:r>
        <w:rPr>
          <w:color w:val="000000"/>
          <w:sz w:val="23"/>
          <w:szCs w:val="23"/>
        </w:rPr>
        <w:tab/>
        <w:t xml:space="preserve">If, after the pipeline licensee has had a reasonable opportunity to change and resubmit the proposed revision, the Minister is still not reasonably satisfied that the revision meets the criteria mentioned in </w:t>
      </w:r>
      <w:hyperlink w:anchor="id0498da01_ccd6_498e_bcf1_7a2fb2802ed7_2" w:history="1">
        <w:r>
          <w:rPr>
            <w:color w:val="000000"/>
            <w:sz w:val="23"/>
            <w:szCs w:val="23"/>
          </w:rPr>
          <w:t>subregulation (1)</w:t>
        </w:r>
      </w:hyperlink>
      <w:r>
        <w:rPr>
          <w:color w:val="000000"/>
          <w:sz w:val="23"/>
          <w:szCs w:val="23"/>
        </w:rPr>
        <w:t>, the Minister must refuse to accept the revision.</w:t>
      </w:r>
      <w:bookmarkEnd w:id="513"/>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(5)</w:t>
      </w:r>
      <w:r>
        <w:rPr>
          <w:color w:val="000000"/>
          <w:sz w:val="23"/>
          <w:szCs w:val="23"/>
        </w:rPr>
        <w:tab/>
        <w:t xml:space="preserve">Despite </w:t>
      </w:r>
      <w:hyperlink w:anchor="ida5f1e07d_48e5_4a67_8e81_822ced33dc93_2" w:history="1">
        <w:r>
          <w:rPr>
            <w:color w:val="000000"/>
            <w:sz w:val="23"/>
            <w:szCs w:val="23"/>
          </w:rPr>
          <w:t>subregulation (4)</w:t>
        </w:r>
      </w:hyperlink>
      <w:r>
        <w:rPr>
          <w:color w:val="000000"/>
          <w:sz w:val="23"/>
          <w:szCs w:val="23"/>
        </w:rPr>
        <w:t>, the Minister may—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accept the revision in part for a particular stage connected with the life of the pipeline mentioned in </w:t>
      </w:r>
      <w:hyperlink w:anchor="id38bacb2c_20d3_4fe6_89e4_3817263f902a_d" w:history="1">
        <w:r>
          <w:rPr>
            <w:color w:val="000000"/>
            <w:sz w:val="23"/>
            <w:szCs w:val="23"/>
          </w:rPr>
          <w:t>regulation 114</w:t>
        </w:r>
      </w:hyperlink>
      <w:r>
        <w:rPr>
          <w:color w:val="000000"/>
          <w:sz w:val="23"/>
          <w:szCs w:val="23"/>
        </w:rPr>
        <w: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impose limitations or conditions applying to the pipeline in respect of any of those stages.</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14" w:name="id65537992_e68c_44c6_b1b3_56c5f13c7754_4"/>
      <w:r>
        <w:rPr>
          <w:color w:val="000000"/>
          <w:sz w:val="23"/>
          <w:szCs w:val="23"/>
        </w:rPr>
        <w:tab/>
        <w:t>(6)</w:t>
      </w:r>
      <w:r>
        <w:rPr>
          <w:color w:val="000000"/>
          <w:sz w:val="23"/>
          <w:szCs w:val="23"/>
        </w:rPr>
        <w:tab/>
        <w:t>The Minister must give the pipeline licensee written notice of a decision by the Minister—</w:t>
      </w:r>
      <w:bookmarkEnd w:id="514"/>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to accept the proposed revision;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515" w:name="idf44d5b68_a5d8_445b_8953_3feda96ee871_f"/>
      <w:r>
        <w:rPr>
          <w:color w:val="000000"/>
          <w:sz w:val="23"/>
          <w:szCs w:val="23"/>
        </w:rPr>
        <w:tab/>
        <w:t>(b)</w:t>
      </w:r>
      <w:r>
        <w:rPr>
          <w:color w:val="000000"/>
          <w:sz w:val="23"/>
          <w:szCs w:val="23"/>
        </w:rPr>
        <w:tab/>
        <w:t>not to accept the revision; or</w:t>
      </w:r>
      <w:bookmarkEnd w:id="515"/>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516" w:name="id575aa667_156c_49d9_b5b6_11b72371a8ad_6"/>
      <w:r>
        <w:rPr>
          <w:color w:val="000000"/>
          <w:sz w:val="23"/>
          <w:szCs w:val="23"/>
        </w:rPr>
        <w:tab/>
        <w:t>(c)</w:t>
      </w:r>
      <w:r>
        <w:rPr>
          <w:color w:val="000000"/>
          <w:sz w:val="23"/>
          <w:szCs w:val="23"/>
        </w:rPr>
        <w:tab/>
        <w:t>to accept the revision in part for a particular stage connected with the life of the pipeline, or subject to the imposition of limitations or conditions.</w:t>
      </w:r>
      <w:bookmarkEnd w:id="516"/>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(7)</w:t>
      </w:r>
      <w:r>
        <w:rPr>
          <w:color w:val="000000"/>
          <w:sz w:val="23"/>
          <w:szCs w:val="23"/>
        </w:rPr>
        <w:tab/>
        <w:t xml:space="preserve">A notice of a decision under </w:t>
      </w:r>
      <w:hyperlink w:anchor="idf44d5b68_a5d8_445b_8953_3feda96ee871_f" w:history="1">
        <w:r>
          <w:rPr>
            <w:color w:val="000000"/>
            <w:sz w:val="23"/>
            <w:szCs w:val="23"/>
          </w:rPr>
          <w:t>subregulation (6)(b)</w:t>
        </w:r>
      </w:hyperlink>
      <w:r>
        <w:rPr>
          <w:color w:val="000000"/>
          <w:sz w:val="23"/>
          <w:szCs w:val="23"/>
        </w:rPr>
        <w:t xml:space="preserve"> or </w:t>
      </w:r>
      <w:hyperlink w:anchor="id575aa667_156c_49d9_b5b6_11b72371a8ad_6" w:history="1">
        <w:r>
          <w:rPr>
            <w:color w:val="000000"/>
            <w:sz w:val="23"/>
            <w:szCs w:val="23"/>
          </w:rPr>
          <w:t>(c)</w:t>
        </w:r>
      </w:hyperlink>
      <w:r>
        <w:rPr>
          <w:color w:val="000000"/>
          <w:sz w:val="23"/>
          <w:szCs w:val="23"/>
        </w:rPr>
        <w:t xml:space="preserve"> must include—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advice of the decision and the reasons for it;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if limitations or conditions are to apply to a stage connected with the life of the pipeline—a statement of those limitations or conditions.</w:t>
      </w:r>
    </w:p>
    <w:p w:rsidR="0065609F" w:rsidRDefault="0065609F" w:rsidP="00762261">
      <w:pPr>
        <w:pStyle w:val="clauseheadlevel4"/>
      </w:pPr>
      <w:bookmarkStart w:id="517" w:name="Elkera_Print_TOC236"/>
      <w:bookmarkStart w:id="518" w:name="Elkera_Print_BK236"/>
      <w:r>
        <w:t>131—Effect of non</w:t>
      </w:r>
      <w:r>
        <w:noBreakHyphen/>
        <w:t>acceptance of proposed revision</w:t>
      </w:r>
      <w:bookmarkEnd w:id="517"/>
      <w:bookmarkEnd w:id="518"/>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If a proposed revision is not accepted, the pipeline management plan in force for the pipeline immediately before the proposed revision was submitted remains in force, subject to the Act and this Part (in particular, </w:t>
      </w:r>
      <w:hyperlink w:anchor="idf3859897_9e28_4807_86db_680a7b48fe" w:history="1">
        <w:r>
          <w:rPr>
            <w:color w:val="000000"/>
            <w:sz w:val="23"/>
            <w:szCs w:val="23"/>
          </w:rPr>
          <w:t>Subdivision 4</w:t>
        </w:r>
      </w:hyperlink>
      <w:r>
        <w:rPr>
          <w:color w:val="000000"/>
          <w:sz w:val="23"/>
          <w:szCs w:val="23"/>
        </w:rPr>
        <w:t xml:space="preserve"> of this Division), as if the revision had not been proposed.</w:t>
      </w:r>
    </w:p>
    <w:p w:rsidR="00765078" w:rsidRDefault="00765078" w:rsidP="00762261">
      <w:pPr>
        <w:spacing w:after="0" w:line="240" w:lineRule="auto"/>
        <w:jc w:val="left"/>
        <w:rPr>
          <w:rFonts w:eastAsia="Times New Roman"/>
          <w:b/>
          <w:bCs/>
          <w:color w:val="000000"/>
          <w:sz w:val="26"/>
          <w:szCs w:val="26"/>
          <w:lang w:eastAsia="en-AU"/>
        </w:rPr>
      </w:pPr>
      <w:bookmarkStart w:id="519" w:name="Elkera_Print_TOC238"/>
      <w:bookmarkStart w:id="520" w:name="idf3859897_9e28_4807_86db_680a7b48fe"/>
      <w:r>
        <w:br w:type="page"/>
      </w:r>
    </w:p>
    <w:p w:rsidR="00765078" w:rsidRDefault="00765078" w:rsidP="00762261">
      <w:pPr>
        <w:pStyle w:val="RegSpace"/>
        <w:jc w:val="left"/>
      </w:pPr>
    </w:p>
    <w:p w:rsidR="0065609F" w:rsidRDefault="0065609F" w:rsidP="00762261">
      <w:pPr>
        <w:pStyle w:val="subdivisionheadlevel3"/>
      </w:pPr>
      <w:r>
        <w:t>Subdivision 4—Withdrawal of acceptance of a pipeline management plan</w:t>
      </w:r>
      <w:bookmarkEnd w:id="519"/>
      <w:bookmarkEnd w:id="520"/>
    </w:p>
    <w:p w:rsidR="0065609F" w:rsidRDefault="0065609F" w:rsidP="00762261">
      <w:pPr>
        <w:pStyle w:val="clauseheadlevel4"/>
      </w:pPr>
      <w:bookmarkStart w:id="521" w:name="Elkera_Print_TOC240"/>
      <w:bookmarkStart w:id="522" w:name="idf9f91377_3142_4763_b4cf_c1b453abf2b7_a"/>
      <w:r>
        <w:t>132—Withdrawal of acceptance of a pipeline management plan</w:t>
      </w:r>
      <w:bookmarkEnd w:id="521"/>
      <w:bookmarkEnd w:id="522"/>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23" w:name="idd39b8481_f7fa_459f_bac9_76038f7fca5a_6"/>
      <w:r>
        <w:rPr>
          <w:color w:val="000000"/>
          <w:sz w:val="23"/>
          <w:szCs w:val="23"/>
        </w:rPr>
        <w:tab/>
        <w:t>(1)</w:t>
      </w:r>
      <w:r>
        <w:rPr>
          <w:color w:val="000000"/>
          <w:sz w:val="23"/>
          <w:szCs w:val="23"/>
        </w:rPr>
        <w:tab/>
        <w:t>The Minister, by written notice to a pipeline licensee, may withdraw the acceptance of the pipeline management plan in force for the pipeline on any of the following grounds:</w:t>
      </w:r>
      <w:bookmarkEnd w:id="523"/>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pipeline licensee has not complied with the Act, or a direction given to the licensee under section 100 of the Act;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the pipeline licensee has not complied with </w:t>
      </w:r>
      <w:hyperlink w:anchor="idec1cb355_bd75_4b3a_bce3_1e114438b2ee_0" w:history="1">
        <w:r>
          <w:rPr>
            <w:color w:val="000000"/>
            <w:sz w:val="23"/>
            <w:szCs w:val="23"/>
          </w:rPr>
          <w:t>regulation 105</w:t>
        </w:r>
      </w:hyperlink>
      <w:r>
        <w:rPr>
          <w:color w:val="000000"/>
          <w:sz w:val="23"/>
          <w:szCs w:val="23"/>
        </w:rPr>
        <w:t xml:space="preserve"> or </w:t>
      </w:r>
      <w:hyperlink w:anchor="id9de07bb9_74dc_422e_a6b5_ad27afe07eca_e" w:history="1">
        <w:r>
          <w:rPr>
            <w:color w:val="000000"/>
            <w:sz w:val="23"/>
            <w:szCs w:val="23"/>
          </w:rPr>
          <w:t>111</w:t>
        </w:r>
      </w:hyperlink>
      <w:r>
        <w:rPr>
          <w:color w:val="000000"/>
          <w:sz w:val="23"/>
          <w:szCs w:val="23"/>
        </w:rPr>
        <w: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 xml:space="preserve">the pipeline licensee has not complied with </w:t>
      </w:r>
      <w:hyperlink w:anchor="id33df2c3b_9bd5_436c_a109_59fdc7f29b40_9" w:history="1">
        <w:r>
          <w:rPr>
            <w:color w:val="000000"/>
            <w:sz w:val="23"/>
            <w:szCs w:val="23"/>
          </w:rPr>
          <w:t>regulation 125</w:t>
        </w:r>
      </w:hyperlink>
      <w:r>
        <w:rPr>
          <w:color w:val="000000"/>
          <w:sz w:val="23"/>
          <w:szCs w:val="23"/>
        </w:rPr>
        <w:t xml:space="preserve">, </w:t>
      </w:r>
      <w:hyperlink w:anchor="id614cd66c_99e8_40c1_866c_6dcf27e65ab6_a" w:history="1">
        <w:r>
          <w:rPr>
            <w:color w:val="000000"/>
            <w:sz w:val="23"/>
            <w:szCs w:val="23"/>
          </w:rPr>
          <w:t>126</w:t>
        </w:r>
      </w:hyperlink>
      <w:r>
        <w:rPr>
          <w:color w:val="000000"/>
          <w:sz w:val="23"/>
          <w:szCs w:val="23"/>
        </w:rPr>
        <w:t xml:space="preserve"> or </w:t>
      </w:r>
      <w:hyperlink w:anchor="ida8c71cc7_cced_4034_a686_427bd4698c95_3" w:history="1">
        <w:r>
          <w:rPr>
            <w:color w:val="000000"/>
            <w:sz w:val="23"/>
            <w:szCs w:val="23"/>
          </w:rPr>
          <w:t>127</w:t>
        </w:r>
      </w:hyperlink>
      <w:r>
        <w:rPr>
          <w:color w:val="000000"/>
          <w:sz w:val="23"/>
          <w:szCs w:val="23"/>
        </w:rPr>
        <w: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 Minister has refused to accept a proposed revision of the pipeline management plan.</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 notice under </w:t>
      </w:r>
      <w:hyperlink w:anchor="idd39b8481_f7fa_459f_bac9_76038f7fca5a_6" w:history="1">
        <w:r>
          <w:rPr>
            <w:color w:val="000000"/>
            <w:sz w:val="23"/>
            <w:szCs w:val="23"/>
          </w:rPr>
          <w:t>subregulation (1)</w:t>
        </w:r>
      </w:hyperlink>
      <w:r>
        <w:rPr>
          <w:color w:val="000000"/>
          <w:sz w:val="23"/>
          <w:szCs w:val="23"/>
        </w:rPr>
        <w:t xml:space="preserve"> must include advice of the reasons for the decision.</w:t>
      </w:r>
    </w:p>
    <w:p w:rsidR="0065609F" w:rsidRDefault="0065609F" w:rsidP="00762261">
      <w:pPr>
        <w:pStyle w:val="clauseheadlevel4"/>
      </w:pPr>
      <w:bookmarkStart w:id="524" w:name="Elkera_Print_TOC241"/>
      <w:bookmarkStart w:id="525" w:name="Elkera_Print_BK241"/>
      <w:r>
        <w:t>133—Steps to be taken before withdrawal of acceptance</w:t>
      </w:r>
      <w:bookmarkEnd w:id="524"/>
      <w:bookmarkEnd w:id="525"/>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Before withdrawing the acceptance of a pipeline management plan in force for a pipeline, the Minister must comply with </w:t>
      </w:r>
      <w:hyperlink w:anchor="idba0d5295_6cf6_44bd_8040_6e02672656ec_d" w:history="1">
        <w:r>
          <w:rPr>
            <w:color w:val="000000"/>
            <w:sz w:val="23"/>
            <w:szCs w:val="23"/>
          </w:rPr>
          <w:t>subregulations (2)</w:t>
        </w:r>
      </w:hyperlink>
      <w:r>
        <w:rPr>
          <w:color w:val="000000"/>
          <w:sz w:val="23"/>
          <w:szCs w:val="23"/>
        </w:rPr>
        <w:t xml:space="preserve">, </w:t>
      </w:r>
      <w:hyperlink w:anchor="id99059b61_8a36_405a_8561_15d9691500ca_0" w:history="1">
        <w:r>
          <w:rPr>
            <w:color w:val="000000"/>
            <w:sz w:val="23"/>
            <w:szCs w:val="23"/>
          </w:rPr>
          <w:t>(4)</w:t>
        </w:r>
      </w:hyperlink>
      <w:r>
        <w:rPr>
          <w:color w:val="000000"/>
          <w:sz w:val="23"/>
          <w:szCs w:val="23"/>
        </w:rPr>
        <w:t xml:space="preserve"> and </w:t>
      </w:r>
      <w:hyperlink w:anchor="id5a76f2c5_c586_4b12_86bc_e057f10b5f28_8" w:history="1">
        <w:r>
          <w:rPr>
            <w:color w:val="000000"/>
            <w:sz w:val="23"/>
            <w:szCs w:val="23"/>
          </w:rPr>
          <w:t>(5)</w:t>
        </w:r>
      </w:hyperlink>
      <w:r>
        <w:rPr>
          <w:color w:val="000000"/>
          <w:sz w:val="23"/>
          <w:szCs w:val="23"/>
        </w:rPr>
        <w: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26" w:name="idba0d5295_6cf6_44bd_8040_6e02672656ec_d"/>
      <w:r>
        <w:rPr>
          <w:color w:val="000000"/>
          <w:sz w:val="23"/>
          <w:szCs w:val="23"/>
        </w:rPr>
        <w:tab/>
        <w:t>(2)</w:t>
      </w:r>
      <w:r>
        <w:rPr>
          <w:color w:val="000000"/>
          <w:sz w:val="23"/>
          <w:szCs w:val="23"/>
        </w:rPr>
        <w:tab/>
        <w:t>The Minister must give the pipeline licensee at least 1 month's written notice of the Minister's intention to withdraw acceptance of the plan.</w:t>
      </w:r>
      <w:bookmarkEnd w:id="526"/>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The Minister may give a copy of the notice to such other persons (if any) as the Minister thinks fit.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27" w:name="id99059b61_8a36_405a_8561_15d9691500ca_0"/>
      <w:r>
        <w:rPr>
          <w:color w:val="000000"/>
          <w:sz w:val="23"/>
          <w:szCs w:val="23"/>
        </w:rPr>
        <w:tab/>
        <w:t>(4)</w:t>
      </w:r>
      <w:r>
        <w:rPr>
          <w:color w:val="000000"/>
          <w:sz w:val="23"/>
          <w:szCs w:val="23"/>
        </w:rPr>
        <w:tab/>
        <w:t xml:space="preserve">The Minister must specify in the notice a date (the </w:t>
      </w:r>
      <w:r>
        <w:rPr>
          <w:b/>
          <w:bCs/>
          <w:i/>
          <w:iCs/>
          <w:color w:val="000000"/>
          <w:sz w:val="23"/>
          <w:szCs w:val="23"/>
        </w:rPr>
        <w:t>cut</w:t>
      </w:r>
      <w:r>
        <w:rPr>
          <w:b/>
          <w:bCs/>
          <w:i/>
          <w:iCs/>
          <w:color w:val="000000"/>
          <w:sz w:val="23"/>
          <w:szCs w:val="23"/>
        </w:rPr>
        <w:noBreakHyphen/>
        <w:t>off date</w:t>
      </w:r>
      <w:r>
        <w:rPr>
          <w:color w:val="000000"/>
          <w:sz w:val="23"/>
          <w:szCs w:val="23"/>
        </w:rPr>
        <w:t>) on or before which the pipeline licensee (or any other person to whom a copy of the notice has been given) may submit to the Minister, in writing, any matters for the Minister to take into account.</w:t>
      </w:r>
      <w:bookmarkEnd w:id="527"/>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28" w:name="id5a76f2c5_c586_4b12_86bc_e057f10b5f28_8"/>
      <w:r>
        <w:rPr>
          <w:color w:val="000000"/>
          <w:sz w:val="23"/>
          <w:szCs w:val="23"/>
        </w:rPr>
        <w:tab/>
        <w:t>(5)</w:t>
      </w:r>
      <w:r>
        <w:rPr>
          <w:color w:val="000000"/>
          <w:sz w:val="23"/>
          <w:szCs w:val="23"/>
        </w:rPr>
        <w:tab/>
        <w:t>The Minister must take into account—</w:t>
      </w:r>
      <w:bookmarkEnd w:id="528"/>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any action taken by the pipeline licensee to remove the ground for withdrawal of acceptance, or to prevent the recurrence of that ground;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any matter submitted to the Minister before the cut</w:t>
      </w:r>
      <w:r>
        <w:rPr>
          <w:color w:val="000000"/>
          <w:sz w:val="23"/>
          <w:szCs w:val="23"/>
        </w:rPr>
        <w:noBreakHyphen/>
        <w:t>off date by the pipeline licensee or a person to whom a copy of the notice has been given.</w:t>
      </w:r>
    </w:p>
    <w:p w:rsidR="0065609F" w:rsidRDefault="0065609F" w:rsidP="00762261">
      <w:pPr>
        <w:pStyle w:val="clauseheadlevel4"/>
      </w:pPr>
      <w:bookmarkStart w:id="529" w:name="Elkera_Print_TOC242"/>
      <w:bookmarkStart w:id="530" w:name="Elkera_Print_BK242"/>
      <w:r>
        <w:t>134—Withdrawal of acceptance not affected by other provisions</w:t>
      </w:r>
      <w:bookmarkEnd w:id="529"/>
      <w:bookmarkEnd w:id="530"/>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The Minister may withdraw the acceptance of a pipeline management plan in force for a pipeline on a ground mentioned in </w:t>
      </w:r>
      <w:hyperlink w:anchor="idd39b8481_f7fa_459f_bac9_76038f7fca5a_6" w:history="1">
        <w:r>
          <w:rPr>
            <w:color w:val="000000"/>
            <w:sz w:val="23"/>
            <w:szCs w:val="23"/>
          </w:rPr>
          <w:t>regulation 132(1)</w:t>
        </w:r>
      </w:hyperlink>
      <w:r>
        <w:rPr>
          <w:color w:val="000000"/>
          <w:sz w:val="23"/>
          <w:szCs w:val="23"/>
        </w:rPr>
        <w:t xml:space="preserve"> even if the pipeline licensee has been convicted of an offence because of a failure to comply with a provision of the Act or of these regulations.</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Even if the acceptance of a pipeline management plan has been withdrawn by the Minister on a ground mentioned in </w:t>
      </w:r>
      <w:hyperlink w:anchor="idd39b8481_f7fa_459f_bac9_76038f7fca5a_6" w:history="1">
        <w:r>
          <w:rPr>
            <w:color w:val="000000"/>
            <w:sz w:val="23"/>
            <w:szCs w:val="23"/>
          </w:rPr>
          <w:t>regulation 132(1)</w:t>
        </w:r>
      </w:hyperlink>
      <w:r>
        <w:rPr>
          <w:color w:val="000000"/>
          <w:sz w:val="23"/>
          <w:szCs w:val="23"/>
        </w:rPr>
        <w:t>, the pipeline licensee for the pipeline may be convicted of an offence because of a failure to comply with a provision of the Act or of these regulations.</w:t>
      </w:r>
    </w:p>
    <w:p w:rsidR="000A3D4F" w:rsidRDefault="000A3D4F" w:rsidP="00762261">
      <w:pPr>
        <w:spacing w:after="0" w:line="240" w:lineRule="auto"/>
        <w:jc w:val="left"/>
        <w:rPr>
          <w:rFonts w:eastAsia="Times New Roman"/>
          <w:b/>
          <w:bCs/>
          <w:color w:val="000000"/>
          <w:sz w:val="28"/>
          <w:szCs w:val="28"/>
          <w:lang w:eastAsia="en-AU"/>
        </w:rPr>
      </w:pPr>
      <w:bookmarkStart w:id="531" w:name="Elkera_Print_TOC244"/>
      <w:bookmarkStart w:id="532" w:name="id64a14ba4_0b61_4385_952f_608bafff9c7a_2"/>
      <w:r>
        <w:br w:type="page"/>
      </w:r>
    </w:p>
    <w:p w:rsidR="000A3D4F" w:rsidRDefault="000A3D4F" w:rsidP="00762261">
      <w:pPr>
        <w:pStyle w:val="RegSpace"/>
        <w:jc w:val="left"/>
      </w:pPr>
    </w:p>
    <w:p w:rsidR="0065609F" w:rsidRDefault="0065609F" w:rsidP="00762261">
      <w:pPr>
        <w:pStyle w:val="divisionheadlevel2"/>
      </w:pPr>
      <w:r>
        <w:t>Division 5—Pipeline safety management plans</w:t>
      </w:r>
      <w:bookmarkEnd w:id="531"/>
      <w:bookmarkEnd w:id="532"/>
    </w:p>
    <w:p w:rsidR="0065609F" w:rsidRDefault="0065609F" w:rsidP="00762261">
      <w:pPr>
        <w:pStyle w:val="subdivisionheadlevel3"/>
      </w:pPr>
      <w:bookmarkStart w:id="533" w:name="Elkera_Print_TOC245"/>
      <w:bookmarkStart w:id="534" w:name="Elkera_Print_BK245"/>
      <w:r>
        <w:t>Subdivision 1—Preliminary</w:t>
      </w:r>
      <w:bookmarkEnd w:id="533"/>
      <w:bookmarkEnd w:id="534"/>
    </w:p>
    <w:p w:rsidR="0065609F" w:rsidRDefault="0065609F" w:rsidP="00762261">
      <w:pPr>
        <w:pStyle w:val="clauseheadlevel4"/>
      </w:pPr>
      <w:bookmarkStart w:id="535" w:name="Elkera_Print_TOC246"/>
      <w:bookmarkStart w:id="536" w:name="Elkera_Print_BK246"/>
      <w:r>
        <w:t>135—Definition</w:t>
      </w:r>
      <w:bookmarkEnd w:id="535"/>
      <w:bookmarkEnd w:id="536"/>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In this Division—</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pipeline safety management plan in force for a pipeline</w:t>
      </w:r>
      <w:r>
        <w:rPr>
          <w:color w:val="000000"/>
          <w:sz w:val="23"/>
          <w:szCs w:val="23"/>
        </w:rPr>
        <w:t xml:space="preserve"> means the components of a pipeline management plan in force for a pipeline that provide for the health and safety of persons at or near the pipeline.</w:t>
      </w:r>
    </w:p>
    <w:p w:rsidR="0065609F" w:rsidRDefault="0065609F" w:rsidP="00762261">
      <w:pPr>
        <w:pStyle w:val="subdivisionheadlevel3"/>
      </w:pPr>
      <w:bookmarkStart w:id="537" w:name="Elkera_Print_TOC247"/>
      <w:bookmarkStart w:id="538" w:name="Elkera_Print_BK247"/>
      <w:r>
        <w:t>Subdivision 2—Acceptance of a pipeline safety management plan</w:t>
      </w:r>
      <w:bookmarkEnd w:id="537"/>
      <w:bookmarkEnd w:id="538"/>
    </w:p>
    <w:p w:rsidR="0065609F" w:rsidRDefault="0065609F" w:rsidP="00762261">
      <w:pPr>
        <w:pStyle w:val="clauseheadlevel4"/>
      </w:pPr>
      <w:bookmarkStart w:id="539" w:name="Elkera_Print_TOC249"/>
      <w:bookmarkStart w:id="540" w:name="id66b62971_9031_44c3_a86d_7fe4720fa3ca_8"/>
      <w:r>
        <w:t>136—Consideration of a pipeline safety management plan</w:t>
      </w:r>
      <w:bookmarkEnd w:id="539"/>
      <w:bookmarkEnd w:id="540"/>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This regulation applies if the Minister gives the Safety Authority a copy of a pipeline management plan.</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41" w:name="idcf8fca96_095f_41da_a896_283d4106be8c_4"/>
      <w:r>
        <w:rPr>
          <w:color w:val="000000"/>
          <w:sz w:val="23"/>
          <w:szCs w:val="23"/>
        </w:rPr>
        <w:tab/>
        <w:t>(2)</w:t>
      </w:r>
      <w:r>
        <w:rPr>
          <w:color w:val="000000"/>
          <w:sz w:val="23"/>
          <w:szCs w:val="23"/>
        </w:rPr>
        <w:tab/>
        <w:t>The Safety Authority, within 21 days, must—</w:t>
      </w:r>
      <w:bookmarkEnd w:id="541"/>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consider the pipeline safety management plan within the pipeline management plan;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decide—</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to accept the pipeline safety management plan in full;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to refuse to accept the pipeline safety management plan;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to do both of the following:</w:t>
      </w:r>
    </w:p>
    <w:p w:rsidR="0065609F" w:rsidRDefault="0065609F" w:rsidP="00762261">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(A)</w:t>
      </w:r>
      <w:r>
        <w:rPr>
          <w:color w:val="000000"/>
          <w:sz w:val="23"/>
          <w:szCs w:val="23"/>
        </w:rPr>
        <w:tab/>
        <w:t>accept the pipeline safety management plan only for 1 or more specified stages connected with the life of the pipeline, but not for all of the stages to which the pipeline management plan relates; and</w:t>
      </w:r>
    </w:p>
    <w:p w:rsidR="0065609F" w:rsidRDefault="0065609F" w:rsidP="00762261">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(B)</w:t>
      </w:r>
      <w:r>
        <w:rPr>
          <w:color w:val="000000"/>
          <w:sz w:val="23"/>
          <w:szCs w:val="23"/>
        </w:rPr>
        <w:tab/>
        <w:t>refuse to accept the rest of the pipeline safety management plan;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(iv)</w:t>
      </w:r>
      <w:r>
        <w:rPr>
          <w:color w:val="000000"/>
          <w:sz w:val="23"/>
          <w:szCs w:val="23"/>
        </w:rPr>
        <w:tab/>
        <w:t>that it is unable to make a decision on the pipeline safety management plan;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542" w:name="id63dbbb3a_e972_41a6_8e18_4f26a6516aea_6"/>
      <w:r>
        <w:rPr>
          <w:color w:val="000000"/>
          <w:sz w:val="23"/>
          <w:szCs w:val="23"/>
        </w:rPr>
        <w:tab/>
        <w:t>(c)</w:t>
      </w:r>
      <w:r>
        <w:rPr>
          <w:color w:val="000000"/>
          <w:sz w:val="23"/>
          <w:szCs w:val="23"/>
        </w:rPr>
        <w:tab/>
        <w:t>notify the Minister, in writing, of the Safety Authority's decision and the reasons for any refusal.</w:t>
      </w:r>
      <w:bookmarkEnd w:id="542"/>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1588"/>
        <w:jc w:val="left"/>
        <w:rPr>
          <w:color w:val="000000"/>
          <w:sz w:val="20"/>
          <w:szCs w:val="20"/>
        </w:rPr>
      </w:pPr>
      <w:r>
        <w:rPr>
          <w:color w:val="000000"/>
          <w:sz w:val="20"/>
          <w:szCs w:val="20"/>
        </w:rPr>
        <w:t xml:space="preserve">See </w:t>
      </w:r>
      <w:hyperlink w:anchor="id2ef484a3_11d5_49c8_9ca2_1b1679451b1f_f" w:history="1">
        <w:r>
          <w:rPr>
            <w:color w:val="000000"/>
            <w:sz w:val="20"/>
            <w:szCs w:val="20"/>
          </w:rPr>
          <w:t>regulation 114(2)</w:t>
        </w:r>
      </w:hyperlink>
      <w:r>
        <w:rPr>
          <w:color w:val="000000"/>
          <w:sz w:val="20"/>
          <w:szCs w:val="20"/>
        </w:rPr>
        <w:t xml:space="preserve"> for the stages connected with the life of the pipeline.</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The Safety Authority—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may make an acceptance of a pipeline safety management plan, or of a pipeline safety management plan for 1 or more specified stages connected with the life of the pipeline, subject to conditions or limitations;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must include any conditions or limitations in the notice under </w:t>
      </w:r>
      <w:hyperlink w:anchor="id63dbbb3a_e972_41a6_8e18_4f26a6516aea_6" w:history="1">
        <w:r>
          <w:rPr>
            <w:color w:val="000000"/>
            <w:sz w:val="23"/>
            <w:szCs w:val="23"/>
          </w:rPr>
          <w:t>subregulation (2)(c)</w:t>
        </w:r>
      </w:hyperlink>
      <w:r>
        <w:rPr>
          <w:color w:val="000000"/>
          <w:sz w:val="23"/>
          <w:szCs w:val="23"/>
        </w:rPr>
        <w:t>.</w:t>
      </w:r>
    </w:p>
    <w:p w:rsidR="007E27AE" w:rsidRDefault="007E27AE" w:rsidP="00762261">
      <w:pPr>
        <w:spacing w:after="0" w:line="240" w:lineRule="auto"/>
        <w:jc w:val="left"/>
        <w:rPr>
          <w:color w:val="000000"/>
          <w:sz w:val="23"/>
          <w:szCs w:val="23"/>
        </w:rPr>
      </w:pPr>
      <w:bookmarkStart w:id="543" w:name="id6f40e492_c5e5_4e32_b192_d2a560ccb932_3"/>
      <w:r>
        <w:rPr>
          <w:color w:val="000000"/>
          <w:sz w:val="23"/>
          <w:szCs w:val="23"/>
        </w:rPr>
        <w:br w:type="page"/>
      </w:r>
    </w:p>
    <w:p w:rsidR="007E27AE" w:rsidRDefault="007E27AE" w:rsidP="00762261">
      <w:pPr>
        <w:pStyle w:val="RegSpace"/>
        <w:jc w:val="left"/>
      </w:pP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 xml:space="preserve">If the Safety Authority is unable to make a decision on the pipeline safety management plan, the Safety Authority must include in the notice under </w:t>
      </w:r>
      <w:hyperlink w:anchor="id63dbbb3a_e972_41a6_8e18_4f26a6516aea_6" w:history="1">
        <w:r>
          <w:rPr>
            <w:color w:val="000000"/>
            <w:sz w:val="23"/>
            <w:szCs w:val="23"/>
          </w:rPr>
          <w:t>subregulation (2)(c)</w:t>
        </w:r>
      </w:hyperlink>
      <w:r>
        <w:rPr>
          <w:color w:val="000000"/>
          <w:sz w:val="23"/>
          <w:szCs w:val="23"/>
        </w:rPr>
        <w:t>—</w:t>
      </w:r>
      <w:bookmarkEnd w:id="543"/>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proposed timetable for consideration of the pipeline safety management plan that gives the pipeline licensee a reasonable opportunity to modify or resubmit the pipeline safety management plan;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 description of any further information the safety authority may require to assist it to consider the pipeline safety management plan.</w:t>
      </w:r>
    </w:p>
    <w:p w:rsidR="0065609F" w:rsidRDefault="0065609F" w:rsidP="00762261">
      <w:pPr>
        <w:pStyle w:val="clauseheadlevel4"/>
      </w:pPr>
      <w:bookmarkStart w:id="544" w:name="Elkera_Print_TOC250"/>
      <w:bookmarkStart w:id="545" w:name="Elkera_Print_BK250"/>
      <w:r>
        <w:t>137—Notice to pipeline licensee about a pipeline safety management plan</w:t>
      </w:r>
      <w:bookmarkEnd w:id="544"/>
      <w:bookmarkEnd w:id="545"/>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46" w:name="id0f1c888f_50ba_4662_8253_1276f400f2bc_f"/>
      <w:r>
        <w:rPr>
          <w:color w:val="000000"/>
          <w:sz w:val="23"/>
          <w:szCs w:val="23"/>
        </w:rPr>
        <w:tab/>
        <w:t>(1)</w:t>
      </w:r>
      <w:r>
        <w:rPr>
          <w:color w:val="000000"/>
          <w:sz w:val="23"/>
          <w:szCs w:val="23"/>
        </w:rPr>
        <w:tab/>
        <w:t xml:space="preserve">For the purposes of </w:t>
      </w:r>
      <w:hyperlink w:anchor="id9c58d4b8_c62d_4591_b41d_a0d0cd5ac3b5_e" w:history="1">
        <w:r>
          <w:rPr>
            <w:color w:val="000000"/>
            <w:sz w:val="23"/>
            <w:szCs w:val="23"/>
          </w:rPr>
          <w:t>regulation 116(1)</w:t>
        </w:r>
      </w:hyperlink>
      <w:r>
        <w:rPr>
          <w:color w:val="000000"/>
          <w:sz w:val="23"/>
          <w:szCs w:val="23"/>
        </w:rPr>
        <w:t xml:space="preserve">, if the Safety Authority has given the Minister a timetable under </w:t>
      </w:r>
      <w:hyperlink w:anchor="id6f40e492_c5e5_4e32_b192_d2a560ccb932_3" w:history="1">
        <w:r>
          <w:rPr>
            <w:color w:val="000000"/>
            <w:sz w:val="23"/>
            <w:szCs w:val="23"/>
          </w:rPr>
          <w:t>regulation 136(4)</w:t>
        </w:r>
      </w:hyperlink>
      <w:r>
        <w:rPr>
          <w:color w:val="000000"/>
          <w:sz w:val="23"/>
          <w:szCs w:val="23"/>
        </w:rPr>
        <w:t xml:space="preserve"> for consideration of the pipeline safety management plan, the Minister must give written notice to the pipeline licensee explaining the effect of the timetable.</w:t>
      </w:r>
      <w:bookmarkEnd w:id="546"/>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 failure by the Minister to comply with </w:t>
      </w:r>
      <w:hyperlink w:anchor="id0f1c888f_50ba_4662_8253_1276f400f2bc_f" w:history="1">
        <w:r>
          <w:rPr>
            <w:color w:val="000000"/>
            <w:sz w:val="23"/>
            <w:szCs w:val="23"/>
          </w:rPr>
          <w:t>subregulation (1)</w:t>
        </w:r>
      </w:hyperlink>
      <w:r>
        <w:rPr>
          <w:color w:val="000000"/>
          <w:sz w:val="23"/>
          <w:szCs w:val="23"/>
        </w:rPr>
        <w:t xml:space="preserve"> in relation to a pipeline safety management plan does not affect the validity of a decision by the Safety Authority to accept or reject the pipeline safety management plan.</w:t>
      </w:r>
    </w:p>
    <w:p w:rsidR="0065609F" w:rsidRDefault="0065609F" w:rsidP="00762261">
      <w:pPr>
        <w:pStyle w:val="clauseheadlevel4"/>
      </w:pPr>
      <w:bookmarkStart w:id="547" w:name="Elkera_Print_TOC251"/>
      <w:bookmarkStart w:id="548" w:name="Elkera_Print_BK251"/>
      <w:r>
        <w:t>138—Revision of a pipeline management plan—request by the Safety Authority concerning a pipeline safety management plan</w:t>
      </w:r>
      <w:bookmarkEnd w:id="547"/>
      <w:bookmarkEnd w:id="548"/>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49" w:name="ide3b423c7_fc6a_4d36_bc25_b745bd6d51d2_3"/>
      <w:r>
        <w:rPr>
          <w:color w:val="000000"/>
          <w:sz w:val="23"/>
          <w:szCs w:val="23"/>
        </w:rPr>
        <w:tab/>
        <w:t>(1)</w:t>
      </w:r>
      <w:r>
        <w:rPr>
          <w:color w:val="000000"/>
          <w:sz w:val="23"/>
          <w:szCs w:val="23"/>
        </w:rPr>
        <w:tab/>
        <w:t xml:space="preserve">The Safety Authority may request the Minister to act under </w:t>
      </w:r>
      <w:hyperlink w:anchor="id614cd66c_99e8_40c1_866c_6dcf27e65ab6_a" w:history="1">
        <w:r>
          <w:rPr>
            <w:color w:val="000000"/>
            <w:sz w:val="23"/>
            <w:szCs w:val="23"/>
          </w:rPr>
          <w:t>regulation 126</w:t>
        </w:r>
      </w:hyperlink>
      <w:r>
        <w:rPr>
          <w:color w:val="000000"/>
          <w:sz w:val="23"/>
          <w:szCs w:val="23"/>
        </w:rPr>
        <w:t xml:space="preserve"> for a pipeline management plan if the Safety Authority believes that the pipeline safety management plan requires revision.</w:t>
      </w:r>
      <w:bookmarkEnd w:id="549"/>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request must be in writing, and must include the following information: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matters, relating to the pipeline safety management plan, to be addressed by the revision;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proposed date of effect of the revision;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grounds for the request.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If the Minister receives a request under </w:t>
      </w:r>
      <w:hyperlink w:anchor="ide3b423c7_fc6a_4d36_bc25_b745bd6d51d2_3" w:history="1">
        <w:r>
          <w:rPr>
            <w:color w:val="000000"/>
            <w:sz w:val="23"/>
            <w:szCs w:val="23"/>
          </w:rPr>
          <w:t>subregulation (1)</w:t>
        </w:r>
      </w:hyperlink>
      <w:r>
        <w:rPr>
          <w:color w:val="000000"/>
          <w:sz w:val="23"/>
          <w:szCs w:val="23"/>
        </w:rPr>
        <w: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the Minister must act under </w:t>
      </w:r>
      <w:hyperlink w:anchor="id614cd66c_99e8_40c1_866c_6dcf27e65ab6_a" w:history="1">
        <w:r>
          <w:rPr>
            <w:color w:val="000000"/>
            <w:sz w:val="23"/>
            <w:szCs w:val="23"/>
          </w:rPr>
          <w:t>regulation 126</w:t>
        </w:r>
      </w:hyperlink>
      <w:r>
        <w:rPr>
          <w:color w:val="000000"/>
          <w:sz w:val="23"/>
          <w:szCs w:val="23"/>
        </w:rPr>
        <w:t xml:space="preserve"> in accordance with the request;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the Minister is not prevented from dealing with other matters under </w:t>
      </w:r>
      <w:hyperlink w:anchor="id614cd66c_99e8_40c1_866c_6dcf27e65ab6_a" w:history="1">
        <w:r>
          <w:rPr>
            <w:color w:val="000000"/>
            <w:sz w:val="23"/>
            <w:szCs w:val="23"/>
          </w:rPr>
          <w:t>regulation 126</w:t>
        </w:r>
      </w:hyperlink>
      <w:r>
        <w:rPr>
          <w:color w:val="000000"/>
          <w:sz w:val="23"/>
          <w:szCs w:val="23"/>
        </w:rPr>
        <w:t xml:space="preserve"> at the same time.</w:t>
      </w:r>
    </w:p>
    <w:p w:rsidR="0065609F" w:rsidRDefault="0065609F" w:rsidP="00762261">
      <w:pPr>
        <w:pStyle w:val="clauseheadlevel4"/>
      </w:pPr>
      <w:bookmarkStart w:id="550" w:name="Elkera_Print_TOC252"/>
      <w:bookmarkStart w:id="551" w:name="Elkera_Print_BK252"/>
      <w:r>
        <w:t>139—Submission about proposed revision of a pipeline management plan</w:t>
      </w:r>
      <w:bookmarkEnd w:id="550"/>
      <w:bookmarkEnd w:id="551"/>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This regulation applies if—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the Minister gives a request to a pipeline licensee under </w:t>
      </w:r>
      <w:hyperlink w:anchor="ida5b5ae02_f352_450f_84b0_7ba4eab1a1b3_c" w:history="1">
        <w:r>
          <w:rPr>
            <w:color w:val="000000"/>
            <w:sz w:val="23"/>
            <w:szCs w:val="23"/>
          </w:rPr>
          <w:t>regulation 126(1)</w:t>
        </w:r>
      </w:hyperlink>
      <w:r>
        <w:rPr>
          <w:color w:val="000000"/>
          <w:sz w:val="23"/>
          <w:szCs w:val="23"/>
        </w:rPr>
        <w:t xml:space="preserve"> (whether or not the request was given after a request from the Safety Authority);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the pipeline licensee makes a submission to the Minister under </w:t>
      </w:r>
      <w:hyperlink w:anchor="id23afb8ef_dbd3_4067_b0a5_66543c6e8e69_f" w:history="1">
        <w:r>
          <w:rPr>
            <w:color w:val="000000"/>
            <w:sz w:val="23"/>
            <w:szCs w:val="23"/>
          </w:rPr>
          <w:t>regulation 126(3)</w:t>
        </w:r>
      </w:hyperlink>
      <w:r>
        <w:rPr>
          <w:color w:val="000000"/>
          <w:sz w:val="23"/>
          <w:szCs w:val="23"/>
        </w:rPr>
        <w: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submission deals in whole or in part with the pipeline safety management plan.</w:t>
      </w:r>
    </w:p>
    <w:p w:rsidR="001C0C29" w:rsidRDefault="001C0C29" w:rsidP="00762261">
      <w:pPr>
        <w:spacing w:after="0" w:line="240" w:lineRule="auto"/>
        <w:jc w:val="left"/>
        <w:rPr>
          <w:color w:val="000000"/>
          <w:sz w:val="23"/>
          <w:szCs w:val="23"/>
        </w:rPr>
      </w:pPr>
      <w:r>
        <w:rPr>
          <w:color w:val="000000"/>
          <w:sz w:val="23"/>
          <w:szCs w:val="23"/>
        </w:rPr>
        <w:br w:type="page"/>
      </w:r>
    </w:p>
    <w:p w:rsidR="001C0C29" w:rsidRDefault="001C0C29" w:rsidP="00762261">
      <w:pPr>
        <w:pStyle w:val="RegSpace"/>
        <w:jc w:val="left"/>
      </w:pP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Minister must give a copy of the submission (to the extent that it deals with the pipeline safety management plan) to the Safety Authority as soon as practicable after the pipeline licensee gives the submission to the Minister (but not later than 7 days after the pipeline licensee gives the submission).</w:t>
      </w:r>
    </w:p>
    <w:p w:rsidR="0065609F" w:rsidRDefault="0065609F" w:rsidP="00762261">
      <w:pPr>
        <w:pStyle w:val="clauseheadlevel4"/>
      </w:pPr>
      <w:bookmarkStart w:id="552" w:name="Elkera_Print_TOC254"/>
      <w:bookmarkStart w:id="553" w:name="id510930a3_91ea_457f_a9f8_7f7eae1cb1d4_c"/>
      <w:r>
        <w:t>140—Proposed revision of a pipeline management plan</w:t>
      </w:r>
      <w:bookmarkEnd w:id="552"/>
      <w:bookmarkEnd w:id="553"/>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This regulation applies if—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a pipeline licensee resubmits a revision of a pipeline management plan under </w:t>
      </w:r>
      <w:hyperlink w:anchor="id33df2c3b_9bd5_436c_a109_59fdc7f29b40_9" w:history="1">
        <w:r>
          <w:rPr>
            <w:color w:val="000000"/>
            <w:sz w:val="23"/>
            <w:szCs w:val="23"/>
          </w:rPr>
          <w:t>regulation 125</w:t>
        </w:r>
      </w:hyperlink>
      <w:r>
        <w:rPr>
          <w:color w:val="000000"/>
          <w:sz w:val="23"/>
          <w:szCs w:val="23"/>
        </w:rPr>
        <w:t xml:space="preserve">, </w:t>
      </w:r>
      <w:hyperlink w:anchor="id614cd66c_99e8_40c1_866c_6dcf27e65ab6_a" w:history="1">
        <w:r>
          <w:rPr>
            <w:color w:val="000000"/>
            <w:sz w:val="23"/>
            <w:szCs w:val="23"/>
          </w:rPr>
          <w:t>126</w:t>
        </w:r>
      </w:hyperlink>
      <w:r>
        <w:rPr>
          <w:color w:val="000000"/>
          <w:sz w:val="23"/>
          <w:szCs w:val="23"/>
        </w:rPr>
        <w:t xml:space="preserve"> or </w:t>
      </w:r>
      <w:hyperlink w:anchor="ida8c71cc7_cced_4034_a686_427bd4698c95_3" w:history="1">
        <w:r>
          <w:rPr>
            <w:color w:val="000000"/>
            <w:sz w:val="23"/>
            <w:szCs w:val="23"/>
          </w:rPr>
          <w:t>127</w:t>
        </w:r>
      </w:hyperlink>
      <w:r>
        <w:rPr>
          <w:color w:val="000000"/>
          <w:sz w:val="23"/>
          <w:szCs w:val="23"/>
        </w:rPr>
        <w: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revision deals in whole or in part with the pipeline safety management plan;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Minister gives the Safety Authority a copy of the pipeline management plan.</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54" w:name="id65c6359e_49e8_4cf9_98a3_c8681bf457bd_0"/>
      <w:r>
        <w:rPr>
          <w:color w:val="000000"/>
          <w:sz w:val="23"/>
          <w:szCs w:val="23"/>
        </w:rPr>
        <w:tab/>
        <w:t>(2)</w:t>
      </w:r>
      <w:r>
        <w:rPr>
          <w:color w:val="000000"/>
          <w:sz w:val="23"/>
          <w:szCs w:val="23"/>
        </w:rPr>
        <w:tab/>
        <w:t>The Safety Authority, within 21 days, must—</w:t>
      </w:r>
      <w:bookmarkEnd w:id="554"/>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consider the proposed revision of the pipeline safety management plan;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decide—</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to accept the proposed revision in full;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to refuse to accept the proposed revision;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to do both of the following:</w:t>
      </w:r>
    </w:p>
    <w:p w:rsidR="0065609F" w:rsidRDefault="0065609F" w:rsidP="00762261">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(A)</w:t>
      </w:r>
      <w:r>
        <w:rPr>
          <w:color w:val="000000"/>
          <w:sz w:val="23"/>
          <w:szCs w:val="23"/>
        </w:rPr>
        <w:tab/>
        <w:t>accept the proposed revision only for 1 or more specified stages connected with the life of the pipeline, but not for all of the stages to which the pipeline management plan relates; and</w:t>
      </w:r>
    </w:p>
    <w:p w:rsidR="0065609F" w:rsidRDefault="0065609F" w:rsidP="00762261">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(B)</w:t>
      </w:r>
      <w:r>
        <w:rPr>
          <w:color w:val="000000"/>
          <w:sz w:val="23"/>
          <w:szCs w:val="23"/>
        </w:rPr>
        <w:tab/>
        <w:t>refuse to accept the rest of the proposed revision;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(iv)</w:t>
      </w:r>
      <w:r>
        <w:rPr>
          <w:color w:val="000000"/>
          <w:sz w:val="23"/>
          <w:szCs w:val="23"/>
        </w:rPr>
        <w:tab/>
        <w:t>that it is unable to make a decision on the proposed revision;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555" w:name="id5965ab24_9a2d_4717_a129_a7e3b2464556_1"/>
      <w:r>
        <w:rPr>
          <w:color w:val="000000"/>
          <w:sz w:val="23"/>
          <w:szCs w:val="23"/>
        </w:rPr>
        <w:tab/>
        <w:t>(c)</w:t>
      </w:r>
      <w:r>
        <w:rPr>
          <w:color w:val="000000"/>
          <w:sz w:val="23"/>
          <w:szCs w:val="23"/>
        </w:rPr>
        <w:tab/>
        <w:t>notify the Minister, in writing, of the Safety Authority's decision and the reasons for any refusal.</w:t>
      </w:r>
      <w:bookmarkEnd w:id="555"/>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1588"/>
        <w:jc w:val="left"/>
        <w:rPr>
          <w:color w:val="000000"/>
          <w:sz w:val="20"/>
          <w:szCs w:val="20"/>
        </w:rPr>
      </w:pPr>
      <w:r>
        <w:rPr>
          <w:color w:val="000000"/>
          <w:sz w:val="20"/>
          <w:szCs w:val="20"/>
        </w:rPr>
        <w:t xml:space="preserve">See </w:t>
      </w:r>
      <w:hyperlink w:anchor="id2ef484a3_11d5_49c8_9ca2_1b1679451b1f_f" w:history="1">
        <w:r>
          <w:rPr>
            <w:color w:val="000000"/>
            <w:sz w:val="20"/>
            <w:szCs w:val="20"/>
          </w:rPr>
          <w:t>regulation 114(2)</w:t>
        </w:r>
      </w:hyperlink>
      <w:r>
        <w:rPr>
          <w:color w:val="000000"/>
          <w:sz w:val="20"/>
          <w:szCs w:val="20"/>
        </w:rPr>
        <w:t xml:space="preserve"> for the stages connected with the life of the pipeline.</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The Safety Authority—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may make an acceptance of a proposed revision, or of a proposed revision for 1 or more specified stages connected with the life of the pipeline, subject to conditions or limitations;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must include any conditions or limitations in the notice under </w:t>
      </w:r>
      <w:hyperlink w:anchor="id5965ab24_9a2d_4717_a129_a7e3b2464556_1" w:history="1">
        <w:r>
          <w:rPr>
            <w:color w:val="000000"/>
            <w:sz w:val="23"/>
            <w:szCs w:val="23"/>
          </w:rPr>
          <w:t>subregulation (2)(c)</w:t>
        </w:r>
      </w:hyperlink>
      <w:r>
        <w:rPr>
          <w:color w:val="000000"/>
          <w:sz w:val="23"/>
          <w:szCs w:val="23"/>
        </w:rPr>
        <w: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56" w:name="id1214198e_02bd_40be_ad28_7c8c64ae2eaf_8"/>
      <w:r>
        <w:rPr>
          <w:color w:val="000000"/>
          <w:sz w:val="23"/>
          <w:szCs w:val="23"/>
        </w:rPr>
        <w:tab/>
        <w:t>(4)</w:t>
      </w:r>
      <w:r>
        <w:rPr>
          <w:color w:val="000000"/>
          <w:sz w:val="23"/>
          <w:szCs w:val="23"/>
        </w:rPr>
        <w:tab/>
        <w:t xml:space="preserve">If the Safety Authority is unable to make a decision on the pipeline safety management plan, the Safety Authority must include in the notice under </w:t>
      </w:r>
      <w:hyperlink w:anchor="id5965ab24_9a2d_4717_a129_a7e3b2464556_1" w:history="1">
        <w:r>
          <w:rPr>
            <w:color w:val="000000"/>
            <w:sz w:val="23"/>
            <w:szCs w:val="23"/>
          </w:rPr>
          <w:t>subregulation (2)(c)</w:t>
        </w:r>
      </w:hyperlink>
      <w:r>
        <w:rPr>
          <w:color w:val="000000"/>
          <w:sz w:val="23"/>
          <w:szCs w:val="23"/>
        </w:rPr>
        <w:t>—</w:t>
      </w:r>
      <w:bookmarkEnd w:id="556"/>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proposed timetable for consideration of the proposed revision that gives the pipeline licensee a reasonable opportunity to modify or resubmit the proposed revision; and</w:t>
      </w:r>
    </w:p>
    <w:p w:rsidR="00CC0B74" w:rsidRDefault="00CC0B74" w:rsidP="00762261">
      <w:pPr>
        <w:spacing w:after="0" w:line="240" w:lineRule="auto"/>
        <w:jc w:val="left"/>
        <w:rPr>
          <w:color w:val="000000"/>
          <w:sz w:val="23"/>
          <w:szCs w:val="23"/>
        </w:rPr>
      </w:pPr>
      <w:r>
        <w:rPr>
          <w:color w:val="000000"/>
          <w:sz w:val="23"/>
          <w:szCs w:val="23"/>
        </w:rPr>
        <w:br w:type="page"/>
      </w:r>
    </w:p>
    <w:p w:rsidR="00CC0B74" w:rsidRDefault="00CC0B74" w:rsidP="00762261">
      <w:pPr>
        <w:pStyle w:val="RegSpace"/>
        <w:jc w:val="left"/>
      </w:pP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 description of any further information the Safety Authority may require to assist it to consider the proposed revision.</w:t>
      </w:r>
    </w:p>
    <w:p w:rsidR="0065609F" w:rsidRDefault="0065609F" w:rsidP="00762261">
      <w:pPr>
        <w:pStyle w:val="clauseheadlevel4"/>
      </w:pPr>
      <w:bookmarkStart w:id="557" w:name="Elkera_Print_TOC255"/>
      <w:bookmarkStart w:id="558" w:name="Elkera_Print_BK255"/>
      <w:r>
        <w:t>141—Notice to pipeline licensee about proposed revision of a pipeline safety management plan</w:t>
      </w:r>
      <w:bookmarkEnd w:id="557"/>
      <w:bookmarkEnd w:id="558"/>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59" w:name="id93d3a9d1_592a_4dff_bb52_1b8cfcd13aa1_a"/>
      <w:r>
        <w:rPr>
          <w:color w:val="000000"/>
          <w:sz w:val="23"/>
          <w:szCs w:val="23"/>
        </w:rPr>
        <w:tab/>
        <w:t>(1)</w:t>
      </w:r>
      <w:r>
        <w:rPr>
          <w:color w:val="000000"/>
          <w:sz w:val="23"/>
          <w:szCs w:val="23"/>
        </w:rPr>
        <w:tab/>
        <w:t xml:space="preserve">For the purposes of </w:t>
      </w:r>
      <w:hyperlink w:anchor="idf66f6419_4962_4507_b5bd_ff0241715332_5" w:history="1">
        <w:r>
          <w:rPr>
            <w:color w:val="000000"/>
            <w:sz w:val="23"/>
            <w:szCs w:val="23"/>
          </w:rPr>
          <w:t>regulation 129(1)</w:t>
        </w:r>
      </w:hyperlink>
      <w:r>
        <w:rPr>
          <w:color w:val="000000"/>
          <w:sz w:val="23"/>
          <w:szCs w:val="23"/>
        </w:rPr>
        <w:t xml:space="preserve">, if the Safety Authority has given the Minister a timetable under </w:t>
      </w:r>
      <w:hyperlink w:anchor="id1214198e_02bd_40be_ad28_7c8c64ae2eaf_8" w:history="1">
        <w:r>
          <w:rPr>
            <w:color w:val="000000"/>
            <w:sz w:val="23"/>
            <w:szCs w:val="23"/>
          </w:rPr>
          <w:t>regulation 140(4)</w:t>
        </w:r>
      </w:hyperlink>
      <w:r>
        <w:rPr>
          <w:color w:val="000000"/>
          <w:sz w:val="23"/>
          <w:szCs w:val="23"/>
        </w:rPr>
        <w:t xml:space="preserve"> for consideration of the pipeline safety management plan, the Minister must give written notice to the pipeline licensee explaining the effect of the timetable.</w:t>
      </w:r>
      <w:bookmarkEnd w:id="559"/>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 failure by the Safety Authority to comply with </w:t>
      </w:r>
      <w:hyperlink w:anchor="id93d3a9d1_592a_4dff_bb52_1b8cfcd13aa1_a" w:history="1">
        <w:r>
          <w:rPr>
            <w:color w:val="000000"/>
            <w:sz w:val="23"/>
            <w:szCs w:val="23"/>
          </w:rPr>
          <w:t>subregulation (1)</w:t>
        </w:r>
      </w:hyperlink>
      <w:r>
        <w:rPr>
          <w:color w:val="000000"/>
          <w:sz w:val="23"/>
          <w:szCs w:val="23"/>
        </w:rPr>
        <w:t xml:space="preserve"> in relation to a pipeline safety management plan does not affect the validity of a decision by the Safety Authority to accept or reject the pipeline safety management plan.</w:t>
      </w:r>
    </w:p>
    <w:p w:rsidR="0065609F" w:rsidRDefault="0065609F" w:rsidP="00762261">
      <w:pPr>
        <w:pStyle w:val="subdivisionheadlevel3"/>
      </w:pPr>
      <w:bookmarkStart w:id="560" w:name="Elkera_Print_TOC256"/>
      <w:bookmarkStart w:id="561" w:name="Elkera_Print_BK256"/>
      <w:r>
        <w:t>Subdivision 3—Withdrawal of acceptance of a pipeline safety management plan</w:t>
      </w:r>
      <w:bookmarkEnd w:id="560"/>
      <w:bookmarkEnd w:id="561"/>
    </w:p>
    <w:p w:rsidR="0065609F" w:rsidRDefault="0065609F" w:rsidP="00762261">
      <w:pPr>
        <w:pStyle w:val="clauseheadlevel4"/>
      </w:pPr>
      <w:bookmarkStart w:id="562" w:name="Elkera_Print_TOC258"/>
      <w:bookmarkStart w:id="563" w:name="idabd81bb0_c080_4a5c_9e9a_69a9d99f1681_7"/>
      <w:r>
        <w:t>142—Request for withdrawal of acceptance of a pipeline management plan</w:t>
      </w:r>
      <w:bookmarkEnd w:id="562"/>
      <w:bookmarkEnd w:id="563"/>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64" w:name="ida387a27f_a163_492a_bc9c_bf2b9c2589ae_4"/>
      <w:r>
        <w:rPr>
          <w:color w:val="000000"/>
          <w:sz w:val="23"/>
          <w:szCs w:val="23"/>
        </w:rPr>
        <w:tab/>
        <w:t>(1)</w:t>
      </w:r>
      <w:r>
        <w:rPr>
          <w:color w:val="000000"/>
          <w:sz w:val="23"/>
          <w:szCs w:val="23"/>
        </w:rPr>
        <w:tab/>
        <w:t>The Safety Authority may, by written notice to the Minister, request the Minister to withdraw the acceptance of a pipeline management plan in force for a pipeline on any of the following grounds:</w:t>
      </w:r>
      <w:bookmarkEnd w:id="564"/>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operator of the pipeline has not complied with a listed OHS law in relation to the pipeline;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the pipeline licensee has not complied with </w:t>
      </w:r>
      <w:hyperlink w:anchor="idec1cb355_bd75_4b3a_bce3_1e114438b2ee_0" w:history="1">
        <w:r>
          <w:rPr>
            <w:color w:val="000000"/>
            <w:sz w:val="23"/>
            <w:szCs w:val="23"/>
          </w:rPr>
          <w:t>regulation 105</w:t>
        </w:r>
      </w:hyperlink>
      <w:r>
        <w:rPr>
          <w:color w:val="000000"/>
          <w:sz w:val="23"/>
          <w:szCs w:val="23"/>
        </w:rPr>
        <w:t xml:space="preserve"> or </w:t>
      </w:r>
      <w:hyperlink w:anchor="id9de07bb9_74dc_422e_a6b5_ad27afe07eca_e" w:history="1">
        <w:r>
          <w:rPr>
            <w:color w:val="000000"/>
            <w:sz w:val="23"/>
            <w:szCs w:val="23"/>
          </w:rPr>
          <w:t>111</w:t>
        </w:r>
      </w:hyperlink>
      <w:r>
        <w:rPr>
          <w:color w:val="000000"/>
          <w:sz w:val="23"/>
          <w:szCs w:val="23"/>
        </w:rPr>
        <w:t xml:space="preserve"> in relation to the pipeline safety management plan;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 xml:space="preserve">the pipeline licensee has not complied with </w:t>
      </w:r>
      <w:hyperlink w:anchor="id33df2c3b_9bd5_436c_a109_59fdc7f29b40_9" w:history="1">
        <w:r>
          <w:rPr>
            <w:color w:val="000000"/>
            <w:sz w:val="23"/>
            <w:szCs w:val="23"/>
          </w:rPr>
          <w:t>regulation 125</w:t>
        </w:r>
      </w:hyperlink>
      <w:r>
        <w:rPr>
          <w:color w:val="000000"/>
          <w:sz w:val="23"/>
          <w:szCs w:val="23"/>
        </w:rPr>
        <w:t xml:space="preserve">, </w:t>
      </w:r>
      <w:hyperlink w:anchor="id614cd66c_99e8_40c1_866c_6dcf27e65ab6_a" w:history="1">
        <w:r>
          <w:rPr>
            <w:color w:val="000000"/>
            <w:sz w:val="23"/>
            <w:szCs w:val="23"/>
          </w:rPr>
          <w:t>126</w:t>
        </w:r>
      </w:hyperlink>
      <w:r>
        <w:rPr>
          <w:color w:val="000000"/>
          <w:sz w:val="23"/>
          <w:szCs w:val="23"/>
        </w:rPr>
        <w:t xml:space="preserve"> or </w:t>
      </w:r>
      <w:hyperlink w:anchor="ida8c71cc7_cced_4034_a686_427bd4698c95_3" w:history="1">
        <w:r>
          <w:rPr>
            <w:color w:val="000000"/>
            <w:sz w:val="23"/>
            <w:szCs w:val="23"/>
          </w:rPr>
          <w:t>127</w:t>
        </w:r>
      </w:hyperlink>
      <w:r>
        <w:rPr>
          <w:color w:val="000000"/>
          <w:sz w:val="23"/>
          <w:szCs w:val="23"/>
        </w:rPr>
        <w:t xml:space="preserve"> in relation to the pipeline safety management plan;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 Safety Authority has refused to accept a proposed revision of the pipeline safety management plan.</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notice must—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be in writing;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include the grounds for giving the notice.</w:t>
      </w:r>
    </w:p>
    <w:p w:rsidR="0065609F" w:rsidRDefault="0065609F" w:rsidP="00762261">
      <w:pPr>
        <w:pStyle w:val="clauseheadlevel4"/>
      </w:pPr>
      <w:bookmarkStart w:id="565" w:name="Elkera_Print_TOC259"/>
      <w:bookmarkStart w:id="566" w:name="Elkera_Print_BK259"/>
      <w:r>
        <w:t>143—Steps to be taken before request for withdrawal of acceptance</w:t>
      </w:r>
      <w:bookmarkEnd w:id="565"/>
      <w:bookmarkEnd w:id="566"/>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Before giving the Minister a notice under </w:t>
      </w:r>
      <w:hyperlink w:anchor="ida387a27f_a163_492a_bc9c_bf2b9c2589ae_4" w:history="1">
        <w:r>
          <w:rPr>
            <w:color w:val="000000"/>
            <w:sz w:val="23"/>
            <w:szCs w:val="23"/>
          </w:rPr>
          <w:t>regulation 142(1)</w:t>
        </w:r>
      </w:hyperlink>
      <w:r>
        <w:rPr>
          <w:color w:val="000000"/>
          <w:sz w:val="23"/>
          <w:szCs w:val="23"/>
        </w:rPr>
        <w: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the Safety Authority must comply with </w:t>
      </w:r>
      <w:hyperlink w:anchor="id5c85ee48_4b4d_49f4_be5c_62692d9120b5_a" w:history="1">
        <w:r>
          <w:rPr>
            <w:color w:val="000000"/>
            <w:sz w:val="23"/>
            <w:szCs w:val="23"/>
          </w:rPr>
          <w:t>subregulation (2)</w:t>
        </w:r>
      </w:hyperlink>
      <w:r>
        <w:rPr>
          <w:color w:val="000000"/>
          <w:sz w:val="23"/>
          <w:szCs w:val="23"/>
        </w:rPr>
        <w: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the Minister must comply with </w:t>
      </w:r>
      <w:hyperlink w:anchor="id7e8bf851_41d0_471c_b3c5_4a68ed65e9fc_6" w:history="1">
        <w:r>
          <w:rPr>
            <w:color w:val="000000"/>
            <w:sz w:val="23"/>
            <w:szCs w:val="23"/>
          </w:rPr>
          <w:t>subregulations (3)</w:t>
        </w:r>
      </w:hyperlink>
      <w:r>
        <w:rPr>
          <w:color w:val="000000"/>
          <w:sz w:val="23"/>
          <w:szCs w:val="23"/>
        </w:rPr>
        <w:t xml:space="preserve">, </w:t>
      </w:r>
      <w:hyperlink w:anchor="id733ff0c2_c6f2_4cfc_addc_012fda761cfd_a" w:history="1">
        <w:r>
          <w:rPr>
            <w:color w:val="000000"/>
            <w:sz w:val="23"/>
            <w:szCs w:val="23"/>
          </w:rPr>
          <w:t>(4)</w:t>
        </w:r>
      </w:hyperlink>
      <w:r>
        <w:rPr>
          <w:color w:val="000000"/>
          <w:sz w:val="23"/>
          <w:szCs w:val="23"/>
        </w:rPr>
        <w:t xml:space="preserve"> and </w:t>
      </w:r>
      <w:hyperlink w:anchor="id8138a95c_e0ca_40d3_9ca0_18ca8a7fc78b_6" w:history="1">
        <w:r>
          <w:rPr>
            <w:color w:val="000000"/>
            <w:sz w:val="23"/>
            <w:szCs w:val="23"/>
          </w:rPr>
          <w:t>(5)</w:t>
        </w:r>
      </w:hyperlink>
      <w:r>
        <w:rPr>
          <w:color w:val="000000"/>
          <w:sz w:val="23"/>
          <w:szCs w:val="23"/>
        </w:rPr>
        <w: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67" w:name="id5c85ee48_4b4d_49f4_be5c_62692d9120b5_a"/>
      <w:r>
        <w:rPr>
          <w:color w:val="000000"/>
          <w:sz w:val="23"/>
          <w:szCs w:val="23"/>
        </w:rPr>
        <w:tab/>
        <w:t>(2)</w:t>
      </w:r>
      <w:r>
        <w:rPr>
          <w:color w:val="000000"/>
          <w:sz w:val="23"/>
          <w:szCs w:val="23"/>
        </w:rPr>
        <w:tab/>
        <w:t xml:space="preserve">The Safety Authority must give the Minister a written notice that the Safety Authority is considering giving the Minister the notice under </w:t>
      </w:r>
      <w:hyperlink w:anchor="ida387a27f_a163_492a_bc9c_bf2b9c2589ae_4" w:history="1">
        <w:r>
          <w:rPr>
            <w:color w:val="000000"/>
            <w:sz w:val="23"/>
            <w:szCs w:val="23"/>
          </w:rPr>
          <w:t>regulation 142(1)</w:t>
        </w:r>
      </w:hyperlink>
      <w:r>
        <w:rPr>
          <w:color w:val="000000"/>
          <w:sz w:val="23"/>
          <w:szCs w:val="23"/>
        </w:rPr>
        <w:t>.</w:t>
      </w:r>
      <w:bookmarkEnd w:id="567"/>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68" w:name="id7e8bf851_41d0_471c_b3c5_4a68ed65e9fc_6"/>
      <w:r>
        <w:rPr>
          <w:color w:val="000000"/>
          <w:sz w:val="23"/>
          <w:szCs w:val="23"/>
        </w:rPr>
        <w:tab/>
        <w:t>(3)</w:t>
      </w:r>
      <w:r>
        <w:rPr>
          <w:color w:val="000000"/>
          <w:sz w:val="23"/>
          <w:szCs w:val="23"/>
        </w:rPr>
        <w:tab/>
        <w:t>The Minister must give a notice to the pipeline licensee stating—</w:t>
      </w:r>
      <w:bookmarkEnd w:id="568"/>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that the Safety Authority is considering giving the Minister the notice under </w:t>
      </w:r>
      <w:hyperlink w:anchor="ida387a27f_a163_492a_bc9c_bf2b9c2589ae_4" w:history="1">
        <w:r>
          <w:rPr>
            <w:color w:val="000000"/>
            <w:sz w:val="23"/>
            <w:szCs w:val="23"/>
          </w:rPr>
          <w:t>regulation 142(1)</w:t>
        </w:r>
      </w:hyperlink>
      <w:r>
        <w:rPr>
          <w:color w:val="000000"/>
          <w:sz w:val="23"/>
          <w:szCs w:val="23"/>
        </w:rPr>
        <w: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grounds for giving the notice; and</w:t>
      </w:r>
    </w:p>
    <w:p w:rsidR="00C87879" w:rsidRDefault="00C87879" w:rsidP="00762261">
      <w:pPr>
        <w:spacing w:after="0" w:line="240" w:lineRule="auto"/>
        <w:jc w:val="left"/>
        <w:rPr>
          <w:color w:val="000000"/>
          <w:sz w:val="23"/>
          <w:szCs w:val="23"/>
        </w:rPr>
      </w:pPr>
      <w:r>
        <w:rPr>
          <w:color w:val="000000"/>
          <w:sz w:val="23"/>
          <w:szCs w:val="23"/>
        </w:rPr>
        <w:br w:type="page"/>
      </w:r>
    </w:p>
    <w:p w:rsidR="00C87879" w:rsidRDefault="00C87879" w:rsidP="00762261">
      <w:pPr>
        <w:pStyle w:val="RegSpace"/>
        <w:jc w:val="left"/>
      </w:pP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 xml:space="preserve">a date (the </w:t>
      </w:r>
      <w:r>
        <w:rPr>
          <w:b/>
          <w:bCs/>
          <w:i/>
          <w:iCs/>
          <w:color w:val="000000"/>
          <w:sz w:val="23"/>
          <w:szCs w:val="23"/>
        </w:rPr>
        <w:t>cut</w:t>
      </w:r>
      <w:r>
        <w:rPr>
          <w:b/>
          <w:bCs/>
          <w:i/>
          <w:iCs/>
          <w:color w:val="000000"/>
          <w:sz w:val="23"/>
          <w:szCs w:val="23"/>
        </w:rPr>
        <w:noBreakHyphen/>
        <w:t>off date</w:t>
      </w:r>
      <w:r>
        <w:rPr>
          <w:color w:val="000000"/>
          <w:sz w:val="23"/>
          <w:szCs w:val="23"/>
        </w:rPr>
        <w:t>) on or before which the pipeline licensee (or any other person to whom a copy of the notice has been given) may submit to the Minister, in writing, any matters for the Minister to take into account.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69" w:name="id733ff0c2_c6f2_4cfc_addc_012fda761cfd_a"/>
      <w:r>
        <w:rPr>
          <w:color w:val="000000"/>
          <w:sz w:val="23"/>
          <w:szCs w:val="23"/>
        </w:rPr>
        <w:tab/>
        <w:t>(4)</w:t>
      </w:r>
      <w:r>
        <w:rPr>
          <w:color w:val="000000"/>
          <w:sz w:val="23"/>
          <w:szCs w:val="23"/>
        </w:rPr>
        <w:tab/>
        <w:t>The Minister—</w:t>
      </w:r>
      <w:bookmarkEnd w:id="569"/>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must give a copy of the notice under </w:t>
      </w:r>
      <w:hyperlink w:anchor="id7e8bf851_41d0_471c_b3c5_4a68ed65e9fc_6" w:history="1">
        <w:r>
          <w:rPr>
            <w:color w:val="000000"/>
            <w:sz w:val="23"/>
            <w:szCs w:val="23"/>
          </w:rPr>
          <w:t>subregulation (3)</w:t>
        </w:r>
      </w:hyperlink>
      <w:r>
        <w:rPr>
          <w:color w:val="000000"/>
          <w:sz w:val="23"/>
          <w:szCs w:val="23"/>
        </w:rPr>
        <w:t xml:space="preserve"> to the operator, if the operator is not the pipeline licensee;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may give a copy of the notice to any other person that the Minister thinks appropriate.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70" w:name="id8138a95c_e0ca_40d3_9ca0_18ca8a7fc78b_6"/>
      <w:r>
        <w:rPr>
          <w:color w:val="000000"/>
          <w:sz w:val="23"/>
          <w:szCs w:val="23"/>
        </w:rPr>
        <w:tab/>
        <w:t>(5)</w:t>
      </w:r>
      <w:r>
        <w:rPr>
          <w:color w:val="000000"/>
          <w:sz w:val="23"/>
          <w:szCs w:val="23"/>
        </w:rPr>
        <w:tab/>
        <w:t>If, on or before the cut</w:t>
      </w:r>
      <w:r>
        <w:rPr>
          <w:color w:val="000000"/>
          <w:sz w:val="23"/>
          <w:szCs w:val="23"/>
        </w:rPr>
        <w:noBreakHyphen/>
        <w:t>off date, the pipeline licensee (or any other person to whom a copy of the notice has been given) submits to the Minister, in writing, a matter for the Safety Authority to take into account, the Minister must give a copy of the matter to the Safety Authority as soon as practicable after the pipeline licensee gives the matter to the Minister.</w:t>
      </w:r>
      <w:bookmarkEnd w:id="570"/>
    </w:p>
    <w:p w:rsidR="0065609F" w:rsidRDefault="0065609F" w:rsidP="00762261">
      <w:pPr>
        <w:pStyle w:val="clauseheadlevel4"/>
      </w:pPr>
      <w:bookmarkStart w:id="571" w:name="Elkera_Print_TOC260"/>
      <w:bookmarkStart w:id="572" w:name="Elkera_Print_BK260"/>
      <w:r>
        <w:t>144—Withdrawal of acceptance of a pipeline management plan on request</w:t>
      </w:r>
      <w:bookmarkEnd w:id="571"/>
      <w:bookmarkEnd w:id="572"/>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73" w:name="id82ce9834_548e_43b2_83f5_8b27d3d25f15_2"/>
      <w:r>
        <w:rPr>
          <w:color w:val="000000"/>
          <w:sz w:val="23"/>
          <w:szCs w:val="23"/>
        </w:rPr>
        <w:tab/>
        <w:t>(1)</w:t>
      </w:r>
      <w:r>
        <w:rPr>
          <w:color w:val="000000"/>
          <w:sz w:val="23"/>
          <w:szCs w:val="23"/>
        </w:rPr>
        <w:tab/>
        <w:t xml:space="preserve">In deciding whether to give the Minister the notice under </w:t>
      </w:r>
      <w:hyperlink w:anchor="ida387a27f_a163_492a_bc9c_bf2b9c2589ae_4" w:history="1">
        <w:r>
          <w:rPr>
            <w:color w:val="000000"/>
            <w:sz w:val="23"/>
            <w:szCs w:val="23"/>
          </w:rPr>
          <w:t>regulation 142(1)</w:t>
        </w:r>
      </w:hyperlink>
      <w:r>
        <w:rPr>
          <w:color w:val="000000"/>
          <w:sz w:val="23"/>
          <w:szCs w:val="23"/>
        </w:rPr>
        <w:t>, the Safety Authority must take into account—</w:t>
      </w:r>
      <w:bookmarkEnd w:id="573"/>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any action taken by the pipeline licensee or the operator—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to remove the ground for withdrawal of acceptance;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to prevent the recurrence of that ground;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any matter submitted to the Minister before the cut</w:t>
      </w:r>
      <w:r>
        <w:rPr>
          <w:color w:val="000000"/>
          <w:sz w:val="23"/>
          <w:szCs w:val="23"/>
        </w:rPr>
        <w:noBreakHyphen/>
        <w:t>off date by the pipeline licensee or another person to whom a copy of the notice has been given.</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If, after complying with </w:t>
      </w:r>
      <w:hyperlink w:anchor="id82ce9834_548e_43b2_83f5_8b27d3d25f15_2" w:history="1">
        <w:r>
          <w:rPr>
            <w:color w:val="000000"/>
            <w:sz w:val="23"/>
            <w:szCs w:val="23"/>
          </w:rPr>
          <w:t>subregulation (1)</w:t>
        </w:r>
      </w:hyperlink>
      <w:r>
        <w:rPr>
          <w:color w:val="000000"/>
          <w:sz w:val="23"/>
          <w:szCs w:val="23"/>
        </w:rPr>
        <w:t xml:space="preserve">, the Safety Authority gives the Minister a notice under </w:t>
      </w:r>
      <w:hyperlink w:anchor="ida387a27f_a163_492a_bc9c_bf2b9c2589ae_4" w:history="1">
        <w:r>
          <w:rPr>
            <w:color w:val="000000"/>
            <w:sz w:val="23"/>
            <w:szCs w:val="23"/>
          </w:rPr>
          <w:t>regulation 142(1)</w:t>
        </w:r>
      </w:hyperlink>
      <w:r>
        <w:rPr>
          <w:color w:val="000000"/>
          <w:sz w:val="23"/>
          <w:szCs w:val="23"/>
        </w:rPr>
        <w:t>, the Minister—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must withdraw the pipeline management plan under </w:t>
      </w:r>
      <w:hyperlink w:anchor="idf9f91377_3142_4763_b4cf_c1b453abf2b7_a" w:history="1">
        <w:r>
          <w:rPr>
            <w:color w:val="000000"/>
            <w:sz w:val="23"/>
            <w:szCs w:val="23"/>
          </w:rPr>
          <w:t>regulation 132</w:t>
        </w:r>
      </w:hyperlink>
      <w:r>
        <w:rPr>
          <w:color w:val="000000"/>
          <w:sz w:val="23"/>
          <w:szCs w:val="23"/>
        </w:rPr>
        <w: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must give a copy of the notice withdrawing the pipeline management plan to the operator, if the operator is not the pipeline licensee.</w:t>
      </w:r>
    </w:p>
    <w:p w:rsidR="0065609F" w:rsidRDefault="0065609F" w:rsidP="00762261">
      <w:pPr>
        <w:pStyle w:val="divisionheadlevel2"/>
      </w:pPr>
      <w:bookmarkStart w:id="574" w:name="Elkera_Print_TOC261"/>
      <w:bookmarkStart w:id="575" w:name="Elkera_Print_BK261"/>
      <w:r>
        <w:t>Division 6—Notifying and reporting accidents and dangerous occurrences</w:t>
      </w:r>
      <w:bookmarkEnd w:id="574"/>
      <w:bookmarkEnd w:id="575"/>
    </w:p>
    <w:p w:rsidR="0065609F" w:rsidRDefault="0065609F" w:rsidP="00762261">
      <w:pPr>
        <w:pStyle w:val="clauseheadlevel3"/>
      </w:pPr>
      <w:bookmarkStart w:id="576" w:name="Elkera_Print_TOC262"/>
      <w:bookmarkStart w:id="577" w:name="Elkera_Print_BK262"/>
      <w:r>
        <w:t>145—Prescribed period of incapacity</w:t>
      </w:r>
      <w:bookmarkEnd w:id="576"/>
      <w:bookmarkEnd w:id="577"/>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For the purposes of clause 67(1)(b) of Schedule 7 of the Act, the prescribed period in relation to a pipeline is 3 days.</w:t>
      </w:r>
    </w:p>
    <w:p w:rsidR="0065609F" w:rsidRDefault="0065609F" w:rsidP="00762261">
      <w:pPr>
        <w:pStyle w:val="clauseheadlevel3"/>
      </w:pPr>
      <w:bookmarkStart w:id="578" w:name="Elkera_Print_TOC263"/>
      <w:bookmarkStart w:id="579" w:name="Elkera_Print_BK263"/>
      <w:r>
        <w:t>146—Meaning of dangerous occurrence</w:t>
      </w:r>
      <w:bookmarkEnd w:id="578"/>
      <w:bookmarkEnd w:id="579"/>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For the purposes of the definition of </w:t>
      </w:r>
      <w:r>
        <w:rPr>
          <w:b/>
          <w:bCs/>
          <w:i/>
          <w:iCs/>
          <w:color w:val="000000"/>
          <w:sz w:val="23"/>
          <w:szCs w:val="23"/>
        </w:rPr>
        <w:t>dangerous occurrence</w:t>
      </w:r>
      <w:r>
        <w:rPr>
          <w:color w:val="000000"/>
          <w:sz w:val="23"/>
          <w:szCs w:val="23"/>
        </w:rPr>
        <w:t xml:space="preserve"> in clause 3 of Schedule 7 of the Act, a dangerous occurrence is an occurrence at a pipeline that—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created a substantial risk of an accident;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was of a kind that a reasonable operator would consider to require an immediate investigation.</w:t>
      </w:r>
    </w:p>
    <w:p w:rsidR="00C87879" w:rsidRDefault="00C87879" w:rsidP="00762261">
      <w:pPr>
        <w:spacing w:after="0" w:line="240" w:lineRule="auto"/>
        <w:jc w:val="left"/>
        <w:rPr>
          <w:b/>
          <w:bCs/>
          <w:color w:val="000000"/>
          <w:sz w:val="20"/>
          <w:szCs w:val="20"/>
        </w:rPr>
      </w:pPr>
      <w:r>
        <w:rPr>
          <w:b/>
          <w:bCs/>
          <w:color w:val="000000"/>
          <w:sz w:val="20"/>
          <w:szCs w:val="20"/>
        </w:rPr>
        <w:br w:type="page"/>
      </w:r>
    </w:p>
    <w:p w:rsidR="00C87879" w:rsidRDefault="00C87879" w:rsidP="00762261">
      <w:pPr>
        <w:pStyle w:val="RegSpace"/>
        <w:jc w:val="left"/>
      </w:pPr>
    </w:p>
    <w:p w:rsidR="0065609F" w:rsidRDefault="0065609F" w:rsidP="00762261">
      <w:pPr>
        <w:keepNext/>
        <w:keepLines/>
        <w:autoSpaceDE w:val="0"/>
        <w:autoSpaceDN w:val="0"/>
        <w:adjustRightInd w:val="0"/>
        <w:spacing w:before="120" w:after="0" w:line="240" w:lineRule="auto"/>
        <w:ind w:left="794" w:hanging="567"/>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794"/>
        <w:jc w:val="left"/>
        <w:rPr>
          <w:color w:val="000000"/>
          <w:sz w:val="20"/>
          <w:szCs w:val="20"/>
        </w:rPr>
      </w:pPr>
      <w:r>
        <w:rPr>
          <w:color w:val="000000"/>
          <w:sz w:val="20"/>
          <w:szCs w:val="20"/>
        </w:rPr>
        <w:t>This regulation relates to the reporting of accidents or dangerous occurrences under Schedule 7 of the Act, and therefore relates to incidents affecting or potentially affecting health and safety. Incidents of that kind must be reported to the Safety Authority by the operator.</w:t>
      </w:r>
    </w:p>
    <w:p w:rsidR="0065609F" w:rsidRDefault="0065609F" w:rsidP="00762261">
      <w:pPr>
        <w:pStyle w:val="clauseheadlevel3"/>
      </w:pPr>
      <w:bookmarkStart w:id="580" w:name="Elkera_Print_TOC264"/>
      <w:bookmarkStart w:id="581" w:name="Elkera_Print_BK264"/>
      <w:r>
        <w:t>147—Reporting accidents and dangerous occurrences</w:t>
      </w:r>
      <w:bookmarkEnd w:id="580"/>
      <w:bookmarkEnd w:id="581"/>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For the purposes of clause 67(1) of Schedule 7 of the Act, a notice of an accident or dangerous occurrence—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may be oral or written;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must be provided as soon as practicable after—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first occurrence of the accident or dangerous occurrence;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if the accident or dangerous occurrence is not detected by the operator at the time of its first occurrence—the detection of the accident or dangerous occurrence by the operator;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must contain all material details concerning the accident or dangerous occurrence that are reasonably available to the operator at the time of the notification.</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82" w:name="id4d1a1ec3_9157_4fed_a38c_20d85ee8d326_c"/>
      <w:r>
        <w:rPr>
          <w:color w:val="000000"/>
          <w:sz w:val="23"/>
          <w:szCs w:val="23"/>
        </w:rPr>
        <w:tab/>
        <w:t>(2)</w:t>
      </w:r>
      <w:r>
        <w:rPr>
          <w:color w:val="000000"/>
          <w:sz w:val="23"/>
          <w:szCs w:val="23"/>
        </w:rPr>
        <w:tab/>
        <w:t>For the purposes of clause 67(1) of Schedule 7 of the Act, the report—</w:t>
      </w:r>
      <w:bookmarkEnd w:id="582"/>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must be written;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unless otherwise agreed by the Safety Authority—must be provided within 3 days after—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first occurrence of the accident or dangerous occurrence;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if the accident or dangerous occurrence is not detected by the operator at the time of its first occurrence—the detection of the accident or dangerous occurrence by the operator;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583" w:name="id21d0d4f9_c4c8_44ef_a7eb_7f32b7053230_f"/>
      <w:r>
        <w:rPr>
          <w:color w:val="000000"/>
          <w:sz w:val="23"/>
          <w:szCs w:val="23"/>
        </w:rPr>
        <w:tab/>
        <w:t>(c)</w:t>
      </w:r>
      <w:r>
        <w:rPr>
          <w:color w:val="000000"/>
          <w:sz w:val="23"/>
          <w:szCs w:val="23"/>
        </w:rPr>
        <w:tab/>
        <w:t>must contain material details concerning the accident or dangerous occurrence of the types determined by the Safety Authority.</w:t>
      </w:r>
      <w:bookmarkEnd w:id="583"/>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A determination mentioned in </w:t>
      </w:r>
      <w:hyperlink w:anchor="id21d0d4f9_c4c8_44ef_a7eb_7f32b7053230_f" w:history="1">
        <w:r>
          <w:rPr>
            <w:color w:val="000000"/>
            <w:sz w:val="23"/>
            <w:szCs w:val="23"/>
          </w:rPr>
          <w:t>subregulation (2)(c)</w:t>
        </w:r>
      </w:hyperlink>
      <w:r>
        <w:rPr>
          <w:color w:val="000000"/>
          <w:sz w:val="23"/>
          <w:szCs w:val="23"/>
        </w:rPr>
        <w:t xml:space="preserve"> must be—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in writing;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published in the Gazette.</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As soon as practicable, but not later than 15 days after the end of each month, the operator of a pipeline must submit, to the Safety Authority a written report, for that month, identifying—</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number of deaths of persons at the pipeline;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number and types of injuries to persons at the pipeline, other than minor injuries not requiring treatment or requiring treatment only in the nature of first aid.</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(5)</w:t>
      </w:r>
      <w:r>
        <w:rPr>
          <w:color w:val="000000"/>
          <w:sz w:val="23"/>
          <w:szCs w:val="23"/>
        </w:rPr>
        <w:tab/>
        <w:t>The operator of a pipeline must compile and maintain a record of—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all reports of accidents occurring in, or in connection with, the pipeline;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details of any corrective action taken in each case.</w:t>
      </w:r>
    </w:p>
    <w:p w:rsidR="00E531DA" w:rsidRDefault="00E531DA" w:rsidP="00762261">
      <w:pPr>
        <w:spacing w:after="0" w:line="240" w:lineRule="auto"/>
        <w:jc w:val="left"/>
        <w:rPr>
          <w:b/>
          <w:bCs/>
          <w:color w:val="000000"/>
          <w:sz w:val="20"/>
          <w:szCs w:val="20"/>
        </w:rPr>
      </w:pPr>
      <w:r>
        <w:rPr>
          <w:b/>
          <w:bCs/>
          <w:color w:val="000000"/>
          <w:sz w:val="20"/>
          <w:szCs w:val="20"/>
        </w:rPr>
        <w:br w:type="page"/>
      </w:r>
    </w:p>
    <w:p w:rsidR="00E531DA" w:rsidRDefault="00E531DA" w:rsidP="00762261">
      <w:pPr>
        <w:pStyle w:val="RegSpace"/>
        <w:jc w:val="left"/>
      </w:pPr>
    </w:p>
    <w:p w:rsidR="0065609F" w:rsidRDefault="0065609F" w:rsidP="00762261">
      <w:pPr>
        <w:keepNext/>
        <w:keepLines/>
        <w:autoSpaceDE w:val="0"/>
        <w:autoSpaceDN w:val="0"/>
        <w:adjustRightInd w:val="0"/>
        <w:spacing w:before="120" w:after="0" w:line="240" w:lineRule="auto"/>
        <w:ind w:left="794" w:hanging="567"/>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794"/>
        <w:jc w:val="left"/>
        <w:rPr>
          <w:color w:val="000000"/>
          <w:sz w:val="20"/>
          <w:szCs w:val="20"/>
        </w:rPr>
      </w:pPr>
      <w:r>
        <w:rPr>
          <w:color w:val="000000"/>
          <w:sz w:val="20"/>
          <w:szCs w:val="20"/>
        </w:rPr>
        <w:t>This regulation relates to the reporting of accidents or dangerous occurrences under Schedule 7 of the Act, and therefore relates to incidents affecting or potentially affecting health and safety. Incidents of that kind must be reported to the Safety Authority by the operator.</w:t>
      </w:r>
    </w:p>
    <w:p w:rsidR="0065609F" w:rsidRDefault="0065609F" w:rsidP="00762261">
      <w:pPr>
        <w:pStyle w:val="clauseheadlevel3"/>
      </w:pPr>
      <w:bookmarkStart w:id="584" w:name="Elkera_Print_TOC266"/>
      <w:bookmarkStart w:id="585" w:name="id0fbb978d_0f24_4f06_837f_d246a73523c3_d"/>
      <w:r>
        <w:t>148—Reportable incidents</w:t>
      </w:r>
      <w:bookmarkEnd w:id="584"/>
      <w:bookmarkEnd w:id="585"/>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86" w:name="idd46a65b6_7c48_4d3b_b8c2_cce34fdff9cd_f"/>
      <w:r>
        <w:rPr>
          <w:color w:val="000000"/>
          <w:sz w:val="23"/>
          <w:szCs w:val="23"/>
        </w:rPr>
        <w:tab/>
        <w:t>(1)</w:t>
      </w:r>
      <w:r>
        <w:rPr>
          <w:color w:val="000000"/>
          <w:sz w:val="23"/>
          <w:szCs w:val="23"/>
        </w:rPr>
        <w:tab/>
        <w:t>A pipeline licensee must give notice (either oral or written) of a reportable incident to the Minister or an inspector, including all material details of the incident that are reasonably available to the licensee, as soon as practicable after—</w:t>
      </w:r>
      <w:bookmarkEnd w:id="586"/>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first occurrence of the incident; or</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if the incident is not detected by the licensee at the time of its first occurrence—the detection of the incident by the licensee.</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$4 400.</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r>
      <w:hyperlink w:anchor="idd46a65b6_7c48_4d3b_b8c2_cce34fdff9cd_f" w:history="1">
        <w:r>
          <w:rPr>
            <w:color w:val="000000"/>
            <w:sz w:val="23"/>
            <w:szCs w:val="23"/>
          </w:rPr>
          <w:t>Subregulation (1)</w:t>
        </w:r>
      </w:hyperlink>
      <w:r>
        <w:rPr>
          <w:color w:val="000000"/>
          <w:sz w:val="23"/>
          <w:szCs w:val="23"/>
        </w:rPr>
        <w:t xml:space="preserve"> does not apply if the pipeline licensee has a reasonable excuse.</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87" w:name="idcb002210_7de4_4eae_a15d_ef923305792f_0"/>
      <w:r>
        <w:rPr>
          <w:color w:val="000000"/>
          <w:sz w:val="23"/>
          <w:szCs w:val="23"/>
        </w:rPr>
        <w:tab/>
        <w:t>(3)</w:t>
      </w:r>
      <w:r>
        <w:rPr>
          <w:color w:val="000000"/>
          <w:sz w:val="23"/>
          <w:szCs w:val="23"/>
        </w:rPr>
        <w:tab/>
        <w:t xml:space="preserve">The pipeline licensee must give a written report, in accordance with </w:t>
      </w:r>
      <w:hyperlink w:anchor="id94b193c7_4b05_4ea1_a599_a55ea470b159_c" w:history="1">
        <w:r>
          <w:rPr>
            <w:color w:val="000000"/>
            <w:sz w:val="23"/>
            <w:szCs w:val="23"/>
          </w:rPr>
          <w:t>subregulation (5)</w:t>
        </w:r>
      </w:hyperlink>
      <w:r>
        <w:rPr>
          <w:color w:val="000000"/>
          <w:sz w:val="23"/>
          <w:szCs w:val="23"/>
        </w:rPr>
        <w:t>, of the incident to the Minister—</w:t>
      </w:r>
      <w:bookmarkEnd w:id="587"/>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as soon as practicable, but within 3 days, after—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first occurrence of the incident;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if the incident is not detected by the licensee at the time of its first occurrence—the detection of the incident by the licensee; or</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588" w:name="idcd1a6fbd_5a5a_471f_be63_d6cb675754b3_b"/>
      <w:r>
        <w:rPr>
          <w:color w:val="000000"/>
          <w:sz w:val="23"/>
          <w:szCs w:val="23"/>
        </w:rPr>
        <w:tab/>
        <w:t>(b)</w:t>
      </w:r>
      <w:r>
        <w:rPr>
          <w:color w:val="000000"/>
          <w:sz w:val="23"/>
          <w:szCs w:val="23"/>
        </w:rPr>
        <w:tab/>
        <w:t>if the Minister specifies, in writing and within the period mentioned in paragraph (a), another period for giving the report—within that period.</w:t>
      </w:r>
      <w:bookmarkEnd w:id="588"/>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$4 400.</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 xml:space="preserve">It is a defence to a prosecution for an offence against </w:t>
      </w:r>
      <w:hyperlink w:anchor="idcb002210_7de4_4eae_a15d_ef923305792f_0" w:history="1">
        <w:r>
          <w:rPr>
            <w:color w:val="000000"/>
            <w:sz w:val="23"/>
            <w:szCs w:val="23"/>
          </w:rPr>
          <w:t>subregulation (3)</w:t>
        </w:r>
      </w:hyperlink>
      <w:r>
        <w:rPr>
          <w:color w:val="000000"/>
          <w:sz w:val="23"/>
          <w:szCs w:val="23"/>
        </w:rPr>
        <w:t xml:space="preserve"> if </w:t>
      </w:r>
      <w:hyperlink w:anchor="idcd1a6fbd_5a5a_471f_be63_d6cb675754b3_b" w:history="1">
        <w:r>
          <w:rPr>
            <w:color w:val="000000"/>
            <w:sz w:val="23"/>
            <w:szCs w:val="23"/>
          </w:rPr>
          <w:t>subregulation (3)(b)</w:t>
        </w:r>
      </w:hyperlink>
      <w:r>
        <w:rPr>
          <w:color w:val="000000"/>
          <w:sz w:val="23"/>
          <w:szCs w:val="23"/>
        </w:rPr>
        <w:t xml:space="preserve"> applies in relation to the offence and the period specified by the Minister is not a reasonable period.</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589" w:name="id94b193c7_4b05_4ea1_a599_a55ea470b159_c"/>
      <w:r>
        <w:rPr>
          <w:color w:val="000000"/>
          <w:sz w:val="23"/>
          <w:szCs w:val="23"/>
        </w:rPr>
        <w:tab/>
        <w:t>(5)</w:t>
      </w:r>
      <w:r>
        <w:rPr>
          <w:color w:val="000000"/>
          <w:sz w:val="23"/>
          <w:szCs w:val="23"/>
        </w:rPr>
        <w:tab/>
        <w:t xml:space="preserve">For the purposes of </w:t>
      </w:r>
      <w:hyperlink w:anchor="idcb002210_7de4_4eae_a15d_ef923305792f_0" w:history="1">
        <w:r>
          <w:rPr>
            <w:color w:val="000000"/>
            <w:sz w:val="23"/>
            <w:szCs w:val="23"/>
          </w:rPr>
          <w:t>subregulation (3)</w:t>
        </w:r>
      </w:hyperlink>
      <w:r>
        <w:rPr>
          <w:color w:val="000000"/>
          <w:sz w:val="23"/>
          <w:szCs w:val="23"/>
        </w:rPr>
        <w:t>, the report must set out fully—</w:t>
      </w:r>
      <w:bookmarkEnd w:id="589"/>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all the material facts and circumstances of the incident that the licensee is aware of or is able, by reasonable search and inquiry, to find out, including the following:</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date, time and place of the incident;</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the particulars of any loss or damage caused by the incident;</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if petroleum escaped from the pipeline or ignited—the amount of that petroleum and the measures taken to control the escape or fire;</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(iv)</w:t>
      </w:r>
      <w:r>
        <w:rPr>
          <w:color w:val="000000"/>
          <w:sz w:val="23"/>
          <w:szCs w:val="23"/>
        </w:rPr>
        <w:tab/>
        <w:t>the cause of the incident;</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(v)</w:t>
      </w:r>
      <w:r>
        <w:rPr>
          <w:color w:val="000000"/>
          <w:sz w:val="23"/>
          <w:szCs w:val="23"/>
        </w:rPr>
        <w:tab/>
        <w:t>the repairs (if any) carried out, or proposed to be carried out, on the pipeline;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corrective action that has been taken, or is proposed to be taken, to prevent another incident of that kind.</w:t>
      </w:r>
    </w:p>
    <w:p w:rsidR="00504217" w:rsidRDefault="00504217" w:rsidP="00762261">
      <w:pPr>
        <w:spacing w:after="0" w:line="240" w:lineRule="auto"/>
        <w:jc w:val="left"/>
        <w:rPr>
          <w:b/>
          <w:bCs/>
          <w:color w:val="000000"/>
          <w:sz w:val="20"/>
          <w:szCs w:val="20"/>
        </w:rPr>
      </w:pPr>
      <w:r>
        <w:rPr>
          <w:b/>
          <w:bCs/>
          <w:color w:val="000000"/>
          <w:sz w:val="20"/>
          <w:szCs w:val="20"/>
        </w:rPr>
        <w:br w:type="page"/>
      </w:r>
    </w:p>
    <w:p w:rsidR="00504217" w:rsidRDefault="00504217" w:rsidP="00762261">
      <w:pPr>
        <w:pStyle w:val="RegSpace"/>
        <w:jc w:val="left"/>
      </w:pPr>
    </w:p>
    <w:p w:rsidR="0065609F" w:rsidRDefault="0065609F" w:rsidP="00762261">
      <w:pPr>
        <w:keepNext/>
        <w:keepLines/>
        <w:autoSpaceDE w:val="0"/>
        <w:autoSpaceDN w:val="0"/>
        <w:adjustRightInd w:val="0"/>
        <w:spacing w:before="120" w:after="0" w:line="240" w:lineRule="auto"/>
        <w:ind w:left="794" w:hanging="567"/>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794"/>
        <w:jc w:val="left"/>
        <w:rPr>
          <w:color w:val="000000"/>
          <w:sz w:val="20"/>
          <w:szCs w:val="20"/>
        </w:rPr>
      </w:pPr>
      <w:r>
        <w:rPr>
          <w:color w:val="000000"/>
          <w:sz w:val="20"/>
          <w:szCs w:val="20"/>
        </w:rPr>
        <w:t xml:space="preserve">This regulation relates to a </w:t>
      </w:r>
      <w:r>
        <w:rPr>
          <w:b/>
          <w:bCs/>
          <w:i/>
          <w:iCs/>
          <w:color w:val="000000"/>
          <w:sz w:val="20"/>
          <w:szCs w:val="20"/>
        </w:rPr>
        <w:t>reportable incident</w:t>
      </w:r>
      <w:r>
        <w:rPr>
          <w:color w:val="000000"/>
          <w:sz w:val="20"/>
          <w:szCs w:val="20"/>
        </w:rPr>
        <w:t>, as defined in this Part, which must be reported to the Minister by the pipeline licensee. Incidents related only to health and safety do not need to be reported under this regulation.</w:t>
      </w:r>
    </w:p>
    <w:p w:rsidR="0065609F" w:rsidRDefault="0065609F" w:rsidP="00762261">
      <w:pPr>
        <w:pStyle w:val="clauseheadlevel3"/>
      </w:pPr>
      <w:bookmarkStart w:id="590" w:name="Elkera_Print_TOC267"/>
      <w:bookmarkStart w:id="591" w:name="Elkera_Print_BK267"/>
      <w:r>
        <w:t>149—Dealing with documents</w:t>
      </w:r>
      <w:bookmarkEnd w:id="590"/>
      <w:bookmarkEnd w:id="591"/>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A pipeline licensee must not deal with a document or other record mentioned in </w:t>
      </w:r>
      <w:hyperlink w:anchor="id51aba9e4_1288_4fca_abcc_53d9570c9824_e" w:history="1">
        <w:r>
          <w:rPr>
            <w:color w:val="000000"/>
            <w:sz w:val="23"/>
            <w:szCs w:val="23"/>
          </w:rPr>
          <w:t>regulation 123</w:t>
        </w:r>
      </w:hyperlink>
      <w:r>
        <w:rPr>
          <w:color w:val="000000"/>
          <w:sz w:val="23"/>
          <w:szCs w:val="23"/>
        </w:rPr>
        <w:t xml:space="preserve"> in a way that is contrary to the arrangements for the document or record contained in the pipeline management plan in force for the pipeline.</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$3 300.</w:t>
      </w:r>
    </w:p>
    <w:p w:rsidR="0065609F" w:rsidRDefault="0065609F" w:rsidP="00762261">
      <w:pPr>
        <w:keepNext/>
        <w:keepLines/>
        <w:autoSpaceDE w:val="0"/>
        <w:autoSpaceDN w:val="0"/>
        <w:adjustRightInd w:val="0"/>
        <w:spacing w:before="120" w:after="0" w:line="240" w:lineRule="auto"/>
        <w:ind w:left="794" w:hanging="567"/>
        <w:jc w:val="left"/>
        <w:rPr>
          <w:b/>
          <w:bCs/>
          <w:color w:val="000000"/>
          <w:sz w:val="20"/>
          <w:szCs w:val="20"/>
        </w:rPr>
      </w:pPr>
      <w:r>
        <w:rPr>
          <w:b/>
          <w:bCs/>
          <w:color w:val="000000"/>
          <w:sz w:val="20"/>
          <w:szCs w:val="20"/>
        </w:rPr>
        <w:t>Note—</w:t>
      </w:r>
    </w:p>
    <w:p w:rsidR="0065609F" w:rsidRDefault="00123FDA" w:rsidP="00762261">
      <w:pPr>
        <w:keepLines/>
        <w:autoSpaceDE w:val="0"/>
        <w:autoSpaceDN w:val="0"/>
        <w:adjustRightInd w:val="0"/>
        <w:spacing w:before="120" w:after="0" w:line="240" w:lineRule="auto"/>
        <w:ind w:left="794"/>
        <w:jc w:val="left"/>
        <w:rPr>
          <w:color w:val="000000"/>
          <w:sz w:val="20"/>
          <w:szCs w:val="20"/>
        </w:rPr>
      </w:pPr>
      <w:hyperlink w:anchor="id51aba9e4_1288_4fca_abcc_53d9570c9824_e" w:history="1">
        <w:r w:rsidR="0065609F">
          <w:rPr>
            <w:color w:val="000000"/>
            <w:sz w:val="20"/>
            <w:szCs w:val="20"/>
          </w:rPr>
          <w:t>Regulation 123</w:t>
        </w:r>
      </w:hyperlink>
      <w:r w:rsidR="0065609F">
        <w:rPr>
          <w:color w:val="000000"/>
          <w:sz w:val="20"/>
          <w:szCs w:val="20"/>
        </w:rPr>
        <w:t xml:space="preserve"> requires a pipeline management plan to include such arrangements.</w:t>
      </w:r>
    </w:p>
    <w:p w:rsidR="0065609F" w:rsidRDefault="0065609F" w:rsidP="00762261">
      <w:pPr>
        <w:pStyle w:val="clauseheadlevel3"/>
      </w:pPr>
      <w:bookmarkStart w:id="592" w:name="Elkera_Print_TOC268"/>
      <w:bookmarkStart w:id="593" w:name="Elkera_Print_BK268"/>
      <w:r>
        <w:t>150—Reporting to Minister</w:t>
      </w:r>
      <w:bookmarkEnd w:id="592"/>
      <w:bookmarkEnd w:id="593"/>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A pipeline licensee must report to the Minister in accordance with the arrangements under </w:t>
      </w:r>
      <w:hyperlink w:anchor="idfe22233f_e060_4f4d_85ba_06b8bce93027_3" w:history="1">
        <w:r>
          <w:rPr>
            <w:color w:val="000000"/>
            <w:sz w:val="23"/>
            <w:szCs w:val="23"/>
          </w:rPr>
          <w:t>regulation 124</w:t>
        </w:r>
      </w:hyperlink>
      <w:r>
        <w:rPr>
          <w:color w:val="000000"/>
          <w:sz w:val="23"/>
          <w:szCs w:val="23"/>
        </w:rPr>
        <w:t>contained in the pipeline management plan in force for the pipeline under the licence.</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$3 300.</w:t>
      </w:r>
    </w:p>
    <w:p w:rsidR="0065609F" w:rsidRDefault="0065609F" w:rsidP="00762261">
      <w:pPr>
        <w:pStyle w:val="divisionheadlevel2"/>
      </w:pPr>
      <w:bookmarkStart w:id="594" w:name="Elkera_Print_TOC269"/>
      <w:bookmarkStart w:id="595" w:name="Elkera_Print_BK269"/>
      <w:r>
        <w:t>Division 7—Miscellaneous</w:t>
      </w:r>
      <w:bookmarkEnd w:id="594"/>
      <w:bookmarkEnd w:id="595"/>
    </w:p>
    <w:p w:rsidR="0065609F" w:rsidRDefault="0065609F" w:rsidP="00762261">
      <w:pPr>
        <w:pStyle w:val="subdivisionheadlevel3"/>
      </w:pPr>
      <w:bookmarkStart w:id="596" w:name="Elkera_Print_TOC270"/>
      <w:bookmarkStart w:id="597" w:name="Elkera_Print_BK270"/>
      <w:r>
        <w:t>Subdivision 1—Requirements about workers</w:t>
      </w:r>
      <w:bookmarkEnd w:id="596"/>
      <w:bookmarkEnd w:id="597"/>
    </w:p>
    <w:p w:rsidR="0065609F" w:rsidRDefault="0065609F" w:rsidP="00762261">
      <w:pPr>
        <w:pStyle w:val="clauseheadlevel4"/>
      </w:pPr>
      <w:bookmarkStart w:id="598" w:name="Elkera_Print_TOC271"/>
      <w:bookmarkStart w:id="599" w:name="Elkera_Print_BK271"/>
      <w:r>
        <w:t>151—Competence of workers</w:t>
      </w:r>
      <w:bookmarkEnd w:id="598"/>
      <w:bookmarkEnd w:id="599"/>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600" w:name="id5d3a29c7_6c7c_4b1b_a94e_26f7da245e86_6"/>
      <w:r>
        <w:rPr>
          <w:color w:val="000000"/>
          <w:sz w:val="23"/>
          <w:szCs w:val="23"/>
        </w:rPr>
        <w:tab/>
        <w:t>(1)</w:t>
      </w:r>
      <w:r>
        <w:rPr>
          <w:color w:val="000000"/>
          <w:sz w:val="23"/>
          <w:szCs w:val="23"/>
        </w:rPr>
        <w:tab/>
        <w:t>A pipeline licensee must ensure that each person working on, or in connection with, a pipeline under the licence is competent to the extent that they have the necessary skills, training and ability—</w:t>
      </w:r>
      <w:bookmarkEnd w:id="600"/>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to carry out the tasks, both routine and non</w:t>
      </w:r>
      <w:r>
        <w:rPr>
          <w:color w:val="000000"/>
          <w:sz w:val="23"/>
          <w:szCs w:val="23"/>
        </w:rPr>
        <w:noBreakHyphen/>
        <w:t>routine, that may reasonably be given to the person; and</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to respond and to react appropriately, and at the level reasonably required of the person, during an emergency.</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$3 300.</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r>
      <w:hyperlink w:anchor="id5d3a29c7_6c7c_4b1b_a94e_26f7da245e86_6" w:history="1">
        <w:r>
          <w:rPr>
            <w:color w:val="000000"/>
            <w:sz w:val="23"/>
            <w:szCs w:val="23"/>
          </w:rPr>
          <w:t>Subregulation (1)</w:t>
        </w:r>
      </w:hyperlink>
      <w:r>
        <w:rPr>
          <w:color w:val="000000"/>
          <w:sz w:val="23"/>
          <w:szCs w:val="23"/>
        </w:rPr>
        <w:t xml:space="preserve"> does not apply if the pipeline licensee has a reasonable excuse.</w:t>
      </w:r>
    </w:p>
    <w:p w:rsidR="0065609F" w:rsidRDefault="0065609F" w:rsidP="00762261">
      <w:pPr>
        <w:pStyle w:val="clauseheadlevel4"/>
      </w:pPr>
      <w:bookmarkStart w:id="601" w:name="Elkera_Print_TOC272"/>
      <w:bookmarkStart w:id="602" w:name="Elkera_Print_BK272"/>
      <w:r>
        <w:t>152—Awareness of legislation</w:t>
      </w:r>
      <w:bookmarkEnd w:id="601"/>
      <w:bookmarkEnd w:id="602"/>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 pipeline licensee must ensure, as far as reasonably practicable, that each person working on, or in connection with, the pipeline knows about the effect of relevant legislation that relates to the safety of any of the following:</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person working on, or in connection with, the pipeline;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pipeline;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environment.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In this regulation—</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relevant legislation</w:t>
      </w:r>
      <w:r>
        <w:rPr>
          <w:color w:val="000000"/>
          <w:sz w:val="23"/>
          <w:szCs w:val="23"/>
        </w:rPr>
        <w:t xml:space="preserve"> means the Act, regulations (including these regulations) made under the Act and any directions given to the licensee under the Act.</w:t>
      </w:r>
    </w:p>
    <w:p w:rsidR="009D660B" w:rsidRDefault="009D660B" w:rsidP="00762261">
      <w:pPr>
        <w:spacing w:after="0" w:line="240" w:lineRule="auto"/>
        <w:jc w:val="left"/>
        <w:rPr>
          <w:rFonts w:eastAsia="Times New Roman"/>
          <w:b/>
          <w:bCs/>
          <w:color w:val="000000"/>
          <w:sz w:val="26"/>
          <w:szCs w:val="26"/>
          <w:lang w:eastAsia="en-AU"/>
        </w:rPr>
      </w:pPr>
      <w:bookmarkStart w:id="603" w:name="Elkera_Print_TOC273"/>
      <w:bookmarkStart w:id="604" w:name="Elkera_Print_BK273"/>
      <w:r>
        <w:br w:type="page"/>
      </w:r>
    </w:p>
    <w:p w:rsidR="009D660B" w:rsidRDefault="009D660B" w:rsidP="00762261">
      <w:pPr>
        <w:pStyle w:val="RegSpace"/>
        <w:jc w:val="left"/>
      </w:pPr>
    </w:p>
    <w:p w:rsidR="0065609F" w:rsidRDefault="0065609F" w:rsidP="00762261">
      <w:pPr>
        <w:pStyle w:val="clauseheadlevel4"/>
      </w:pPr>
      <w:r>
        <w:t>153—Involvement of workers in pipeline management plan</w:t>
      </w:r>
      <w:bookmarkEnd w:id="603"/>
      <w:bookmarkEnd w:id="604"/>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605" w:name="idf4716737_3564_4ba8_b7a3_59f36931f966_5"/>
      <w:r>
        <w:rPr>
          <w:color w:val="000000"/>
          <w:sz w:val="23"/>
          <w:szCs w:val="23"/>
        </w:rPr>
        <w:tab/>
        <w:t>(1)</w:t>
      </w:r>
      <w:r>
        <w:rPr>
          <w:color w:val="000000"/>
          <w:sz w:val="23"/>
          <w:szCs w:val="23"/>
        </w:rPr>
        <w:tab/>
        <w:t>The Minister may ask a pipeline licensee, in writing, to provide the Minister with reasonable grounds for believing that—</w:t>
      </w:r>
      <w:bookmarkEnd w:id="605"/>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in the development or revision of a pipeline management plan for a pipeline under the licence, there has been effective consultation with, and participation of, the classes of persons who—</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are identifiable before the pipeline management plan is developed;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are working on, or in connection with, the pipeline, or are likely to be working on, or in connection with, the pipeline;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pipeline management plan in force for the pipeline provides adequately for effective consultation with, and the effective participation of, those classes of persons, so that they are able to arrive at informed opinions about the risks to which they may be exposed through working on, or in connection with, the pipeline.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A pipeline licensee must, within 21 days after receiving a request under </w:t>
      </w:r>
      <w:hyperlink w:anchor="idf4716737_3564_4ba8_b7a3_59f36931f966_5" w:history="1">
        <w:r>
          <w:rPr>
            <w:color w:val="000000"/>
            <w:sz w:val="23"/>
            <w:szCs w:val="23"/>
          </w:rPr>
          <w:t>subregulation (1)</w:t>
        </w:r>
      </w:hyperlink>
      <w:r>
        <w:rPr>
          <w:color w:val="000000"/>
          <w:sz w:val="23"/>
          <w:szCs w:val="23"/>
        </w:rPr>
        <w:t>, give the Minister written notice of those grounds.</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The Minister must also consult with the Safety Authority in relation to the Minister's exercise of its powers under this regulation.</w:t>
      </w:r>
    </w:p>
    <w:p w:rsidR="0065609F" w:rsidRDefault="0065609F" w:rsidP="00762261">
      <w:pPr>
        <w:pStyle w:val="subdivisionheadlevel3"/>
      </w:pPr>
      <w:bookmarkStart w:id="606" w:name="Elkera_Print_TOC274"/>
      <w:bookmarkStart w:id="607" w:name="Elkera_Print_BK274"/>
      <w:r>
        <w:t>Subdivision 2—Providing information</w:t>
      </w:r>
      <w:bookmarkEnd w:id="606"/>
      <w:bookmarkEnd w:id="607"/>
    </w:p>
    <w:p w:rsidR="0065609F" w:rsidRDefault="0065609F" w:rsidP="00762261">
      <w:pPr>
        <w:pStyle w:val="clauseheadlevel4"/>
      </w:pPr>
      <w:bookmarkStart w:id="608" w:name="Elkera_Print_TOC276"/>
      <w:bookmarkStart w:id="609" w:name="idac6570d9_937c_4af3_b84b_562f7b991b19_7"/>
      <w:r>
        <w:t>154—Notice of contact details</w:t>
      </w:r>
      <w:bookmarkEnd w:id="608"/>
      <w:bookmarkEnd w:id="609"/>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610" w:name="idf6402673_cc76_4b25_9d9d_789ce123c360_1"/>
      <w:r>
        <w:rPr>
          <w:color w:val="000000"/>
          <w:sz w:val="23"/>
          <w:szCs w:val="23"/>
        </w:rPr>
        <w:tab/>
        <w:t>(1)</w:t>
      </w:r>
      <w:r>
        <w:rPr>
          <w:color w:val="000000"/>
          <w:sz w:val="23"/>
          <w:szCs w:val="23"/>
        </w:rPr>
        <w:tab/>
        <w:t>A pipeline licensee, at all times after the licensee applies under this Part for a consent to construct a pipeline under the licence, must maintain, and ensure that the Minister has notice of, an address of the licensee for communications on matters relating to the pipeline.</w:t>
      </w:r>
      <w:bookmarkEnd w:id="610"/>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$3 300.</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r>
      <w:hyperlink w:anchor="idf6402673_cc76_4b25_9d9d_789ce123c360_1" w:history="1">
        <w:r>
          <w:rPr>
            <w:color w:val="000000"/>
            <w:sz w:val="23"/>
            <w:szCs w:val="23"/>
          </w:rPr>
          <w:t>Subregulation (1)</w:t>
        </w:r>
      </w:hyperlink>
      <w:r>
        <w:rPr>
          <w:color w:val="000000"/>
          <w:sz w:val="23"/>
          <w:szCs w:val="23"/>
        </w:rPr>
        <w:t xml:space="preserve"> does not apply if the pipeline licensee has a reasonable excuse.</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Also, despite </w:t>
      </w:r>
      <w:hyperlink w:anchor="idf6402673_cc76_4b25_9d9d_789ce123c360_1" w:history="1">
        <w:r>
          <w:rPr>
            <w:color w:val="000000"/>
            <w:sz w:val="23"/>
            <w:szCs w:val="23"/>
          </w:rPr>
          <w:t>subregulation (1)</w:t>
        </w:r>
      </w:hyperlink>
      <w:r>
        <w:rPr>
          <w:color w:val="000000"/>
          <w:sz w:val="23"/>
          <w:szCs w:val="23"/>
        </w:rPr>
        <w:t>, a pipeline licensee is not required to give information to the Minister under that subregulation if, at any relevant time—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information has been given according to any other provision of the Act or regulations (including these regulations) made under the Act;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Minister has not advised the licensee that the information has been lost or destroyed.</w:t>
      </w:r>
    </w:p>
    <w:p w:rsidR="0065609F" w:rsidRDefault="0065609F" w:rsidP="00762261">
      <w:pPr>
        <w:pStyle w:val="clauseheadlevel4"/>
      </w:pPr>
      <w:bookmarkStart w:id="611" w:name="Elkera_Print_TOC278"/>
      <w:bookmarkStart w:id="612" w:name="id4bde8361_1774_4c8d_a562_6cf9638c3a47_7"/>
      <w:r>
        <w:t>155—Minister may decline to consider application or submission if information is not given</w:t>
      </w:r>
      <w:bookmarkEnd w:id="611"/>
      <w:bookmarkEnd w:id="612"/>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Despite any other provision of these regulations, if a pipeline licensee for a pipeline does not provide information under </w:t>
      </w:r>
      <w:hyperlink w:anchor="idac6570d9_937c_4af3_b84b_562f7b991b19_7" w:history="1">
        <w:r>
          <w:rPr>
            <w:color w:val="000000"/>
            <w:sz w:val="23"/>
            <w:szCs w:val="23"/>
          </w:rPr>
          <w:t>regulation 154</w:t>
        </w:r>
      </w:hyperlink>
      <w:r>
        <w:rPr>
          <w:color w:val="000000"/>
          <w:sz w:val="23"/>
          <w:szCs w:val="23"/>
        </w:rPr>
        <w:t xml:space="preserve"> and the information has not been given under another law, the Minister may decline to consider an application or submission, made by the licensee under this Part and relating to the pipeline, until the information is given.</w:t>
      </w:r>
    </w:p>
    <w:p w:rsidR="008877EF" w:rsidRDefault="008877EF" w:rsidP="00762261">
      <w:pPr>
        <w:spacing w:after="0" w:line="240" w:lineRule="auto"/>
        <w:jc w:val="left"/>
        <w:rPr>
          <w:color w:val="000000"/>
          <w:sz w:val="23"/>
          <w:szCs w:val="23"/>
        </w:rPr>
      </w:pPr>
      <w:r>
        <w:rPr>
          <w:color w:val="000000"/>
          <w:sz w:val="23"/>
          <w:szCs w:val="23"/>
        </w:rPr>
        <w:br w:type="page"/>
      </w:r>
    </w:p>
    <w:p w:rsidR="008877EF" w:rsidRDefault="008877EF" w:rsidP="00762261">
      <w:pPr>
        <w:pStyle w:val="RegSpace"/>
        <w:jc w:val="left"/>
      </w:pP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Despite any other provision of this Part, if a pipeline licensee does not provide the information required under </w:t>
      </w:r>
      <w:hyperlink w:anchor="idec1cb355_bd75_4b3a_bce3_1e114438b2ee_0" w:history="1">
        <w:r>
          <w:rPr>
            <w:color w:val="000000"/>
            <w:sz w:val="23"/>
            <w:szCs w:val="23"/>
          </w:rPr>
          <w:t>regulation 105</w:t>
        </w:r>
      </w:hyperlink>
      <w:r>
        <w:rPr>
          <w:color w:val="000000"/>
          <w:sz w:val="23"/>
          <w:szCs w:val="23"/>
        </w:rPr>
        <w:t xml:space="preserve"> or </w:t>
      </w:r>
      <w:hyperlink w:anchor="id9de07bb9_74dc_422e_a6b5_ad27afe07eca_e" w:history="1">
        <w:r>
          <w:rPr>
            <w:color w:val="000000"/>
            <w:sz w:val="23"/>
            <w:szCs w:val="23"/>
          </w:rPr>
          <w:t>111</w:t>
        </w:r>
      </w:hyperlink>
      <w:r>
        <w:rPr>
          <w:color w:val="000000"/>
          <w:sz w:val="23"/>
          <w:szCs w:val="23"/>
        </w:rPr>
        <w:t xml:space="preserve"> for an application for a consent to construct or operate a pipeline and the information has not been given under another law, the Minister may decline to consider the application until the information is given.</w:t>
      </w:r>
    </w:p>
    <w:p w:rsidR="0065609F" w:rsidRDefault="0065609F" w:rsidP="00762261">
      <w:pPr>
        <w:pStyle w:val="partheadlevel1"/>
      </w:pPr>
      <w:bookmarkStart w:id="613" w:name="Elkera_Print_TOC279"/>
      <w:bookmarkStart w:id="614" w:name="Elkera_Print_BK279"/>
      <w:r>
        <w:t>Part 5—Diving safety</w:t>
      </w:r>
      <w:bookmarkEnd w:id="613"/>
      <w:bookmarkEnd w:id="614"/>
    </w:p>
    <w:p w:rsidR="0065609F" w:rsidRDefault="0065609F" w:rsidP="00762261">
      <w:pPr>
        <w:pStyle w:val="divisionheadlevel2"/>
      </w:pPr>
      <w:bookmarkStart w:id="615" w:name="Elkera_Print_TOC280"/>
      <w:bookmarkStart w:id="616" w:name="Elkera_Print_BK280"/>
      <w:r>
        <w:t>Division 1—Preliminary</w:t>
      </w:r>
      <w:bookmarkEnd w:id="615"/>
      <w:bookmarkEnd w:id="616"/>
    </w:p>
    <w:p w:rsidR="0065609F" w:rsidRDefault="0065609F" w:rsidP="00762261">
      <w:pPr>
        <w:pStyle w:val="clauseheadlevel3"/>
      </w:pPr>
      <w:bookmarkStart w:id="617" w:name="Elkera_Print_TOC281"/>
      <w:bookmarkStart w:id="618" w:name="Elkera_Print_BK281"/>
      <w:r>
        <w:t>156—Application</w:t>
      </w:r>
      <w:bookmarkEnd w:id="617"/>
      <w:bookmarkEnd w:id="618"/>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This Part applies to a diving operation that is an offshore petroleum operation.</w:t>
      </w:r>
    </w:p>
    <w:p w:rsidR="0065609F" w:rsidRDefault="0065609F" w:rsidP="00762261">
      <w:pPr>
        <w:pStyle w:val="clauseheadlevel3"/>
      </w:pPr>
      <w:bookmarkStart w:id="619" w:name="Elkera_Print_TOC282"/>
      <w:bookmarkStart w:id="620" w:name="Elkera_Print_BK282"/>
      <w:r>
        <w:t>157—Definitions</w:t>
      </w:r>
      <w:bookmarkEnd w:id="619"/>
      <w:bookmarkEnd w:id="620"/>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In this Part—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accepted DSMS</w:t>
      </w:r>
      <w:r>
        <w:rPr>
          <w:color w:val="000000"/>
          <w:sz w:val="23"/>
          <w:szCs w:val="23"/>
        </w:rPr>
        <w:t xml:space="preserve"> means a DSMS that has been accepted by the Safety Authority under </w:t>
      </w:r>
      <w:hyperlink w:anchor="id0c737b3c_98e1_44c0_98be_7a0045e5596c_2" w:history="1">
        <w:r>
          <w:rPr>
            <w:color w:val="000000"/>
            <w:sz w:val="23"/>
            <w:szCs w:val="23"/>
          </w:rPr>
          <w:t>regulation 162</w:t>
        </w:r>
      </w:hyperlink>
      <w:r>
        <w:rPr>
          <w:color w:val="000000"/>
          <w:sz w:val="23"/>
          <w:szCs w:val="23"/>
        </w:rPr>
        <w:t xml:space="preserve"> or </w:t>
      </w:r>
      <w:hyperlink w:anchor="id501c7415_9038_4262_94c7_e009e48cfee4_a" w:history="1">
        <w:r>
          <w:rPr>
            <w:color w:val="000000"/>
            <w:sz w:val="23"/>
            <w:szCs w:val="23"/>
          </w:rPr>
          <w:t>163</w:t>
        </w:r>
      </w:hyperlink>
      <w:r>
        <w:rPr>
          <w:color w:val="000000"/>
          <w:sz w:val="23"/>
          <w:szCs w:val="23"/>
        </w:rPr>
        <w: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ADAS</w:t>
      </w:r>
      <w:r>
        <w:rPr>
          <w:color w:val="000000"/>
          <w:sz w:val="23"/>
          <w:szCs w:val="23"/>
        </w:rPr>
        <w:t xml:space="preserve"> means the Australian Diver Accreditation Scheme administered by the Board of the Australian Diver Accreditation Scheme on behalf of the Department within the meaning of the Commonwealth Act;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AS/NZS</w:t>
      </w:r>
      <w:r>
        <w:rPr>
          <w:color w:val="000000"/>
          <w:sz w:val="23"/>
          <w:szCs w:val="23"/>
        </w:rPr>
        <w:t>, followed by a number, means the Australian and New Zealand Standard of that number, as existing from time to time;</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diving</w:t>
      </w:r>
      <w:r>
        <w:rPr>
          <w:color w:val="000000"/>
          <w:sz w:val="23"/>
          <w:szCs w:val="23"/>
        </w:rPr>
        <w:t xml:space="preserve"> has the meaning given by </w:t>
      </w:r>
      <w:hyperlink w:anchor="idc0e9e40e_1030_431b_8104_850b546ed9b4_2" w:history="1">
        <w:r>
          <w:rPr>
            <w:color w:val="000000"/>
            <w:sz w:val="23"/>
            <w:szCs w:val="23"/>
          </w:rPr>
          <w:t>regulation 158</w:t>
        </w:r>
      </w:hyperlink>
      <w:r>
        <w:rPr>
          <w:color w:val="000000"/>
          <w:sz w:val="23"/>
          <w:szCs w:val="23"/>
        </w:rPr>
        <w: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diving contractor</w:t>
      </w:r>
      <w:r>
        <w:rPr>
          <w:color w:val="000000"/>
          <w:sz w:val="23"/>
          <w:szCs w:val="23"/>
        </w:rPr>
        <w:t xml:space="preserve"> means a person who enters into a contract to conduct a diving project;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diving operation</w:t>
      </w:r>
      <w:r>
        <w:rPr>
          <w:color w:val="000000"/>
          <w:sz w:val="23"/>
          <w:szCs w:val="23"/>
        </w:rPr>
        <w:t xml:space="preserve"> means an offshore petroleum operation consisting of 1 or more dives;</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diving project</w:t>
      </w:r>
      <w:r>
        <w:rPr>
          <w:color w:val="000000"/>
          <w:sz w:val="23"/>
          <w:szCs w:val="23"/>
        </w:rPr>
        <w:t xml:space="preserve"> means an activity consisting of 1 or more diving operations;</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DSMS</w:t>
      </w:r>
      <w:r>
        <w:rPr>
          <w:color w:val="000000"/>
          <w:sz w:val="23"/>
          <w:szCs w:val="23"/>
        </w:rPr>
        <w:t xml:space="preserve"> means a diving safety management system;</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facility</w:t>
      </w:r>
      <w:r>
        <w:rPr>
          <w:color w:val="000000"/>
          <w:sz w:val="23"/>
          <w:szCs w:val="23"/>
        </w:rPr>
        <w:t xml:space="preserve"> means a facility described in clause 3 of Schedule 7 of the Act;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manned submersible craft</w:t>
      </w:r>
      <w:r>
        <w:rPr>
          <w:color w:val="000000"/>
          <w:sz w:val="23"/>
          <w:szCs w:val="23"/>
        </w:rPr>
        <w:t xml:space="preserve"> means a craft that is designed to maintain its occupant, or some or all of its occupants, at or near atmospheric pressure while submerged (whether or not it is self</w:t>
      </w:r>
      <w:r>
        <w:rPr>
          <w:color w:val="000000"/>
          <w:sz w:val="23"/>
          <w:szCs w:val="23"/>
        </w:rPr>
        <w:noBreakHyphen/>
        <w:t>propelled, and whether or not it is supplied with breathing mixture by umbilical), including a craft in the form of a suit;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offshore petroleum operations</w:t>
      </w:r>
      <w:r>
        <w:rPr>
          <w:color w:val="000000"/>
          <w:sz w:val="23"/>
          <w:szCs w:val="23"/>
        </w:rPr>
        <w:t xml:space="preserve"> has the meaning given in Part 6.9 of the Commonwealth Act;</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operator</w:t>
      </w:r>
      <w:r>
        <w:rPr>
          <w:color w:val="000000"/>
          <w:sz w:val="23"/>
          <w:szCs w:val="23"/>
        </w:rPr>
        <w:t>, for a diving project, means—</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if the facility associated with the project is a pipeline—the person registered as the operator of the pipeline under </w:t>
      </w:r>
      <w:hyperlink w:anchor="id2f5dbadc_2a01_47ca_a9bb_87d2e628c4a1_2" w:history="1">
        <w:r>
          <w:rPr>
            <w:color w:val="000000"/>
            <w:sz w:val="23"/>
            <w:szCs w:val="23"/>
          </w:rPr>
          <w:t>Part 4</w:t>
        </w:r>
      </w:hyperlink>
      <w:r>
        <w:rPr>
          <w:color w:val="000000"/>
          <w:sz w:val="23"/>
          <w:szCs w:val="23"/>
        </w:rPr>
        <w: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if the facility associated with the project is not a pipeline—the person registered as the operator of the facility under </w:t>
      </w:r>
      <w:hyperlink w:anchor="idf237fbff_7873_468a_a0b8_69e7b266d965_a" w:history="1">
        <w:r>
          <w:rPr>
            <w:color w:val="000000"/>
            <w:sz w:val="23"/>
            <w:szCs w:val="23"/>
          </w:rPr>
          <w:t>Part 3</w:t>
        </w:r>
      </w:hyperlink>
      <w:r>
        <w:rPr>
          <w:color w:val="000000"/>
          <w:sz w:val="23"/>
          <w:szCs w:val="23"/>
        </w:rPr>
        <w: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pipeline</w:t>
      </w:r>
      <w:r>
        <w:rPr>
          <w:color w:val="000000"/>
          <w:sz w:val="23"/>
          <w:szCs w:val="23"/>
        </w:rPr>
        <w:t xml:space="preserve"> means a pipeline to which clause 4(8) of Schedule 7 of the Act applies;</w:t>
      </w:r>
    </w:p>
    <w:p w:rsidR="00BF0A4A" w:rsidRDefault="00BF0A4A" w:rsidP="00762261">
      <w:pPr>
        <w:spacing w:after="0" w:line="240" w:lineRule="auto"/>
        <w:jc w:val="left"/>
        <w:rPr>
          <w:b/>
          <w:bCs/>
          <w:i/>
          <w:iCs/>
          <w:color w:val="000000"/>
          <w:sz w:val="23"/>
          <w:szCs w:val="23"/>
        </w:rPr>
      </w:pPr>
      <w:r>
        <w:rPr>
          <w:b/>
          <w:bCs/>
          <w:i/>
          <w:iCs/>
          <w:color w:val="000000"/>
          <w:sz w:val="23"/>
          <w:szCs w:val="23"/>
        </w:rPr>
        <w:br w:type="page"/>
      </w:r>
    </w:p>
    <w:p w:rsidR="00BF0A4A" w:rsidRDefault="00BF0A4A" w:rsidP="00762261">
      <w:pPr>
        <w:pStyle w:val="RegSpace"/>
        <w:jc w:val="left"/>
      </w:pP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pipeline safety management plan</w:t>
      </w:r>
      <w:r>
        <w:rPr>
          <w:color w:val="000000"/>
          <w:sz w:val="23"/>
          <w:szCs w:val="23"/>
        </w:rPr>
        <w:t xml:space="preserve"> has the meaning given in </w:t>
      </w:r>
      <w:hyperlink w:anchor="ida596b4a2_b53d_4422_b5f8_ba8f041978a2_3" w:history="1">
        <w:r>
          <w:rPr>
            <w:color w:val="000000"/>
            <w:sz w:val="23"/>
            <w:szCs w:val="23"/>
          </w:rPr>
          <w:t>regulation 94(1)</w:t>
        </w:r>
      </w:hyperlink>
      <w:r>
        <w:rPr>
          <w:color w:val="000000"/>
          <w:sz w:val="23"/>
          <w:szCs w:val="23"/>
        </w:rPr>
        <w:t>;</w:t>
      </w:r>
    </w:p>
    <w:p w:rsidR="0065609F" w:rsidRDefault="0065609F" w:rsidP="00762261">
      <w:pPr>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safety case</w:t>
      </w:r>
      <w:r>
        <w:rPr>
          <w:color w:val="000000"/>
          <w:sz w:val="23"/>
          <w:szCs w:val="23"/>
        </w:rPr>
        <w:t xml:space="preserve"> means the document known as a safety case submitted to the Safety Authority under Division 4 of </w:t>
      </w:r>
      <w:hyperlink w:anchor="idf237fbff_7873_468a_a0b8_69e7b266d965_a" w:history="1">
        <w:r>
          <w:rPr>
            <w:color w:val="000000"/>
            <w:sz w:val="23"/>
            <w:szCs w:val="23"/>
          </w:rPr>
          <w:t>Part 3</w:t>
        </w:r>
      </w:hyperlink>
      <w:r>
        <w:rPr>
          <w:color w:val="000000"/>
          <w:sz w:val="23"/>
          <w:szCs w:val="23"/>
        </w:rPr>
        <w:t>.</w:t>
      </w:r>
    </w:p>
    <w:p w:rsidR="0065609F" w:rsidRDefault="0065609F" w:rsidP="00762261">
      <w:pPr>
        <w:pStyle w:val="clauseheadlevel3"/>
      </w:pPr>
      <w:bookmarkStart w:id="621" w:name="Elkera_Print_TOC284"/>
      <w:bookmarkStart w:id="622" w:name="idc0e9e40e_1030_431b_8104_850b546ed9b4_2"/>
      <w:r>
        <w:t>158—Meaning of diving</w:t>
      </w:r>
      <w:bookmarkEnd w:id="621"/>
      <w:bookmarkEnd w:id="622"/>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For the purposes of this Part—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a person is </w:t>
      </w:r>
      <w:r>
        <w:rPr>
          <w:b/>
          <w:bCs/>
          <w:i/>
          <w:iCs/>
          <w:color w:val="000000"/>
          <w:sz w:val="23"/>
          <w:szCs w:val="23"/>
        </w:rPr>
        <w:t>diving</w:t>
      </w:r>
      <w:r>
        <w:rPr>
          <w:color w:val="000000"/>
          <w:sz w:val="23"/>
          <w:szCs w:val="23"/>
        </w:rPr>
        <w:t xml:space="preserve"> if they—</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are in a chamber inside which the ambient pressure is equal to or higher than the hydrostatic pressure at a depth of 1 metre in seawater (whether or not the chamber is submerged in water or another liquid);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are submerged in water or another liquid and their lungs are subjected to a pressure greater than atmospheric pressure (whether or not they are wearing a wetsuit or other protective clothing);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are in a manned submersible craft that is submerged in water or another liquid;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r>
      <w:r>
        <w:rPr>
          <w:b/>
          <w:bCs/>
          <w:i/>
          <w:iCs/>
          <w:color w:val="000000"/>
          <w:sz w:val="23"/>
          <w:szCs w:val="23"/>
        </w:rPr>
        <w:t>diving</w:t>
      </w:r>
      <w:r>
        <w:rPr>
          <w:color w:val="000000"/>
          <w:sz w:val="23"/>
          <w:szCs w:val="23"/>
        </w:rPr>
        <w:t xml:space="preserve"> includes diving using a snorkel and diving without the use of any breathing apparatus.</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For the purposes of this Part, </w:t>
      </w:r>
      <w:r>
        <w:rPr>
          <w:b/>
          <w:bCs/>
          <w:i/>
          <w:iCs/>
          <w:color w:val="000000"/>
          <w:sz w:val="23"/>
          <w:szCs w:val="23"/>
        </w:rPr>
        <w:t>diving</w:t>
      </w:r>
      <w:r>
        <w:rPr>
          <w:color w:val="000000"/>
          <w:sz w:val="23"/>
          <w:szCs w:val="23"/>
        </w:rPr>
        <w:t xml:space="preserve"> does not include—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diving using a snorkel for the purpose of conducting an environmental survey;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diving without the use of any breathing apparatus for that purpose.</w:t>
      </w:r>
    </w:p>
    <w:p w:rsidR="0065609F" w:rsidRDefault="0065609F" w:rsidP="00762261">
      <w:pPr>
        <w:pStyle w:val="clauseheadlevel3"/>
      </w:pPr>
      <w:bookmarkStart w:id="623" w:name="Elkera_Print_TOC285"/>
      <w:bookmarkStart w:id="624" w:name="Elkera_Print_BK285"/>
      <w:r>
        <w:t>159—When a diving operation begins and ends</w:t>
      </w:r>
      <w:bookmarkEnd w:id="623"/>
      <w:bookmarkEnd w:id="624"/>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For the purposes of this Part, a diving operation—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begins when the diver, or first diver, who takes part in the operation starts to prepare to dive;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ends when the diver, or last diver, who takes part in the operation leaves the water or the chamber or environment in which the dive took place and has completed any necessary decompression procedures;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includes the time taken for therapeutic recompression if that is necessary.</w:t>
      </w:r>
    </w:p>
    <w:p w:rsidR="0065609F" w:rsidRDefault="0065609F" w:rsidP="00762261">
      <w:pPr>
        <w:pStyle w:val="divisionheadlevel2"/>
      </w:pPr>
      <w:bookmarkStart w:id="625" w:name="Elkera_Print_TOC286"/>
      <w:bookmarkStart w:id="626" w:name="Elkera_Print_BK286"/>
      <w:r>
        <w:t>Division 2—Diving safety management systems</w:t>
      </w:r>
      <w:bookmarkEnd w:id="625"/>
      <w:bookmarkEnd w:id="626"/>
    </w:p>
    <w:p w:rsidR="0065609F" w:rsidRDefault="0065609F" w:rsidP="00762261">
      <w:pPr>
        <w:pStyle w:val="clauseheadlevel3"/>
      </w:pPr>
      <w:bookmarkStart w:id="627" w:name="Elkera_Print_TOC287"/>
      <w:bookmarkStart w:id="628" w:name="Elkera_Print_BK287"/>
      <w:r>
        <w:t>160—No diving without DSMS</w:t>
      </w:r>
      <w:bookmarkEnd w:id="627"/>
      <w:bookmarkEnd w:id="628"/>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Before beginning diving work that forms part of a diving project, a diving contractor must—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have a DSMS that is—</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accepted;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current; and</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give the DSMS to the operator of the diving project.</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$5 500.</w:t>
      </w:r>
    </w:p>
    <w:p w:rsidR="003759EC" w:rsidRDefault="003759EC" w:rsidP="00762261">
      <w:pPr>
        <w:spacing w:after="0" w:line="240" w:lineRule="auto"/>
        <w:jc w:val="left"/>
        <w:rPr>
          <w:color w:val="000000"/>
          <w:sz w:val="23"/>
          <w:szCs w:val="23"/>
        </w:rPr>
      </w:pPr>
      <w:r>
        <w:rPr>
          <w:color w:val="000000"/>
          <w:sz w:val="23"/>
          <w:szCs w:val="23"/>
        </w:rPr>
        <w:br w:type="page"/>
      </w:r>
    </w:p>
    <w:p w:rsidR="003759EC" w:rsidRDefault="003759EC" w:rsidP="00762261">
      <w:pPr>
        <w:pStyle w:val="RegSpace"/>
        <w:jc w:val="left"/>
      </w:pP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operator of a diving project must not allow diving work, that forms part of the diving project, to begin if the diving contractor has not given to the operator a DSMS that is—</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accepted; and</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current.</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$10 000.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A diving contractor must not allow diving to continue on a diving project if the DSMS is no longer—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accepted; and</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current.</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$10 000.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For the purposes of this regulation, an accepted DSMS is current if—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DSMS has not been revised, or the acceptance of the DSMS has not been withdrawn, since its latest acceptance;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it is not more than 5 years since its latest acceptance.</w:t>
      </w:r>
    </w:p>
    <w:p w:rsidR="0065609F" w:rsidRDefault="0065609F" w:rsidP="00762261">
      <w:pPr>
        <w:keepNext/>
        <w:keepLines/>
        <w:autoSpaceDE w:val="0"/>
        <w:autoSpaceDN w:val="0"/>
        <w:adjustRightInd w:val="0"/>
        <w:spacing w:before="120" w:after="0" w:line="240" w:lineRule="auto"/>
        <w:ind w:left="794" w:hanging="567"/>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794"/>
        <w:jc w:val="left"/>
        <w:rPr>
          <w:color w:val="000000"/>
          <w:sz w:val="20"/>
          <w:szCs w:val="20"/>
        </w:rPr>
      </w:pPr>
      <w:r>
        <w:rPr>
          <w:color w:val="000000"/>
          <w:sz w:val="20"/>
          <w:szCs w:val="20"/>
        </w:rPr>
        <w:t xml:space="preserve">A person may consult the register mentioned in </w:t>
      </w:r>
      <w:hyperlink w:anchor="idaf2f7267_2074_489a_93df_2b41e4f7c996_f" w:history="1">
        <w:r>
          <w:rPr>
            <w:color w:val="000000"/>
            <w:sz w:val="20"/>
            <w:szCs w:val="20"/>
          </w:rPr>
          <w:t>regulation 166</w:t>
        </w:r>
      </w:hyperlink>
      <w:r>
        <w:rPr>
          <w:color w:val="000000"/>
          <w:sz w:val="20"/>
          <w:szCs w:val="20"/>
        </w:rPr>
        <w:t xml:space="preserve"> to find out if a DSMS is accepted and current.</w:t>
      </w:r>
    </w:p>
    <w:p w:rsidR="0065609F" w:rsidRDefault="0065609F" w:rsidP="00762261">
      <w:pPr>
        <w:pStyle w:val="clauseheadlevel3"/>
      </w:pPr>
      <w:bookmarkStart w:id="629" w:name="Elkera_Print_TOC289"/>
      <w:bookmarkStart w:id="630" w:name="id4f65482d_fd0c_4cbd_bcbb_ee9a2661c6c7_5"/>
      <w:r>
        <w:t>161—Contents of DSMS</w:t>
      </w:r>
      <w:bookmarkEnd w:id="629"/>
      <w:bookmarkEnd w:id="630"/>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A DSMS must meet the minimum standards set out in the Guidelines for complying with the </w:t>
      </w:r>
      <w:r>
        <w:rPr>
          <w:i/>
          <w:iCs/>
          <w:color w:val="000000"/>
          <w:sz w:val="23"/>
          <w:szCs w:val="23"/>
        </w:rPr>
        <w:t>Offshore Petroleum and Greenhouse Gas Storage (Safety) Regulations 2009</w:t>
      </w:r>
      <w:r>
        <w:rPr>
          <w:color w:val="000000"/>
          <w:sz w:val="23"/>
          <w:szCs w:val="23"/>
        </w:rPr>
        <w:t xml:space="preserve"> of the Commonwealth, as existing from time to time, published by the Safety Authority.</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 DSMS must provide for—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all activities connected with a diving project;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the preparation of a diving project plan, in accordance with </w:t>
      </w:r>
      <w:hyperlink w:anchor="id68357d8f_097d_415b_9047_7866ec5abd10_0" w:history="1">
        <w:r>
          <w:rPr>
            <w:color w:val="000000"/>
            <w:sz w:val="23"/>
            <w:szCs w:val="23"/>
          </w:rPr>
          <w:t>Division 3</w:t>
        </w:r>
      </w:hyperlink>
      <w:r>
        <w:rPr>
          <w:color w:val="000000"/>
          <w:sz w:val="23"/>
          <w:szCs w:val="23"/>
        </w:rPr>
        <w:t>, for a project (including consultation with members of the workforce in the preparation of the plan) and the revision of the plan as necessary;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continual and systematic identification of hazards related to a diving project;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 continual and systematic assessment of—</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likelihood of the occurrence, during normal or emergency situations, of injury or damage associated with those hazards;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the likely nature of any injury or damage;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the elimination of risks to persons involved with the project and associated work including—</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risks arising during evacuation, escape and rescue in case of emergency;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risks to persons involved with the operation arising from equipment and hardware,</w:t>
      </w:r>
    </w:p>
    <w:p w:rsidR="0065609F" w:rsidRDefault="0065609F" w:rsidP="00762261">
      <w:pPr>
        <w:keepLines/>
        <w:autoSpaceDE w:val="0"/>
        <w:autoSpaceDN w:val="0"/>
        <w:adjustRightInd w:val="0"/>
        <w:spacing w:before="120" w:after="0" w:line="240" w:lineRule="auto"/>
        <w:ind w:left="1588"/>
        <w:jc w:val="left"/>
        <w:rPr>
          <w:color w:val="000000"/>
          <w:sz w:val="23"/>
          <w:szCs w:val="23"/>
        </w:rPr>
      </w:pPr>
      <w:r>
        <w:rPr>
          <w:color w:val="000000"/>
          <w:sz w:val="23"/>
          <w:szCs w:val="23"/>
        </w:rPr>
        <w:t>or the reduction of those risks to as low as reasonably practicable; and</w:t>
      </w:r>
    </w:p>
    <w:p w:rsidR="00A209C1" w:rsidRDefault="00A209C1" w:rsidP="00762261">
      <w:pPr>
        <w:spacing w:after="0" w:line="240" w:lineRule="auto"/>
        <w:jc w:val="left"/>
        <w:rPr>
          <w:color w:val="000000"/>
          <w:sz w:val="23"/>
          <w:szCs w:val="23"/>
        </w:rPr>
      </w:pPr>
      <w:r>
        <w:rPr>
          <w:color w:val="000000"/>
          <w:sz w:val="23"/>
          <w:szCs w:val="23"/>
        </w:rPr>
        <w:br w:type="page"/>
      </w:r>
    </w:p>
    <w:p w:rsidR="00211979" w:rsidRDefault="00211979" w:rsidP="00762261">
      <w:pPr>
        <w:pStyle w:val="RegSpace"/>
        <w:jc w:val="left"/>
      </w:pP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(f)</w:t>
      </w:r>
      <w:r>
        <w:rPr>
          <w:color w:val="000000"/>
          <w:sz w:val="23"/>
          <w:szCs w:val="23"/>
        </w:rPr>
        <w:tab/>
        <w:t>the inspection and maintenance of, and testing programs for, equipment and hardware integral to the control of those risks;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(g)</w:t>
      </w:r>
      <w:r>
        <w:rPr>
          <w:color w:val="000000"/>
          <w:sz w:val="23"/>
          <w:szCs w:val="23"/>
        </w:rPr>
        <w:tab/>
        <w:t>communications between persons involved in a diving project;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(h)</w:t>
      </w:r>
      <w:r>
        <w:rPr>
          <w:color w:val="000000"/>
          <w:sz w:val="23"/>
          <w:szCs w:val="23"/>
        </w:rPr>
        <w:tab/>
        <w:t>the performance standards that apply to the DSMS;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(i)</w:t>
      </w:r>
      <w:r>
        <w:rPr>
          <w:color w:val="000000"/>
          <w:sz w:val="23"/>
          <w:szCs w:val="23"/>
        </w:rPr>
        <w:tab/>
        <w:t>a program of continuous improvement.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A DSMS must—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specify any standard or code of practice that is to be used in a diving project;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require the diving to be carried out in accordance with those standards or codes.</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A DSMS must contain—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any information that is reasonably necessary to demonstrate that the DSMS complies with these regulations;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 system for the management of change.</w:t>
      </w:r>
    </w:p>
    <w:p w:rsidR="0065609F" w:rsidRDefault="0065609F" w:rsidP="00762261">
      <w:pPr>
        <w:pStyle w:val="clauseheadlevel3"/>
      </w:pPr>
      <w:bookmarkStart w:id="631" w:name="Elkera_Print_TOC291"/>
      <w:bookmarkStart w:id="632" w:name="id0c737b3c_98e1_44c0_98be_7a0045e5596c_2"/>
      <w:r>
        <w:t>162—Acceptance of new DSMS</w:t>
      </w:r>
      <w:bookmarkEnd w:id="631"/>
      <w:bookmarkEnd w:id="632"/>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If a diving contractor does not already have an accepted DSMS, the contractor must give a DSMS to the Safety Authority at least 60 days before a proposed diving project is expected to begin.</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633" w:name="id778f5caa_c0ef_47b1_aced_10d0d4de047a_9"/>
      <w:r>
        <w:rPr>
          <w:color w:val="000000"/>
          <w:sz w:val="23"/>
          <w:szCs w:val="23"/>
        </w:rPr>
        <w:tab/>
        <w:t>(2)</w:t>
      </w:r>
      <w:r>
        <w:rPr>
          <w:color w:val="000000"/>
          <w:sz w:val="23"/>
          <w:szCs w:val="23"/>
        </w:rPr>
        <w:tab/>
        <w:t>Within 60 days after receiving the DSMS, the Safety Authority must notify the diving contractor that it—</w:t>
      </w:r>
      <w:bookmarkEnd w:id="633"/>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accepts the DSMS, subject to any conditions necessary in the interests of safety;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rejects the DSMS.</w:t>
      </w:r>
    </w:p>
    <w:p w:rsidR="0065609F" w:rsidRDefault="0065609F" w:rsidP="00762261">
      <w:pPr>
        <w:pStyle w:val="clauseheadlevel3"/>
      </w:pPr>
      <w:bookmarkStart w:id="634" w:name="Elkera_Print_TOC293"/>
      <w:bookmarkStart w:id="635" w:name="id501c7415_9038_4262_94c7_e009e48cfee4_a"/>
      <w:r>
        <w:t>163—Acceptance of revised DSMS</w:t>
      </w:r>
      <w:bookmarkEnd w:id="634"/>
      <w:bookmarkEnd w:id="635"/>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If a diving contractor has revised a DSMS, the contractor must give the revised DSMS to the Safety Authority.</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636" w:name="ida9778960_cdfd_49b5_addf_bf225b4d187d_7"/>
      <w:r>
        <w:rPr>
          <w:color w:val="000000"/>
          <w:sz w:val="23"/>
          <w:szCs w:val="23"/>
        </w:rPr>
        <w:tab/>
        <w:t>(2)</w:t>
      </w:r>
      <w:r>
        <w:rPr>
          <w:color w:val="000000"/>
          <w:sz w:val="23"/>
          <w:szCs w:val="23"/>
        </w:rPr>
        <w:tab/>
        <w:t>The Safety Authority must notify the diving contractor that the revised DSMS has been accepted or rejected within—</w:t>
      </w:r>
      <w:bookmarkEnd w:id="636"/>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28 days after receiving the revised DSMS;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another period agreed between the Safety Authority and the diving contractor.</w:t>
      </w:r>
    </w:p>
    <w:p w:rsidR="0065609F" w:rsidRDefault="0065609F" w:rsidP="00762261">
      <w:pPr>
        <w:pStyle w:val="clauseheadlevel3"/>
      </w:pPr>
      <w:bookmarkStart w:id="637" w:name="Elkera_Print_TOC294"/>
      <w:bookmarkStart w:id="638" w:name="Elkera_Print_BK294"/>
      <w:r>
        <w:t>164—Grounds for rejecting DSMS</w:t>
      </w:r>
      <w:bookmarkEnd w:id="637"/>
      <w:bookmarkEnd w:id="638"/>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The Safety Authority must reject a DSMS if—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the DSMS does not adequately comply with </w:t>
      </w:r>
      <w:hyperlink w:anchor="id4f65482d_fd0c_4cbd_bcbb_ee9a2661c6c7_5" w:history="1">
        <w:r>
          <w:rPr>
            <w:color w:val="000000"/>
            <w:sz w:val="23"/>
            <w:szCs w:val="23"/>
          </w:rPr>
          <w:t>regulation 161</w:t>
        </w:r>
      </w:hyperlink>
      <w:r>
        <w:rPr>
          <w:color w:val="000000"/>
          <w:sz w:val="23"/>
          <w:szCs w:val="23"/>
        </w:rPr>
        <w:t>;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the Safety Authority is not satisfied that there was consultation with divers and other members of the workforce in the preparation of the DSMS, as required by </w:t>
      </w:r>
      <w:hyperlink w:anchor="idc8bb8b67_990f_4bcf_ae15_800e1e06fe65_f" w:history="1">
        <w:r>
          <w:rPr>
            <w:color w:val="000000"/>
            <w:sz w:val="23"/>
            <w:szCs w:val="23"/>
          </w:rPr>
          <w:t>regulation 175</w:t>
        </w:r>
      </w:hyperlink>
      <w:r>
        <w:rPr>
          <w:color w:val="000000"/>
          <w:sz w:val="23"/>
          <w:szCs w:val="23"/>
        </w:rPr>
        <w:t>.</w:t>
      </w:r>
    </w:p>
    <w:p w:rsidR="00A65D5F" w:rsidRDefault="00A65D5F" w:rsidP="00762261">
      <w:pPr>
        <w:spacing w:after="0" w:line="240" w:lineRule="auto"/>
        <w:jc w:val="left"/>
        <w:rPr>
          <w:rFonts w:eastAsia="Times New Roman"/>
          <w:b/>
          <w:bCs/>
          <w:color w:val="000000"/>
          <w:sz w:val="26"/>
          <w:szCs w:val="26"/>
          <w:lang w:eastAsia="en-AU"/>
        </w:rPr>
      </w:pPr>
      <w:bookmarkStart w:id="639" w:name="Elkera_Print_TOC295"/>
      <w:bookmarkStart w:id="640" w:name="Elkera_Print_BK295"/>
      <w:r>
        <w:br w:type="page"/>
      </w:r>
    </w:p>
    <w:p w:rsidR="00A65D5F" w:rsidRDefault="00A65D5F" w:rsidP="00762261">
      <w:pPr>
        <w:pStyle w:val="RegSpace"/>
        <w:jc w:val="left"/>
      </w:pPr>
    </w:p>
    <w:p w:rsidR="0065609F" w:rsidRDefault="0065609F" w:rsidP="00762261">
      <w:pPr>
        <w:pStyle w:val="clauseheadlevel3"/>
      </w:pPr>
      <w:r>
        <w:t>165—Notice of reasons</w:t>
      </w:r>
      <w:bookmarkEnd w:id="639"/>
      <w:bookmarkEnd w:id="640"/>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If the Safety Authority decides to reject a DSMS the Safety Authority must set out, in writing, with the notice mentioned in </w:t>
      </w:r>
      <w:hyperlink w:anchor="id778f5caa_c0ef_47b1_aced_10d0d4de047a_9" w:history="1">
        <w:r>
          <w:rPr>
            <w:color w:val="000000"/>
            <w:sz w:val="23"/>
            <w:szCs w:val="23"/>
          </w:rPr>
          <w:t>regulation 162(2)</w:t>
        </w:r>
      </w:hyperlink>
      <w:r>
        <w:rPr>
          <w:color w:val="000000"/>
          <w:sz w:val="23"/>
          <w:szCs w:val="23"/>
        </w:rPr>
        <w:t xml:space="preserve"> or </w:t>
      </w:r>
      <w:hyperlink w:anchor="ida9778960_cdfd_49b5_addf_bf225b4d187d_7" w:history="1">
        <w:r>
          <w:rPr>
            <w:color w:val="000000"/>
            <w:sz w:val="23"/>
            <w:szCs w:val="23"/>
          </w:rPr>
          <w:t>163(2)</w:t>
        </w:r>
      </w:hyperlink>
      <w:r>
        <w:rPr>
          <w:color w:val="000000"/>
          <w:sz w:val="23"/>
          <w:szCs w:val="23"/>
        </w:rPr>
        <w:t>, the reasons for rejecting the DSMS.</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If the Safety Authority decides to impose conditions on a DSMS, the Safety Authority must set out, in writing, with the notice mentioned in </w:t>
      </w:r>
      <w:hyperlink w:anchor="id778f5caa_c0ef_47b1_aced_10d0d4de047a_9" w:history="1">
        <w:r>
          <w:rPr>
            <w:color w:val="000000"/>
            <w:sz w:val="23"/>
            <w:szCs w:val="23"/>
          </w:rPr>
          <w:t>regulation 162(2)</w:t>
        </w:r>
      </w:hyperlink>
      <w:r>
        <w:rPr>
          <w:color w:val="000000"/>
          <w:sz w:val="23"/>
          <w:szCs w:val="23"/>
        </w:rPr>
        <w:t xml:space="preserve"> or </w:t>
      </w:r>
      <w:hyperlink w:anchor="ida9778960_cdfd_49b5_addf_bf225b4d187d_7" w:history="1">
        <w:r>
          <w:rPr>
            <w:color w:val="000000"/>
            <w:sz w:val="23"/>
            <w:szCs w:val="23"/>
          </w:rPr>
          <w:t>163(2)</w:t>
        </w:r>
      </w:hyperlink>
      <w:r>
        <w:rPr>
          <w:color w:val="000000"/>
          <w:sz w:val="23"/>
          <w:szCs w:val="23"/>
        </w:rPr>
        <w:t>, the reasons for imposing conditions on the DSMS.</w:t>
      </w:r>
    </w:p>
    <w:p w:rsidR="0065609F" w:rsidRDefault="0065609F" w:rsidP="00762261">
      <w:pPr>
        <w:pStyle w:val="clauseheadlevel3"/>
      </w:pPr>
      <w:bookmarkStart w:id="641" w:name="Elkera_Print_TOC297"/>
      <w:bookmarkStart w:id="642" w:name="idaf2f7267_2074_489a_93df_2b41e4f7c996_f"/>
      <w:r>
        <w:t>166—Register of DSMSs</w:t>
      </w:r>
      <w:bookmarkEnd w:id="641"/>
      <w:bookmarkEnd w:id="642"/>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The Safety Authority must keep a register of each DSMS and revised DSMS it receives, in a form that allows public access.</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register must record as many of the following details as apply to the DSMS:</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name of the diving contractor;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date of acceptance;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any conditions on acceptance;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 date of rejection;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the date that acceptance was withdrawn;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(f)</w:t>
      </w:r>
      <w:r>
        <w:rPr>
          <w:color w:val="000000"/>
          <w:sz w:val="23"/>
          <w:szCs w:val="23"/>
        </w:rPr>
        <w:tab/>
        <w:t xml:space="preserve">the date of any revision notice under </w:t>
      </w:r>
      <w:hyperlink w:anchor="id41c47e3a_6261_4955_9f3f_eb7764a44c3e_3" w:history="1">
        <w:r>
          <w:rPr>
            <w:color w:val="000000"/>
            <w:sz w:val="23"/>
            <w:szCs w:val="23"/>
          </w:rPr>
          <w:t>regulation 168</w:t>
        </w:r>
      </w:hyperlink>
      <w:r>
        <w:rPr>
          <w:color w:val="000000"/>
          <w:sz w:val="23"/>
          <w:szCs w:val="23"/>
        </w:rPr>
        <w: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The Safety Authority must also record on the register, the following details for each diving project plan it receives under </w:t>
      </w:r>
      <w:hyperlink w:anchor="id58590fa2_6c9c_4d66_aa1d_4630a96b3fe4_9" w:history="1">
        <w:r>
          <w:rPr>
            <w:color w:val="000000"/>
            <w:sz w:val="23"/>
            <w:szCs w:val="23"/>
          </w:rPr>
          <w:t>regulation 170</w:t>
        </w:r>
      </w:hyperlink>
      <w:r>
        <w:rPr>
          <w:color w:val="000000"/>
          <w:sz w:val="23"/>
          <w:szCs w:val="23"/>
        </w:rPr>
        <w: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name of the diving contractor;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diving project to which the diving project plan applies;</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proposed commencement date of the project;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 date of receipt of the plan.</w:t>
      </w:r>
    </w:p>
    <w:p w:rsidR="0065609F" w:rsidRDefault="0065609F" w:rsidP="00762261">
      <w:pPr>
        <w:pStyle w:val="clauseheadlevel3"/>
      </w:pPr>
      <w:bookmarkStart w:id="643" w:name="Elkera_Print_TOC298"/>
      <w:bookmarkStart w:id="644" w:name="Elkera_Print_BK298"/>
      <w:r>
        <w:t>167—Revision of DSMS</w:t>
      </w:r>
      <w:bookmarkEnd w:id="643"/>
      <w:bookmarkEnd w:id="644"/>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A diving contractor must revise a DSMS—</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if developments in scientific or technical knowledge, or in the assessment of hazards, relevant to diving projects make it appropriate to do so;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if the diving contractor proposes to make a significant change to the method of operation or to procedures or equipment;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 xml:space="preserve">if the Safety Authority gives notice in accordance with </w:t>
      </w:r>
      <w:hyperlink w:anchor="id41c47e3a_6261_4955_9f3f_eb7764a44c3e_3" w:history="1">
        <w:r>
          <w:rPr>
            <w:color w:val="000000"/>
            <w:sz w:val="23"/>
            <w:szCs w:val="23"/>
          </w:rPr>
          <w:t>regulation 168</w:t>
        </w:r>
      </w:hyperlink>
      <w:r>
        <w:rPr>
          <w:color w:val="000000"/>
          <w:sz w:val="23"/>
          <w:szCs w:val="23"/>
        </w:rPr>
        <w: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if a number of minor changes result in the DSMS being significantly different from the latest version of the DSMS accepted by the Safety Authority;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at the end of each period of 5 years commencing on the later of—</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date when the DSMS is first accepted by the Safety Authority;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the date of the most recent acceptance by the Safety Authority of a revised version of the DSMS.</w:t>
      </w:r>
    </w:p>
    <w:p w:rsidR="007C7643" w:rsidRDefault="007C7643" w:rsidP="00762261">
      <w:pPr>
        <w:spacing w:after="0" w:line="240" w:lineRule="auto"/>
        <w:jc w:val="left"/>
        <w:rPr>
          <w:rFonts w:eastAsia="Times New Roman"/>
          <w:b/>
          <w:bCs/>
          <w:color w:val="000000"/>
          <w:sz w:val="26"/>
          <w:szCs w:val="26"/>
          <w:lang w:eastAsia="en-AU"/>
        </w:rPr>
      </w:pPr>
      <w:bookmarkStart w:id="645" w:name="Elkera_Print_TOC300"/>
      <w:bookmarkStart w:id="646" w:name="id41c47e3a_6261_4955_9f3f_eb7764a44c3e_3"/>
      <w:r>
        <w:br w:type="page"/>
      </w:r>
    </w:p>
    <w:p w:rsidR="007C7643" w:rsidRDefault="007C7643" w:rsidP="00762261">
      <w:pPr>
        <w:pStyle w:val="RegSpace"/>
        <w:jc w:val="left"/>
      </w:pPr>
    </w:p>
    <w:p w:rsidR="0065609F" w:rsidRDefault="0065609F" w:rsidP="00762261">
      <w:pPr>
        <w:pStyle w:val="clauseheadlevel3"/>
      </w:pPr>
      <w:r>
        <w:t>168—Notice to revise DSMS</w:t>
      </w:r>
      <w:bookmarkEnd w:id="645"/>
      <w:bookmarkEnd w:id="646"/>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The Safety Authority may give notice (a </w:t>
      </w:r>
      <w:r>
        <w:rPr>
          <w:b/>
          <w:bCs/>
          <w:i/>
          <w:iCs/>
          <w:color w:val="000000"/>
          <w:sz w:val="23"/>
          <w:szCs w:val="23"/>
        </w:rPr>
        <w:t>revision notice</w:t>
      </w:r>
      <w:r>
        <w:rPr>
          <w:color w:val="000000"/>
          <w:sz w:val="23"/>
          <w:szCs w:val="23"/>
        </w:rPr>
        <w:t>) to a diving contractor to revise a DSMS.</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 revision notice must be in writing and must set out—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matters to be revised;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time within which the revision must be completed;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reasons why the revision is necessary.</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647" w:name="id547d7aff_9a35_412c_a2b5_3070b1b2345b_0"/>
      <w:r>
        <w:rPr>
          <w:color w:val="000000"/>
          <w:sz w:val="23"/>
          <w:szCs w:val="23"/>
        </w:rPr>
        <w:tab/>
        <w:t>(3)</w:t>
      </w:r>
      <w:r>
        <w:rPr>
          <w:color w:val="000000"/>
          <w:sz w:val="23"/>
          <w:szCs w:val="23"/>
        </w:rPr>
        <w:tab/>
        <w:t>The diving contractor may make a submission in writing to the Safety Authority, within 21 days after receiving the notice or any longer period that the Safety Authority allows in writing, setting out the contractor's reasons for any of the following:</w:t>
      </w:r>
      <w:bookmarkEnd w:id="647"/>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why the revision is not necessary;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why the revision should be in different terms from those proposed;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whether or not the contractor gives other reasons—why the notice should take effect on a later date than the date set out in the notice.</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648" w:name="id443d5e67_6ede_415a_af20_f31deba088cc_c"/>
      <w:r>
        <w:rPr>
          <w:color w:val="000000"/>
          <w:sz w:val="23"/>
          <w:szCs w:val="23"/>
        </w:rPr>
        <w:tab/>
        <w:t>(4)</w:t>
      </w:r>
      <w:r>
        <w:rPr>
          <w:color w:val="000000"/>
          <w:sz w:val="23"/>
          <w:szCs w:val="23"/>
        </w:rPr>
        <w:tab/>
        <w:t xml:space="preserve">If a contractor makes a submission under </w:t>
      </w:r>
      <w:hyperlink w:anchor="id547d7aff_9a35_412c_a2b5_3070b1b2345b_0" w:history="1">
        <w:r>
          <w:rPr>
            <w:color w:val="000000"/>
            <w:sz w:val="23"/>
            <w:szCs w:val="23"/>
          </w:rPr>
          <w:t>subregulation (3)</w:t>
        </w:r>
      </w:hyperlink>
      <w:r>
        <w:rPr>
          <w:color w:val="000000"/>
          <w:sz w:val="23"/>
          <w:szCs w:val="23"/>
        </w:rPr>
        <w:t>, the Safety Authority must, within 28 days after receiving the submission—</w:t>
      </w:r>
      <w:bookmarkEnd w:id="648"/>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decide whether the Safety Authority accepts the reasons in the submission;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give the contractor notice in writing affirming, varying or withdrawing the revision notice;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if the Safety Authority decides not to accept the reasons or any part of them—set out in this notice the grounds for not accepting them.</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(5)</w:t>
      </w:r>
      <w:r>
        <w:rPr>
          <w:color w:val="000000"/>
          <w:sz w:val="23"/>
          <w:szCs w:val="23"/>
        </w:rPr>
        <w:tab/>
        <w:t xml:space="preserve">The contractor must revise the DSMS, in accordance with the notice as originally given or as varied under </w:t>
      </w:r>
      <w:hyperlink w:anchor="id443d5e67_6ede_415a_af20_f31deba088cc_c" w:history="1">
        <w:r>
          <w:rPr>
            <w:color w:val="000000"/>
            <w:sz w:val="23"/>
            <w:szCs w:val="23"/>
          </w:rPr>
          <w:t>subregulation (4)</w:t>
        </w:r>
      </w:hyperlink>
      <w:r>
        <w:rPr>
          <w:color w:val="000000"/>
          <w:sz w:val="23"/>
          <w:szCs w:val="23"/>
        </w:rPr>
        <w:t>, and submit it to the Safety Authority.</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(6)</w:t>
      </w:r>
      <w:r>
        <w:rPr>
          <w:color w:val="000000"/>
          <w:sz w:val="23"/>
          <w:szCs w:val="23"/>
        </w:rPr>
        <w:tab/>
        <w:t>If the contractor does not revise a DSMS when required by this regulation to do so, the Safety Authority may withdraw its acceptance of the DSMS or its agreement to the use of the DSMS for the project.</w:t>
      </w:r>
    </w:p>
    <w:p w:rsidR="0065609F" w:rsidRDefault="0065609F" w:rsidP="00762261">
      <w:pPr>
        <w:pStyle w:val="divisionheadlevel2"/>
      </w:pPr>
      <w:bookmarkStart w:id="649" w:name="Elkera_Print_TOC302"/>
      <w:bookmarkStart w:id="650" w:name="id68357d8f_097d_415b_9047_7866ec5abd10_0"/>
      <w:r>
        <w:t>Division 3—Diving project plans</w:t>
      </w:r>
      <w:bookmarkEnd w:id="649"/>
      <w:bookmarkEnd w:id="650"/>
    </w:p>
    <w:p w:rsidR="0065609F" w:rsidRDefault="0065609F" w:rsidP="00762261">
      <w:pPr>
        <w:pStyle w:val="clauseheadlevel3"/>
      </w:pPr>
      <w:bookmarkStart w:id="651" w:name="Elkera_Print_TOC303"/>
      <w:bookmarkStart w:id="652" w:name="Elkera_Print_BK303"/>
      <w:r>
        <w:t>169—Diving project plan to be approved</w:t>
      </w:r>
      <w:bookmarkEnd w:id="651"/>
      <w:bookmarkEnd w:id="652"/>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This regulation applies if there is an operator for a diving project.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diving contractor must prepare a diving project plan for each diving project in consultation with the operator for the project.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The diving project plan must be approved by the operator for the project before diving can commence on the project.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The operator must not approve the diving project plan unless the operator is satisfied that—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the plan complies with </w:t>
      </w:r>
      <w:hyperlink w:anchor="id7c8fc393_1c36_4b1b_b368_0da90ea1bff1_c" w:history="1">
        <w:r>
          <w:rPr>
            <w:color w:val="000000"/>
            <w:sz w:val="23"/>
            <w:szCs w:val="23"/>
          </w:rPr>
          <w:t>regulation 173</w:t>
        </w:r>
      </w:hyperlink>
      <w:r>
        <w:rPr>
          <w:color w:val="000000"/>
          <w:sz w:val="23"/>
          <w:szCs w:val="23"/>
        </w:rPr>
        <w: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there was effective consultation in the preparation of the plan, as required by </w:t>
      </w:r>
      <w:hyperlink w:anchor="idc8bb8b67_990f_4bcf_ae15_800e1e06fe65_f" w:history="1">
        <w:r>
          <w:rPr>
            <w:color w:val="000000"/>
            <w:sz w:val="23"/>
            <w:szCs w:val="23"/>
          </w:rPr>
          <w:t>regulation 175</w:t>
        </w:r>
      </w:hyperlink>
      <w:r>
        <w:rPr>
          <w:color w:val="000000"/>
          <w:sz w:val="23"/>
          <w:szCs w:val="23"/>
        </w:rPr>
        <w:t>.</w:t>
      </w:r>
    </w:p>
    <w:p w:rsidR="002956B9" w:rsidRDefault="002956B9" w:rsidP="00762261">
      <w:pPr>
        <w:spacing w:after="0" w:line="240" w:lineRule="auto"/>
        <w:jc w:val="left"/>
        <w:rPr>
          <w:rFonts w:eastAsia="Times New Roman"/>
          <w:b/>
          <w:bCs/>
          <w:color w:val="000000"/>
          <w:sz w:val="26"/>
          <w:szCs w:val="26"/>
          <w:lang w:eastAsia="en-AU"/>
        </w:rPr>
      </w:pPr>
      <w:bookmarkStart w:id="653" w:name="Elkera_Print_TOC305"/>
      <w:bookmarkStart w:id="654" w:name="id58590fa2_6c9c_4d66_aa1d_4630a96b3fe4_9"/>
      <w:r>
        <w:br w:type="page"/>
      </w:r>
    </w:p>
    <w:p w:rsidR="002956B9" w:rsidRDefault="002956B9" w:rsidP="00762261">
      <w:pPr>
        <w:pStyle w:val="RegSpace"/>
        <w:jc w:val="left"/>
      </w:pPr>
    </w:p>
    <w:p w:rsidR="0065609F" w:rsidRDefault="0065609F" w:rsidP="00762261">
      <w:pPr>
        <w:pStyle w:val="clauseheadlevel3"/>
      </w:pPr>
      <w:r>
        <w:t>170—Diving project plan to Safety Authority if there is no operator</w:t>
      </w:r>
      <w:bookmarkEnd w:id="653"/>
      <w:bookmarkEnd w:id="654"/>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This regulation applies if there is no operator for a diving project.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diving contractor must prepare a diving project plan for the diving project and give a copy of the plan to the Safety Authority.</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The Safety Authority must not accept the diving project plan unless it is satisfied that—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the plan complies with </w:t>
      </w:r>
      <w:hyperlink w:anchor="id7c8fc393_1c36_4b1b_b368_0da90ea1bff1_c" w:history="1">
        <w:r>
          <w:rPr>
            <w:color w:val="000000"/>
            <w:sz w:val="23"/>
            <w:szCs w:val="23"/>
          </w:rPr>
          <w:t>regulation 173</w:t>
        </w:r>
      </w:hyperlink>
      <w:r>
        <w:rPr>
          <w:color w:val="000000"/>
          <w:sz w:val="23"/>
          <w:szCs w:val="23"/>
        </w:rPr>
        <w: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there was effective consultation in the preparation of the plan, as required by </w:t>
      </w:r>
      <w:hyperlink w:anchor="idc8bb8b67_990f_4bcf_ae15_800e1e06fe65_f" w:history="1">
        <w:r>
          <w:rPr>
            <w:color w:val="000000"/>
            <w:sz w:val="23"/>
            <w:szCs w:val="23"/>
          </w:rPr>
          <w:t>regulation 175</w:t>
        </w:r>
      </w:hyperlink>
      <w:r>
        <w:rPr>
          <w:color w:val="000000"/>
          <w:sz w:val="23"/>
          <w:szCs w:val="23"/>
        </w:rPr>
        <w:t>.</w:t>
      </w:r>
    </w:p>
    <w:p w:rsidR="0065609F" w:rsidRDefault="0065609F" w:rsidP="00762261">
      <w:pPr>
        <w:pStyle w:val="clauseheadlevel3"/>
      </w:pPr>
      <w:bookmarkStart w:id="655" w:name="Elkera_Print_TOC306"/>
      <w:bookmarkStart w:id="656" w:name="Elkera_Print_BK306"/>
      <w:r>
        <w:t>171—Diving project plan to Safety Authority if requested</w:t>
      </w:r>
      <w:bookmarkEnd w:id="655"/>
      <w:bookmarkEnd w:id="656"/>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If the Safety Authority asks the operator for a diving project for a copy of the diving project plan, the operator must give a copy of the plan to the Safety Authority.</w:t>
      </w:r>
    </w:p>
    <w:p w:rsidR="0065609F" w:rsidRDefault="0065609F" w:rsidP="00762261">
      <w:pPr>
        <w:pStyle w:val="clauseheadlevel3"/>
      </w:pPr>
      <w:bookmarkStart w:id="657" w:name="Elkera_Print_TOC307"/>
      <w:bookmarkStart w:id="658" w:name="Elkera_Print_BK307"/>
      <w:r>
        <w:t>172—Updating diving project plan</w:t>
      </w:r>
      <w:bookmarkEnd w:id="657"/>
      <w:bookmarkEnd w:id="658"/>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 diving contractor for a diving project must keep the diving project plan for the project up to date during the project.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diving contractor must update the diving project plan if—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because of modification of the project, there is a significant increase in the overall level of risk to a diving operation;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operator for the project proposes to undertake or permit a modification of the project that might influence significantly the level of specific risks to a diving operation or the ranking of risk contributors.</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If there is no operator for a diving project and the diving project plan has been updated, the diving contractor must resubmit the updated plan to the Safety Authority for consideration.</w:t>
      </w:r>
    </w:p>
    <w:p w:rsidR="0065609F" w:rsidRDefault="0065609F" w:rsidP="00762261">
      <w:pPr>
        <w:pStyle w:val="clauseheadlevel3"/>
      </w:pPr>
      <w:bookmarkStart w:id="659" w:name="Elkera_Print_TOC309"/>
      <w:bookmarkStart w:id="660" w:name="id7c8fc393_1c36_4b1b_b368_0da90ea1bff1_c"/>
      <w:r>
        <w:t>173—Contents of diving project plan</w:t>
      </w:r>
      <w:bookmarkEnd w:id="659"/>
      <w:bookmarkEnd w:id="660"/>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 diving project plan must set out the following matters:</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description of the work to be done;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 list of the South Australian and Commonwealth legislation (including these regulations) that the diving contractor considers applies to the project;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a list of standards and codes of practice that will be applied in carrying out the project;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a hazard identification;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a risk assessment;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(f)</w:t>
      </w:r>
      <w:r>
        <w:rPr>
          <w:color w:val="000000"/>
          <w:sz w:val="23"/>
          <w:szCs w:val="23"/>
        </w:rPr>
        <w:tab/>
        <w:t>a safety management plan;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(g)</w:t>
      </w:r>
      <w:r>
        <w:rPr>
          <w:color w:val="000000"/>
          <w:sz w:val="23"/>
          <w:szCs w:val="23"/>
        </w:rPr>
        <w:tab/>
        <w:t>job hazard analyses for the diving operations;</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(h)</w:t>
      </w:r>
      <w:r>
        <w:rPr>
          <w:color w:val="000000"/>
          <w:sz w:val="23"/>
          <w:szCs w:val="23"/>
        </w:rPr>
        <w:tab/>
        <w:t>an emergency response plan;</w:t>
      </w:r>
    </w:p>
    <w:p w:rsidR="00A0570E" w:rsidRDefault="00A0570E" w:rsidP="00762261">
      <w:pPr>
        <w:spacing w:after="0" w:line="240" w:lineRule="auto"/>
        <w:jc w:val="left"/>
        <w:rPr>
          <w:color w:val="000000"/>
          <w:sz w:val="23"/>
          <w:szCs w:val="23"/>
        </w:rPr>
      </w:pPr>
      <w:r>
        <w:rPr>
          <w:color w:val="000000"/>
          <w:sz w:val="23"/>
          <w:szCs w:val="23"/>
        </w:rPr>
        <w:br w:type="page"/>
      </w:r>
    </w:p>
    <w:p w:rsidR="00A0570E" w:rsidRDefault="00A0570E" w:rsidP="00762261">
      <w:pPr>
        <w:pStyle w:val="RegSpace"/>
        <w:jc w:val="left"/>
      </w:pP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(i)</w:t>
      </w:r>
      <w:r>
        <w:rPr>
          <w:color w:val="000000"/>
          <w:sz w:val="23"/>
          <w:szCs w:val="23"/>
        </w:rPr>
        <w:tab/>
        <w:t>the provisions of the DSMS and the safety case or the pipeline safety management plan that are relevant to the diving project, in particular the arrangements in the DSMS and the safety case or the pipeline safety management plan for simultaneous operations and emergency response;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(j)</w:t>
      </w:r>
      <w:r>
        <w:rPr>
          <w:color w:val="000000"/>
          <w:sz w:val="23"/>
          <w:szCs w:val="23"/>
        </w:rPr>
        <w:tab/>
        <w:t>details of consultation with divers and other members of the workforce working on the project.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diving project plan must describe each diving operation that is part of the diving project.</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661" w:name="idce67f340_6135_493e_9c63_e169358ae76a_3"/>
      <w:r>
        <w:rPr>
          <w:color w:val="000000"/>
          <w:sz w:val="23"/>
          <w:szCs w:val="23"/>
        </w:rPr>
        <w:tab/>
        <w:t>(3)</w:t>
      </w:r>
      <w:r>
        <w:rPr>
          <w:color w:val="000000"/>
          <w:sz w:val="23"/>
          <w:szCs w:val="23"/>
        </w:rPr>
        <w:tab/>
        <w:t>The diving project plan must not specify as a diving operation a task that is too complex, or too big, to be supervised safely by 1 supervisor.</w:t>
      </w:r>
      <w:bookmarkEnd w:id="661"/>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The diving project plan must provide for adequate communications between persons undertaking the project and any relevant—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contractor;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facility;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vessel or aircraft;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on</w:t>
      </w:r>
      <w:r>
        <w:rPr>
          <w:color w:val="000000"/>
          <w:sz w:val="23"/>
          <w:szCs w:val="23"/>
        </w:rPr>
        <w:noBreakHyphen/>
        <w:t>shore installation.</w:t>
      </w:r>
    </w:p>
    <w:p w:rsidR="0065609F" w:rsidRDefault="0065609F" w:rsidP="00762261">
      <w:pPr>
        <w:pStyle w:val="clauseheadlevel3"/>
      </w:pPr>
      <w:bookmarkStart w:id="662" w:name="Elkera_Print_TOC310"/>
      <w:bookmarkStart w:id="663" w:name="Elkera_Print_BK310"/>
      <w:r>
        <w:t>174—No diving without approved diving project plan</w:t>
      </w:r>
      <w:bookmarkEnd w:id="662"/>
      <w:bookmarkEnd w:id="663"/>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A diving contractor for a project must not allow a person to dive on the project if—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there is no diving project plan for the project; or</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diving project plan has not been approved by the operator or accepted by the Safety Authority if there is no operator.</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$5 500.</w:t>
      </w:r>
    </w:p>
    <w:p w:rsidR="0065609F" w:rsidRDefault="0065609F" w:rsidP="00762261">
      <w:pPr>
        <w:pStyle w:val="divisionheadlevel2"/>
      </w:pPr>
      <w:bookmarkStart w:id="664" w:name="Elkera_Print_TOC311"/>
      <w:bookmarkStart w:id="665" w:name="Elkera_Print_BK311"/>
      <w:r>
        <w:t>Division 4—Involvement of divers and members of the workforce</w:t>
      </w:r>
      <w:bookmarkEnd w:id="664"/>
      <w:bookmarkEnd w:id="665"/>
    </w:p>
    <w:p w:rsidR="0065609F" w:rsidRDefault="0065609F" w:rsidP="00762261">
      <w:pPr>
        <w:pStyle w:val="clauseheadlevel3"/>
      </w:pPr>
      <w:bookmarkStart w:id="666" w:name="Elkera_Print_TOC313"/>
      <w:bookmarkStart w:id="667" w:name="idc8bb8b67_990f_4bcf_ae15_800e1e06fe65_f"/>
      <w:r>
        <w:t>175—Involvement of divers and members of the workforce in DSMS and diving project plan</w:t>
      </w:r>
      <w:bookmarkEnd w:id="666"/>
      <w:bookmarkEnd w:id="667"/>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In developing or revising a DSMS or diving project plan, a diving contractor must ensure that there is effective consultation with, and participation of, divers and other members of the workforce who will, or may be, working 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project;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in the case of a DSMS—projects for which the DSMS would be appropriate.</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When submitting a DSMS to the Safety Authority for acceptance, the diving contractor must set out in writing, details of the consultation that has taken place, including—</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submissions or comments made during the consultation;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any changes that have been made to the DSMS as a result of the consultation.</w:t>
      </w:r>
    </w:p>
    <w:p w:rsidR="005C329C" w:rsidRDefault="005C329C" w:rsidP="00762261">
      <w:pPr>
        <w:spacing w:after="0" w:line="240" w:lineRule="auto"/>
        <w:jc w:val="left"/>
        <w:rPr>
          <w:rFonts w:eastAsia="Times New Roman"/>
          <w:b/>
          <w:bCs/>
          <w:color w:val="000000"/>
          <w:sz w:val="28"/>
          <w:szCs w:val="28"/>
          <w:lang w:eastAsia="en-AU"/>
        </w:rPr>
      </w:pPr>
      <w:bookmarkStart w:id="668" w:name="Elkera_Print_TOC314"/>
      <w:bookmarkStart w:id="669" w:name="Elkera_Print_BK314"/>
      <w:r>
        <w:br w:type="page"/>
      </w:r>
    </w:p>
    <w:p w:rsidR="005C329C" w:rsidRDefault="005C329C" w:rsidP="00762261">
      <w:pPr>
        <w:pStyle w:val="RegSpace"/>
        <w:jc w:val="left"/>
      </w:pPr>
    </w:p>
    <w:p w:rsidR="0065609F" w:rsidRDefault="0065609F" w:rsidP="00762261">
      <w:pPr>
        <w:pStyle w:val="divisionheadlevel2"/>
      </w:pPr>
      <w:r>
        <w:t>Division 5—Safety responsibilities</w:t>
      </w:r>
      <w:bookmarkEnd w:id="668"/>
      <w:bookmarkEnd w:id="669"/>
    </w:p>
    <w:p w:rsidR="0065609F" w:rsidRDefault="0065609F" w:rsidP="00762261">
      <w:pPr>
        <w:pStyle w:val="clauseheadlevel3"/>
      </w:pPr>
      <w:bookmarkStart w:id="670" w:name="Elkera_Print_TOC315"/>
      <w:bookmarkStart w:id="671" w:name="Elkera_Print_BK315"/>
      <w:r>
        <w:t>176—Safety responsibilities of diving contractors</w:t>
      </w:r>
      <w:bookmarkEnd w:id="670"/>
      <w:bookmarkEnd w:id="671"/>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 diving contractor must take all necessary steps to provide and maintain a working environment (including equipment and systems of work) that reduces risks to the safety and health of divers and other members of the workforce to as low as reasonably practicable.</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$5 500.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 diving contractor must take all necessary steps to ensure that a diving operation for which the diving contractor is responsible is carried out in a way that complies with the accepted DSMS for the project.</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$5 500.</w:t>
      </w:r>
    </w:p>
    <w:p w:rsidR="0065609F" w:rsidRDefault="0065609F" w:rsidP="00762261">
      <w:pPr>
        <w:pStyle w:val="clauseheadlevel3"/>
      </w:pPr>
      <w:bookmarkStart w:id="672" w:name="Elkera_Print_TOC316"/>
      <w:bookmarkStart w:id="673" w:name="Elkera_Print_BK316"/>
      <w:r>
        <w:t>177—Safety in the diving area</w:t>
      </w:r>
      <w:bookmarkEnd w:id="672"/>
      <w:bookmarkEnd w:id="673"/>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At each place of diving, before the diving operation begins, the diving contractor must make available a copy of—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instrument by which the diving supervisor was appointed;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DSMS; and</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diving project plan that relates to the operation.</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$1 100.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 person engaged in a diving operation must comply with—</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an instruction given by a diving supervisor for the diving operation about a matter in the diving project plan; and</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 xml:space="preserve">a direction under </w:t>
      </w:r>
      <w:hyperlink w:anchor="iddbfbf797_e9e0_42c4_8da8_7c3f5890ce01_c" w:history="1">
        <w:r>
          <w:rPr>
            <w:color w:val="000000"/>
            <w:sz w:val="23"/>
            <w:szCs w:val="23"/>
          </w:rPr>
          <w:t>regulation 180(3)</w:t>
        </w:r>
      </w:hyperlink>
      <w:r>
        <w:rPr>
          <w:color w:val="000000"/>
          <w:sz w:val="23"/>
          <w:szCs w:val="23"/>
        </w:rPr>
        <w:t xml:space="preserve"> given to the person by a diving supervisor for the diving operation.</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$1 100.</w:t>
      </w:r>
    </w:p>
    <w:p w:rsidR="0065609F" w:rsidRDefault="0065609F" w:rsidP="00762261">
      <w:pPr>
        <w:pStyle w:val="clauseheadlevel3"/>
      </w:pPr>
      <w:bookmarkStart w:id="674" w:name="Elkera_Print_TOC317"/>
      <w:bookmarkStart w:id="675" w:name="Elkera_Print_BK317"/>
      <w:r>
        <w:t>178—Diving depths</w:t>
      </w:r>
      <w:bookmarkEnd w:id="674"/>
      <w:bookmarkEnd w:id="675"/>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The operator for a surface</w:t>
      </w:r>
      <w:r>
        <w:rPr>
          <w:color w:val="000000"/>
          <w:sz w:val="23"/>
          <w:szCs w:val="23"/>
        </w:rPr>
        <w:noBreakHyphen/>
        <w:t>oriented diving operation, involving the use of air or mixed gas as a breathing medium, must not allow the operation to be carried out at a depth of more than 50 metres.</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$10 000.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diving contractor for a surface</w:t>
      </w:r>
      <w:r>
        <w:rPr>
          <w:color w:val="000000"/>
          <w:sz w:val="23"/>
          <w:szCs w:val="23"/>
        </w:rPr>
        <w:noBreakHyphen/>
        <w:t>oriented diving operation, involving the use of air or mixed gas as a breathing medium, must not allow the operation to be carried out at a depth of more than 50 metres.</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$5 500.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The operator for a diving operation that is carried out at a depth of more than 50 metres must ensure that the diving operation involves the use of—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closed diving bell and a suitable mixed gas breathing medium; or</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 manned submersible craft.</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$10 000.</w:t>
      </w:r>
    </w:p>
    <w:p w:rsidR="005D1C63" w:rsidRDefault="005D1C63" w:rsidP="00762261">
      <w:pPr>
        <w:spacing w:after="0" w:line="240" w:lineRule="auto"/>
        <w:jc w:val="left"/>
        <w:rPr>
          <w:color w:val="000000"/>
          <w:sz w:val="23"/>
          <w:szCs w:val="23"/>
        </w:rPr>
      </w:pPr>
      <w:r>
        <w:rPr>
          <w:color w:val="000000"/>
          <w:sz w:val="23"/>
          <w:szCs w:val="23"/>
        </w:rPr>
        <w:br w:type="page"/>
      </w:r>
    </w:p>
    <w:p w:rsidR="005D1C63" w:rsidRDefault="005D1C63" w:rsidP="00762261">
      <w:pPr>
        <w:pStyle w:val="RegSpace"/>
        <w:jc w:val="left"/>
      </w:pP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The diving contractor for a diving operation that is carried out at a depth of more than 50 metres must ensure that the diving operation involves the use of—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 closed diving bell and a suitable mixed gas breathing medium; or</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 manned submersible craft.</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$5 500.</w:t>
      </w:r>
    </w:p>
    <w:p w:rsidR="0065609F" w:rsidRDefault="0065609F" w:rsidP="00762261">
      <w:pPr>
        <w:pStyle w:val="divisionheadlevel2"/>
      </w:pPr>
      <w:bookmarkStart w:id="676" w:name="Elkera_Print_TOC318"/>
      <w:bookmarkStart w:id="677" w:name="Elkera_Print_BK318"/>
      <w:r>
        <w:t>Division 6—Diving supervisors</w:t>
      </w:r>
      <w:bookmarkEnd w:id="676"/>
      <w:bookmarkEnd w:id="677"/>
    </w:p>
    <w:p w:rsidR="0065609F" w:rsidRDefault="0065609F" w:rsidP="00762261">
      <w:pPr>
        <w:pStyle w:val="clauseheadlevel3"/>
      </w:pPr>
      <w:bookmarkStart w:id="678" w:name="Elkera_Print_TOC319"/>
      <w:bookmarkStart w:id="679" w:name="Elkera_Print_BK319"/>
      <w:r>
        <w:t>179—Appointment of diving supervisors</w:t>
      </w:r>
      <w:bookmarkEnd w:id="678"/>
      <w:bookmarkEnd w:id="679"/>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The diving contractor responsible for a diving operation must appoint, in writing, 1 or more diving supervisors to ensure that there is a diving supervisor to supervise all diving that is carried out as part of the operation.</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$2 200.</w:t>
      </w:r>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123FDA" w:rsidP="00762261">
      <w:pPr>
        <w:keepLines/>
        <w:autoSpaceDE w:val="0"/>
        <w:autoSpaceDN w:val="0"/>
        <w:adjustRightInd w:val="0"/>
        <w:spacing w:before="120" w:after="0" w:line="240" w:lineRule="auto"/>
        <w:ind w:left="1588"/>
        <w:jc w:val="left"/>
        <w:rPr>
          <w:color w:val="000000"/>
          <w:sz w:val="20"/>
          <w:szCs w:val="20"/>
        </w:rPr>
      </w:pPr>
      <w:hyperlink w:anchor="idce67f340_6135_493e_9c63_e169358ae76a_3" w:history="1">
        <w:r w:rsidR="0065609F">
          <w:rPr>
            <w:color w:val="000000"/>
            <w:sz w:val="20"/>
            <w:szCs w:val="20"/>
          </w:rPr>
          <w:t>Regulation 173(3)</w:t>
        </w:r>
      </w:hyperlink>
      <w:r w:rsidR="0065609F">
        <w:rPr>
          <w:color w:val="000000"/>
          <w:sz w:val="20"/>
          <w:szCs w:val="20"/>
        </w:rPr>
        <w:t xml:space="preserve"> limits the scope of a diving operation that can be supervised by 1 diving supervisor.</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680" w:name="id480316ba_9e52_4cda_8d1f_06921a313c54_c"/>
      <w:r>
        <w:rPr>
          <w:color w:val="000000"/>
          <w:sz w:val="23"/>
          <w:szCs w:val="23"/>
        </w:rPr>
        <w:tab/>
        <w:t>(2)</w:t>
      </w:r>
      <w:r>
        <w:rPr>
          <w:color w:val="000000"/>
          <w:sz w:val="23"/>
          <w:szCs w:val="23"/>
        </w:rPr>
        <w:tab/>
        <w:t>A diving contractor must not appoint, as a diving supervisor, a person who is not—</w:t>
      </w:r>
      <w:bookmarkEnd w:id="680"/>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qualified as a supervisor under ADAS; and</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competent to supervise the operation.</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$2 200.</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 xml:space="preserve">Strict liability applies to </w:t>
      </w:r>
      <w:hyperlink w:anchor="id480316ba_9e52_4cda_8d1f_06921a313c54_c" w:history="1">
        <w:r>
          <w:rPr>
            <w:color w:val="000000"/>
            <w:sz w:val="23"/>
            <w:szCs w:val="23"/>
          </w:rPr>
          <w:t>subregulation (2)</w:t>
        </w:r>
      </w:hyperlink>
      <w:r>
        <w:rPr>
          <w:color w:val="000000"/>
          <w:sz w:val="23"/>
          <w:szCs w:val="23"/>
        </w:rPr>
        <w:t>.</w:t>
      </w:r>
    </w:p>
    <w:p w:rsidR="0065609F" w:rsidRDefault="0065609F" w:rsidP="00762261">
      <w:pPr>
        <w:pStyle w:val="clauseheadlevel3"/>
      </w:pPr>
      <w:bookmarkStart w:id="681" w:name="Elkera_Print_TOC321"/>
      <w:bookmarkStart w:id="682" w:name="id2c34e63b_8912_4c97_a7cb_e80c6869a469_6"/>
      <w:r>
        <w:t>180—Duties of diving supervisors</w:t>
      </w:r>
      <w:bookmarkEnd w:id="681"/>
      <w:bookmarkEnd w:id="682"/>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683" w:name="idb2a50fbd_655a_4b11_b139_65e39e10f898_1"/>
      <w:r>
        <w:rPr>
          <w:color w:val="000000"/>
          <w:sz w:val="23"/>
          <w:szCs w:val="23"/>
        </w:rPr>
        <w:tab/>
        <w:t>(1)</w:t>
      </w:r>
      <w:r>
        <w:rPr>
          <w:color w:val="000000"/>
          <w:sz w:val="23"/>
          <w:szCs w:val="23"/>
        </w:rPr>
        <w:tab/>
        <w:t>The duties of a diving supervisor for a diving operation are—</w:t>
      </w:r>
      <w:bookmarkEnd w:id="683"/>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684" w:name="idad46c4ed_a799_4b03_9c72_0abc39293874_3"/>
      <w:r>
        <w:rPr>
          <w:color w:val="000000"/>
          <w:sz w:val="23"/>
          <w:szCs w:val="23"/>
        </w:rPr>
        <w:tab/>
        <w:t>(a)</w:t>
      </w:r>
      <w:r>
        <w:rPr>
          <w:color w:val="000000"/>
          <w:sz w:val="23"/>
          <w:szCs w:val="23"/>
        </w:rPr>
        <w:tab/>
        <w:t>to ensure that the diving operation is carried out—</w:t>
      </w:r>
      <w:bookmarkEnd w:id="684"/>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bookmarkStart w:id="685" w:name="id2e62fbe1_5876_4ac9_9f49_e50750b125d9_3"/>
      <w:r>
        <w:rPr>
          <w:color w:val="000000"/>
          <w:sz w:val="23"/>
          <w:szCs w:val="23"/>
        </w:rPr>
        <w:tab/>
        <w:t>(i)</w:t>
      </w:r>
      <w:r>
        <w:rPr>
          <w:color w:val="000000"/>
          <w:sz w:val="23"/>
          <w:szCs w:val="23"/>
        </w:rPr>
        <w:tab/>
        <w:t>as far as is reasonably practicable without risk to the health or safety of anybody taking part in it or of anyone else who may be affected by it; and</w:t>
      </w:r>
      <w:bookmarkEnd w:id="685"/>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in accordance with the law;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in accordance with the accepted DSMS for the operation;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(iv)</w:t>
      </w:r>
      <w:r>
        <w:rPr>
          <w:color w:val="000000"/>
          <w:sz w:val="23"/>
          <w:szCs w:val="23"/>
        </w:rPr>
        <w:tab/>
        <w:t>in accordance with the relevant diving project plan;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to countersign entries about the operation in divers' log books;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bookmarkStart w:id="686" w:name="idd185ddef_ee2b_4360_9672_8382b3e8d39a_c"/>
      <w:r>
        <w:rPr>
          <w:color w:val="000000"/>
          <w:sz w:val="23"/>
          <w:szCs w:val="23"/>
        </w:rPr>
        <w:tab/>
        <w:t>(c)</w:t>
      </w:r>
      <w:r>
        <w:rPr>
          <w:color w:val="000000"/>
          <w:sz w:val="23"/>
          <w:szCs w:val="23"/>
        </w:rPr>
        <w:tab/>
        <w:t>if there is an operator for the diving project—to report to the operator, during the operation, any of the following:</w:t>
      </w:r>
      <w:bookmarkEnd w:id="686"/>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bookmarkStart w:id="687" w:name="id58903984_4a31_4331_8d74_98d976806a2a_3"/>
      <w:r>
        <w:rPr>
          <w:color w:val="000000"/>
          <w:sz w:val="23"/>
          <w:szCs w:val="23"/>
        </w:rPr>
        <w:tab/>
        <w:t>(i)</w:t>
      </w:r>
      <w:r>
        <w:rPr>
          <w:color w:val="000000"/>
          <w:sz w:val="23"/>
          <w:szCs w:val="23"/>
        </w:rPr>
        <w:tab/>
        <w:t>the death of, or serious personal injury to, a person;</w:t>
      </w:r>
      <w:bookmarkEnd w:id="687"/>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bookmarkStart w:id="688" w:name="id1c81e668_7ec9_46af_b635_f40effeae1e4_3"/>
      <w:r>
        <w:rPr>
          <w:color w:val="000000"/>
          <w:sz w:val="23"/>
          <w:szCs w:val="23"/>
        </w:rPr>
        <w:tab/>
        <w:t>(ii)</w:t>
      </w:r>
      <w:r>
        <w:rPr>
          <w:color w:val="000000"/>
          <w:sz w:val="23"/>
          <w:szCs w:val="23"/>
        </w:rPr>
        <w:tab/>
        <w:t>the incapacitation of a person that prevents the person from performing work for a period of 3 or more days;</w:t>
      </w:r>
      <w:bookmarkEnd w:id="688"/>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 xml:space="preserve">an event that could reasonably have led to a consequence of the type mentioned in </w:t>
      </w:r>
      <w:hyperlink w:anchor="id58903984_4a31_4331_8d74_98d976806a2a_3" w:history="1">
        <w:r>
          <w:rPr>
            <w:color w:val="000000"/>
            <w:sz w:val="23"/>
            <w:szCs w:val="23"/>
          </w:rPr>
          <w:t>subparagraph (i)</w:t>
        </w:r>
      </w:hyperlink>
      <w:r>
        <w:rPr>
          <w:color w:val="000000"/>
          <w:sz w:val="23"/>
          <w:szCs w:val="23"/>
        </w:rPr>
        <w:t xml:space="preserve"> or </w:t>
      </w:r>
      <w:hyperlink w:anchor="id1c81e668_7ec9_46af_b635_f40effeae1e4_3" w:history="1">
        <w:r>
          <w:rPr>
            <w:color w:val="000000"/>
            <w:sz w:val="23"/>
            <w:szCs w:val="23"/>
          </w:rPr>
          <w:t>(ii)</w:t>
        </w:r>
      </w:hyperlink>
      <w:r>
        <w:rPr>
          <w:color w:val="000000"/>
          <w:sz w:val="23"/>
          <w:szCs w:val="23"/>
        </w:rPr>
        <w:t>;</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(iv)</w:t>
      </w:r>
      <w:r>
        <w:rPr>
          <w:color w:val="000000"/>
          <w:sz w:val="23"/>
          <w:szCs w:val="23"/>
        </w:rPr>
        <w:tab/>
        <w:t>a decompression illness;</w:t>
      </w:r>
    </w:p>
    <w:p w:rsidR="004A6431" w:rsidRDefault="004A6431" w:rsidP="00762261">
      <w:pPr>
        <w:spacing w:after="0" w:line="240" w:lineRule="auto"/>
        <w:jc w:val="left"/>
        <w:rPr>
          <w:color w:val="000000"/>
          <w:sz w:val="23"/>
          <w:szCs w:val="23"/>
        </w:rPr>
      </w:pPr>
      <w:r>
        <w:rPr>
          <w:color w:val="000000"/>
          <w:sz w:val="23"/>
          <w:szCs w:val="23"/>
        </w:rPr>
        <w:br w:type="page"/>
      </w:r>
    </w:p>
    <w:p w:rsidR="004A6431" w:rsidRDefault="004A6431" w:rsidP="00762261">
      <w:pPr>
        <w:pStyle w:val="RegSpace"/>
        <w:jc w:val="left"/>
      </w:pP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(v)</w:t>
      </w:r>
      <w:r>
        <w:rPr>
          <w:color w:val="000000"/>
          <w:sz w:val="23"/>
          <w:szCs w:val="23"/>
        </w:rPr>
        <w:tab/>
        <w:t>a pulmonary barotrauma;</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(vi)</w:t>
      </w:r>
      <w:r>
        <w:rPr>
          <w:color w:val="000000"/>
          <w:sz w:val="23"/>
          <w:szCs w:val="23"/>
        </w:rPr>
        <w:tab/>
        <w:t>a case of omitted decompression;</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(vii)</w:t>
      </w:r>
      <w:r>
        <w:rPr>
          <w:color w:val="000000"/>
          <w:sz w:val="23"/>
          <w:szCs w:val="23"/>
        </w:rPr>
        <w:tab/>
        <w:t>an occurrence for which the standby diver is deployed for an emergency, except for the purposes of training, exercises or drills;</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bookmarkStart w:id="689" w:name="id3b973ed9_8464_4f04_9d18_cbf4b672ae1c_0"/>
      <w:r>
        <w:rPr>
          <w:color w:val="000000"/>
          <w:sz w:val="23"/>
          <w:szCs w:val="23"/>
        </w:rPr>
        <w:tab/>
        <w:t>(viii)</w:t>
      </w:r>
      <w:r>
        <w:rPr>
          <w:color w:val="000000"/>
          <w:sz w:val="23"/>
          <w:szCs w:val="23"/>
        </w:rPr>
        <w:tab/>
        <w:t>a failure of life support equipment or man riding equipment.</w:t>
      </w:r>
      <w:bookmarkEnd w:id="689"/>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In </w:t>
      </w:r>
      <w:hyperlink w:anchor="id3b973ed9_8464_4f04_9d18_cbf4b672ae1c_0" w:history="1">
        <w:r>
          <w:rPr>
            <w:color w:val="000000"/>
            <w:sz w:val="23"/>
            <w:szCs w:val="23"/>
          </w:rPr>
          <w:t>subregulation (1)(c)(viii)</w:t>
        </w:r>
      </w:hyperlink>
      <w:r>
        <w:rPr>
          <w:color w:val="000000"/>
          <w:sz w:val="23"/>
          <w:szCs w:val="23"/>
        </w:rPr>
        <w:t xml:space="preserve">, </w:t>
      </w:r>
      <w:r>
        <w:rPr>
          <w:b/>
          <w:bCs/>
          <w:i/>
          <w:iCs/>
          <w:color w:val="000000"/>
          <w:sz w:val="23"/>
          <w:szCs w:val="23"/>
        </w:rPr>
        <w:t>man riding equipment</w:t>
      </w:r>
      <w:r>
        <w:rPr>
          <w:color w:val="000000"/>
          <w:sz w:val="23"/>
          <w:szCs w:val="23"/>
        </w:rPr>
        <w:t xml:space="preserve"> includes any of the following:</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an air stage;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a wet bell;</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a closed bell;</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a guide wire system.</w:t>
      </w:r>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123FDA" w:rsidP="00762261">
      <w:pPr>
        <w:keepLines/>
        <w:autoSpaceDE w:val="0"/>
        <w:autoSpaceDN w:val="0"/>
        <w:adjustRightInd w:val="0"/>
        <w:spacing w:before="120" w:after="0" w:line="240" w:lineRule="auto"/>
        <w:ind w:left="1588"/>
        <w:jc w:val="left"/>
        <w:rPr>
          <w:color w:val="000000"/>
          <w:sz w:val="20"/>
          <w:szCs w:val="20"/>
        </w:rPr>
      </w:pPr>
      <w:hyperlink w:anchor="idb7dbcfc8_8824_43f9_8516_da39e8e88ebe_f" w:history="1">
        <w:r w:rsidR="0065609F">
          <w:rPr>
            <w:color w:val="000000"/>
            <w:sz w:val="20"/>
            <w:szCs w:val="20"/>
          </w:rPr>
          <w:t>Regulation 184</w:t>
        </w:r>
      </w:hyperlink>
      <w:r w:rsidR="0065609F">
        <w:rPr>
          <w:color w:val="000000"/>
          <w:sz w:val="20"/>
          <w:szCs w:val="20"/>
        </w:rPr>
        <w:t xml:space="preserve"> requires a diving supervisor to maintain a diving operations record.</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690" w:name="iddbfbf797_e9e0_42c4_8da8_7c3f5890ce01_c"/>
      <w:r>
        <w:rPr>
          <w:color w:val="000000"/>
          <w:sz w:val="23"/>
          <w:szCs w:val="23"/>
        </w:rPr>
        <w:tab/>
        <w:t>(3)</w:t>
      </w:r>
      <w:r>
        <w:rPr>
          <w:color w:val="000000"/>
          <w:sz w:val="23"/>
          <w:szCs w:val="23"/>
        </w:rPr>
        <w:tab/>
        <w:t xml:space="preserve">A diving supervisor who fails to carry out a duty imposed on them by </w:t>
      </w:r>
      <w:hyperlink w:anchor="idb2a50fbd_655a_4b11_b139_65e39e10f898_1" w:history="1">
        <w:r>
          <w:rPr>
            <w:color w:val="000000"/>
            <w:sz w:val="23"/>
            <w:szCs w:val="23"/>
          </w:rPr>
          <w:t>subregulation (1)</w:t>
        </w:r>
      </w:hyperlink>
      <w:r>
        <w:rPr>
          <w:color w:val="000000"/>
          <w:sz w:val="23"/>
          <w:szCs w:val="23"/>
        </w:rPr>
        <w:t xml:space="preserve"> is guilty of an offence.</w:t>
      </w:r>
      <w:bookmarkEnd w:id="690"/>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$2 200.</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 xml:space="preserve">A diving supervisor, when supervising a diving operation, may give such reasonable directions to any person taking part in the operation as are necessary to enable the diving supervisor to comply with </w:t>
      </w:r>
      <w:hyperlink w:anchor="id2e62fbe1_5876_4ac9_9f49_e50750b125d9_3" w:history="1">
        <w:r>
          <w:rPr>
            <w:color w:val="000000"/>
            <w:sz w:val="23"/>
            <w:szCs w:val="23"/>
          </w:rPr>
          <w:t>subregulation (1)(a)(i)</w:t>
        </w:r>
      </w:hyperlink>
      <w:r>
        <w:rPr>
          <w:color w:val="000000"/>
          <w:sz w:val="23"/>
          <w:szCs w:val="23"/>
        </w:rPr>
        <w: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(5)</w:t>
      </w:r>
      <w:r>
        <w:rPr>
          <w:color w:val="000000"/>
          <w:sz w:val="23"/>
          <w:szCs w:val="23"/>
        </w:rPr>
        <w:tab/>
        <w:t>A diving supervisor must not dive while they are on duty as diving supervisor.</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$2 200.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(6)</w:t>
      </w:r>
      <w:r>
        <w:rPr>
          <w:color w:val="000000"/>
          <w:sz w:val="23"/>
          <w:szCs w:val="23"/>
        </w:rPr>
        <w:tab/>
        <w:t>A diving supervisor for a diving operation must tell each person who takes part in the operation any instruction, in the diving project plan for the operation, that applies to the person.</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$2 200.</w:t>
      </w:r>
    </w:p>
    <w:p w:rsidR="0065609F" w:rsidRDefault="0065609F" w:rsidP="00762261">
      <w:pPr>
        <w:pStyle w:val="divisionheadlevel2"/>
      </w:pPr>
      <w:bookmarkStart w:id="691" w:name="Elkera_Print_TOC322"/>
      <w:bookmarkStart w:id="692" w:name="Elkera_Print_BK322"/>
      <w:r>
        <w:t>Division 7—Start</w:t>
      </w:r>
      <w:r>
        <w:noBreakHyphen/>
        <w:t>up notices</w:t>
      </w:r>
      <w:bookmarkEnd w:id="691"/>
      <w:bookmarkEnd w:id="692"/>
    </w:p>
    <w:p w:rsidR="0065609F" w:rsidRDefault="0065609F" w:rsidP="00762261">
      <w:pPr>
        <w:pStyle w:val="clauseheadlevel3"/>
      </w:pPr>
      <w:bookmarkStart w:id="693" w:name="Elkera_Print_TOC323"/>
      <w:bookmarkStart w:id="694" w:name="Elkera_Print_BK323"/>
      <w:r>
        <w:t>181—Start</w:t>
      </w:r>
      <w:r>
        <w:noBreakHyphen/>
        <w:t>up notice</w:t>
      </w:r>
      <w:bookmarkEnd w:id="693"/>
      <w:bookmarkEnd w:id="694"/>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In this regulation—</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start</w:t>
      </w:r>
      <w:r>
        <w:rPr>
          <w:b/>
          <w:bCs/>
          <w:i/>
          <w:iCs/>
          <w:color w:val="000000"/>
          <w:sz w:val="23"/>
          <w:szCs w:val="23"/>
        </w:rPr>
        <w:noBreakHyphen/>
        <w:t>up notice</w:t>
      </w:r>
      <w:r>
        <w:rPr>
          <w:color w:val="000000"/>
          <w:sz w:val="23"/>
          <w:szCs w:val="23"/>
        </w:rPr>
        <w:t>, for a diving project, means a written notice, signed by or for the person giving it, dated and containing the following information: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name, address and telephone number of the diving contractor for the project;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name, address and telephone number of a person who can be contacted by the Safety Authority at any time during the project;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date when diving is expected to begin;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 expected duration of the project;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the location of the project;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(f)</w:t>
      </w:r>
      <w:r>
        <w:rPr>
          <w:color w:val="000000"/>
          <w:sz w:val="23"/>
          <w:szCs w:val="23"/>
        </w:rPr>
        <w:tab/>
        <w:t>the depth to which divers will dive;</w:t>
      </w:r>
    </w:p>
    <w:p w:rsidR="0002065D" w:rsidRDefault="0002065D" w:rsidP="00762261">
      <w:pPr>
        <w:spacing w:after="0" w:line="240" w:lineRule="auto"/>
        <w:jc w:val="left"/>
        <w:rPr>
          <w:color w:val="000000"/>
          <w:sz w:val="23"/>
          <w:szCs w:val="23"/>
        </w:rPr>
      </w:pPr>
      <w:r>
        <w:rPr>
          <w:color w:val="000000"/>
          <w:sz w:val="23"/>
          <w:szCs w:val="23"/>
        </w:rPr>
        <w:br w:type="page"/>
      </w:r>
    </w:p>
    <w:p w:rsidR="0002065D" w:rsidRDefault="0002065D" w:rsidP="00762261">
      <w:pPr>
        <w:pStyle w:val="RegSpace"/>
        <w:jc w:val="left"/>
      </w:pP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(g)</w:t>
      </w:r>
      <w:r>
        <w:rPr>
          <w:color w:val="000000"/>
          <w:sz w:val="23"/>
          <w:szCs w:val="23"/>
        </w:rPr>
        <w:tab/>
        <w:t>the purpose of the diving project;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(h)</w:t>
      </w:r>
      <w:r>
        <w:rPr>
          <w:color w:val="000000"/>
          <w:sz w:val="23"/>
          <w:szCs w:val="23"/>
        </w:rPr>
        <w:tab/>
        <w:t>the estimated number of people to be engaged in the project;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(i)</w:t>
      </w:r>
      <w:r>
        <w:rPr>
          <w:color w:val="000000"/>
          <w:sz w:val="23"/>
          <w:szCs w:val="23"/>
        </w:rPr>
        <w:tab/>
        <w:t>the breathing mixture to be used;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(j)</w:t>
      </w:r>
      <w:r>
        <w:rPr>
          <w:color w:val="000000"/>
          <w:sz w:val="23"/>
          <w:szCs w:val="23"/>
        </w:rPr>
        <w:tab/>
        <w:t>the title, document number and revision number of the diving project plan for the project.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The operator for a diving project must not allow diving on the project to begin if the operator has not given a start</w:t>
      </w:r>
      <w:r>
        <w:rPr>
          <w:color w:val="000000"/>
          <w:sz w:val="23"/>
          <w:szCs w:val="23"/>
        </w:rPr>
        <w:noBreakHyphen/>
        <w:t>up notice to the Safety Authority—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at least 14 days before the day when diving is to begin; or</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on another day as agreed between the Safety Authority and the operator.</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$10 000.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If there is no operator for a diving project, the diving contractor must not allow diving on the project to begin if the diving contractor has not given a start</w:t>
      </w:r>
      <w:r>
        <w:rPr>
          <w:color w:val="000000"/>
          <w:sz w:val="23"/>
          <w:szCs w:val="23"/>
        </w:rPr>
        <w:noBreakHyphen/>
        <w:t>up notice to the Safety Authority—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at least 14 days before the day when diving is to begin; or</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on another day as agreed between the Safety Authority and the diving contractor.</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$5 500.</w:t>
      </w:r>
    </w:p>
    <w:p w:rsidR="0065609F" w:rsidRDefault="0065609F" w:rsidP="00762261">
      <w:pPr>
        <w:pStyle w:val="divisionheadlevel2"/>
      </w:pPr>
      <w:bookmarkStart w:id="695" w:name="Elkera_Print_TOC324"/>
      <w:bookmarkStart w:id="696" w:name="Elkera_Print_BK324"/>
      <w:r>
        <w:t>Division 8—Diving operations</w:t>
      </w:r>
      <w:bookmarkEnd w:id="695"/>
      <w:bookmarkEnd w:id="696"/>
    </w:p>
    <w:p w:rsidR="0065609F" w:rsidRDefault="0065609F" w:rsidP="00762261">
      <w:pPr>
        <w:pStyle w:val="clauseheadlevel3"/>
      </w:pPr>
      <w:bookmarkStart w:id="697" w:name="Elkera_Print_TOC325"/>
      <w:bookmarkStart w:id="698" w:name="Elkera_Print_BK325"/>
      <w:r>
        <w:t>182—Divers in diving operations</w:t>
      </w:r>
      <w:bookmarkEnd w:id="697"/>
      <w:bookmarkEnd w:id="698"/>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 diving contractor for a diving operation must not allow a person to dive in the diving operation if the person is not competent to carry out safely any activity that is reasonably likely to be necessary while the person is taking part in the operation.</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$5 500.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A diving supervisor for a diving operation must not allow a person to dive in the diving operation if the person is not competent to carry out safely any activity that is reasonably likely to be necessary while the person is taking part in the operation.</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$2 200.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699" w:name="id91ddb5cd_a48f_4abe_bc6a_6a564c884067_c"/>
      <w:r>
        <w:rPr>
          <w:color w:val="000000"/>
          <w:sz w:val="23"/>
          <w:szCs w:val="23"/>
        </w:rPr>
        <w:tab/>
        <w:t>(3)</w:t>
      </w:r>
      <w:r>
        <w:rPr>
          <w:color w:val="000000"/>
          <w:sz w:val="23"/>
          <w:szCs w:val="23"/>
        </w:rPr>
        <w:tab/>
        <w:t>A diving contractor for a diving operation must not allow a person to dive in the diving operation if the person does not have a current diving qualification under ADAS to carry out any activity that is reasonably likely to be necessary while the person is taking part in the operation.</w:t>
      </w:r>
      <w:bookmarkEnd w:id="699"/>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$5 500.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700" w:name="iddf90347f_b684_46b7_b2e5_e99c14e52a8d_2"/>
      <w:r>
        <w:rPr>
          <w:color w:val="000000"/>
          <w:sz w:val="23"/>
          <w:szCs w:val="23"/>
        </w:rPr>
        <w:tab/>
        <w:t>(4)</w:t>
      </w:r>
      <w:r>
        <w:rPr>
          <w:color w:val="000000"/>
          <w:sz w:val="23"/>
          <w:szCs w:val="23"/>
        </w:rPr>
        <w:tab/>
        <w:t>A diving supervisor for a diving operation must not allow a person to dive in the diving operation if the person does not have a current diving qualification under ADAS to carry out any activity that is reasonably likely to be necessary while the person is taking part in the operation.</w:t>
      </w:r>
      <w:bookmarkEnd w:id="700"/>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$2 200.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701" w:name="id0b68f373_a5c0_42e1_921c_7abcc8e6a01b_1"/>
      <w:r>
        <w:rPr>
          <w:color w:val="000000"/>
          <w:sz w:val="23"/>
          <w:szCs w:val="23"/>
        </w:rPr>
        <w:tab/>
        <w:t>(5)</w:t>
      </w:r>
      <w:r>
        <w:rPr>
          <w:color w:val="000000"/>
          <w:sz w:val="23"/>
          <w:szCs w:val="23"/>
        </w:rPr>
        <w:tab/>
        <w:t>A diving contractor for a diving operation must not allow a person to dive in the diving operation if the person does not have a valid medical certificate.</w:t>
      </w:r>
      <w:bookmarkEnd w:id="701"/>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$5 500.</w:t>
      </w:r>
    </w:p>
    <w:p w:rsidR="00D01563" w:rsidRDefault="00D01563" w:rsidP="00762261">
      <w:pPr>
        <w:spacing w:after="0" w:line="240" w:lineRule="auto"/>
        <w:jc w:val="left"/>
        <w:rPr>
          <w:b/>
          <w:bCs/>
          <w:color w:val="000000"/>
          <w:sz w:val="20"/>
          <w:szCs w:val="20"/>
        </w:rPr>
      </w:pPr>
      <w:r>
        <w:rPr>
          <w:b/>
          <w:bCs/>
          <w:color w:val="000000"/>
          <w:sz w:val="20"/>
          <w:szCs w:val="20"/>
        </w:rPr>
        <w:br w:type="page"/>
      </w:r>
    </w:p>
    <w:p w:rsidR="00D01563" w:rsidRDefault="00D01563" w:rsidP="00762261">
      <w:pPr>
        <w:pStyle w:val="RegSpace"/>
        <w:jc w:val="left"/>
      </w:pPr>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1588"/>
        <w:jc w:val="left"/>
        <w:rPr>
          <w:color w:val="000000"/>
          <w:sz w:val="20"/>
          <w:szCs w:val="20"/>
        </w:rPr>
      </w:pPr>
      <w:r>
        <w:rPr>
          <w:color w:val="000000"/>
          <w:sz w:val="20"/>
          <w:szCs w:val="20"/>
        </w:rPr>
        <w:t xml:space="preserve">For the meaning of </w:t>
      </w:r>
      <w:r>
        <w:rPr>
          <w:b/>
          <w:bCs/>
          <w:i/>
          <w:iCs/>
          <w:color w:val="000000"/>
          <w:sz w:val="20"/>
          <w:szCs w:val="20"/>
        </w:rPr>
        <w:t>valid medical certificate</w:t>
      </w:r>
      <w:r>
        <w:rPr>
          <w:color w:val="000000"/>
          <w:sz w:val="20"/>
          <w:szCs w:val="20"/>
        </w:rPr>
        <w:t xml:space="preserve">—see </w:t>
      </w:r>
      <w:hyperlink w:anchor="ideca4144d_76a5_4890_8148_7f4cbfc95298_1" w:history="1">
        <w:r>
          <w:rPr>
            <w:color w:val="000000"/>
            <w:sz w:val="20"/>
            <w:szCs w:val="20"/>
          </w:rPr>
          <w:t>regulation 183</w:t>
        </w:r>
      </w:hyperlink>
      <w:r>
        <w:rPr>
          <w:color w:val="000000"/>
          <w:sz w:val="20"/>
          <w:szCs w:val="20"/>
        </w:rPr>
        <w: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702" w:name="idb2d7a3d6_360e_4244_a021_92f790d43948_6"/>
      <w:r>
        <w:rPr>
          <w:color w:val="000000"/>
          <w:sz w:val="23"/>
          <w:szCs w:val="23"/>
        </w:rPr>
        <w:tab/>
        <w:t>(6)</w:t>
      </w:r>
      <w:r>
        <w:rPr>
          <w:color w:val="000000"/>
          <w:sz w:val="23"/>
          <w:szCs w:val="23"/>
        </w:rPr>
        <w:tab/>
        <w:t>A diving supervisor for a diving operation must not allow a person to dive in the diving operation if the person does not have a valid medical certificate.</w:t>
      </w:r>
      <w:bookmarkEnd w:id="702"/>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$2 200.</w:t>
      </w:r>
    </w:p>
    <w:p w:rsidR="0065609F" w:rsidRDefault="0065609F" w:rsidP="00762261">
      <w:pPr>
        <w:keepNext/>
        <w:keepLines/>
        <w:autoSpaceDE w:val="0"/>
        <w:autoSpaceDN w:val="0"/>
        <w:adjustRightInd w:val="0"/>
        <w:spacing w:before="120" w:after="0" w:line="240" w:lineRule="auto"/>
        <w:ind w:left="1588" w:hanging="794"/>
        <w:jc w:val="left"/>
        <w:rPr>
          <w:b/>
          <w:bCs/>
          <w:color w:val="000000"/>
          <w:sz w:val="20"/>
          <w:szCs w:val="20"/>
        </w:rPr>
      </w:pPr>
      <w:r>
        <w:rPr>
          <w:b/>
          <w:bCs/>
          <w:color w:val="000000"/>
          <w:sz w:val="20"/>
          <w:szCs w:val="20"/>
        </w:rPr>
        <w:t>Note—</w:t>
      </w:r>
    </w:p>
    <w:p w:rsidR="0065609F" w:rsidRDefault="0065609F" w:rsidP="00762261">
      <w:pPr>
        <w:keepLines/>
        <w:autoSpaceDE w:val="0"/>
        <w:autoSpaceDN w:val="0"/>
        <w:adjustRightInd w:val="0"/>
        <w:spacing w:before="120" w:after="0" w:line="240" w:lineRule="auto"/>
        <w:ind w:left="1588"/>
        <w:jc w:val="left"/>
        <w:rPr>
          <w:color w:val="000000"/>
          <w:sz w:val="20"/>
          <w:szCs w:val="20"/>
        </w:rPr>
      </w:pPr>
      <w:r>
        <w:rPr>
          <w:color w:val="000000"/>
          <w:sz w:val="20"/>
          <w:szCs w:val="20"/>
        </w:rPr>
        <w:t xml:space="preserve">For the meaning of </w:t>
      </w:r>
      <w:r>
        <w:rPr>
          <w:b/>
          <w:bCs/>
          <w:i/>
          <w:iCs/>
          <w:color w:val="000000"/>
          <w:sz w:val="20"/>
          <w:szCs w:val="20"/>
        </w:rPr>
        <w:t>valid medical certificate</w:t>
      </w:r>
      <w:r>
        <w:rPr>
          <w:color w:val="000000"/>
          <w:sz w:val="20"/>
          <w:szCs w:val="20"/>
        </w:rPr>
        <w:t xml:space="preserve">—see </w:t>
      </w:r>
      <w:hyperlink w:anchor="ideca4144d_76a5_4890_8148_7f4cbfc95298_1" w:history="1">
        <w:r>
          <w:rPr>
            <w:color w:val="000000"/>
            <w:sz w:val="20"/>
            <w:szCs w:val="20"/>
          </w:rPr>
          <w:t>regulation 183</w:t>
        </w:r>
      </w:hyperlink>
      <w:r>
        <w:rPr>
          <w:color w:val="000000"/>
          <w:sz w:val="20"/>
          <w:szCs w:val="20"/>
        </w:rPr>
        <w:t>.</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(7)</w:t>
      </w:r>
      <w:r>
        <w:rPr>
          <w:color w:val="000000"/>
          <w:sz w:val="23"/>
          <w:szCs w:val="23"/>
        </w:rPr>
        <w:tab/>
      </w:r>
      <w:hyperlink w:anchor="id91ddb5cd_a48f_4abe_bc6a_6a564c884067_c" w:history="1">
        <w:r>
          <w:rPr>
            <w:color w:val="000000"/>
            <w:sz w:val="23"/>
            <w:szCs w:val="23"/>
          </w:rPr>
          <w:t>Subregulations (3)</w:t>
        </w:r>
      </w:hyperlink>
      <w:r>
        <w:rPr>
          <w:color w:val="000000"/>
          <w:sz w:val="23"/>
          <w:szCs w:val="23"/>
        </w:rPr>
        <w:t xml:space="preserve">, </w:t>
      </w:r>
      <w:hyperlink w:anchor="iddf90347f_b684_46b7_b2e5_e99c14e52a8d_2" w:history="1">
        <w:r>
          <w:rPr>
            <w:color w:val="000000"/>
            <w:sz w:val="23"/>
            <w:szCs w:val="23"/>
          </w:rPr>
          <w:t>(4)</w:t>
        </w:r>
      </w:hyperlink>
      <w:r>
        <w:rPr>
          <w:color w:val="000000"/>
          <w:sz w:val="23"/>
          <w:szCs w:val="23"/>
        </w:rPr>
        <w:t xml:space="preserve">, </w:t>
      </w:r>
      <w:hyperlink w:anchor="id0b68f373_a5c0_42e1_921c_7abcc8e6a01b_1" w:history="1">
        <w:r>
          <w:rPr>
            <w:color w:val="000000"/>
            <w:sz w:val="23"/>
            <w:szCs w:val="23"/>
          </w:rPr>
          <w:t>(5)</w:t>
        </w:r>
      </w:hyperlink>
      <w:r>
        <w:rPr>
          <w:color w:val="000000"/>
          <w:sz w:val="23"/>
          <w:szCs w:val="23"/>
        </w:rPr>
        <w:t xml:space="preserve"> and </w:t>
      </w:r>
      <w:hyperlink w:anchor="idb2d7a3d6_360e_4244_a021_92f790d43948_6" w:history="1">
        <w:r>
          <w:rPr>
            <w:color w:val="000000"/>
            <w:sz w:val="23"/>
            <w:szCs w:val="23"/>
          </w:rPr>
          <w:t>(6)</w:t>
        </w:r>
      </w:hyperlink>
      <w:r>
        <w:rPr>
          <w:color w:val="000000"/>
          <w:sz w:val="23"/>
          <w:szCs w:val="23"/>
        </w:rPr>
        <w:t xml:space="preserve"> do not apply if the person—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is diving in a manned submersible craft;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is diving to provide emergency medical care to an injured person in a chamber.</w:t>
      </w:r>
    </w:p>
    <w:p w:rsidR="0065609F" w:rsidRDefault="0065609F" w:rsidP="00762261">
      <w:pPr>
        <w:pStyle w:val="clauseheadlevel3"/>
      </w:pPr>
      <w:bookmarkStart w:id="703" w:name="Elkera_Print_TOC327"/>
      <w:bookmarkStart w:id="704" w:name="ideca4144d_76a5_4890_8148_7f4cbfc95298_1"/>
      <w:r>
        <w:t>183—Medical certificates</w:t>
      </w:r>
      <w:bookmarkEnd w:id="703"/>
      <w:bookmarkEnd w:id="704"/>
    </w:p>
    <w:p w:rsidR="0065609F" w:rsidRDefault="0065609F" w:rsidP="00762261">
      <w:pPr>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A diver's medical certificate is valid if it satisfies regulation 4.26 (2) or (3) of the </w:t>
      </w:r>
      <w:r>
        <w:rPr>
          <w:i/>
          <w:iCs/>
          <w:color w:val="000000"/>
          <w:sz w:val="23"/>
          <w:szCs w:val="23"/>
        </w:rPr>
        <w:t>Offshore Petroleum and Greenhouse Gas Storage (Safety) Regulations 2009</w:t>
      </w:r>
      <w:r>
        <w:rPr>
          <w:color w:val="000000"/>
          <w:sz w:val="23"/>
          <w:szCs w:val="23"/>
        </w:rPr>
        <w:t xml:space="preserve"> of the Commonwealth.</w:t>
      </w:r>
    </w:p>
    <w:p w:rsidR="0065609F" w:rsidRDefault="0065609F" w:rsidP="00762261">
      <w:pPr>
        <w:pStyle w:val="divisionheadlevel2"/>
      </w:pPr>
      <w:bookmarkStart w:id="705" w:name="Elkera_Print_TOC328"/>
      <w:bookmarkStart w:id="706" w:name="Elkera_Print_BK328"/>
      <w:r>
        <w:t>Division 9—Records</w:t>
      </w:r>
      <w:bookmarkEnd w:id="705"/>
      <w:bookmarkEnd w:id="706"/>
    </w:p>
    <w:p w:rsidR="0065609F" w:rsidRDefault="0065609F" w:rsidP="00762261">
      <w:pPr>
        <w:pStyle w:val="clauseheadlevel3"/>
      </w:pPr>
      <w:bookmarkStart w:id="707" w:name="Elkera_Print_TOC330"/>
      <w:bookmarkStart w:id="708" w:name="idb7dbcfc8_8824_43f9_8516_da39e8e88ebe_f"/>
      <w:r>
        <w:t>184—Diving operations record</w:t>
      </w:r>
      <w:bookmarkEnd w:id="707"/>
      <w:bookmarkEnd w:id="708"/>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A diving supervisor for a diving operation must ensure that a diving operations record for the operation is maintained in the form required by </w:t>
      </w:r>
      <w:hyperlink w:anchor="id5e13324e_812a_4c10_b65a_a5925c33cd37_e" w:history="1">
        <w:r>
          <w:rPr>
            <w:color w:val="000000"/>
            <w:sz w:val="23"/>
            <w:szCs w:val="23"/>
          </w:rPr>
          <w:t>subregulations (2)</w:t>
        </w:r>
      </w:hyperlink>
      <w:r>
        <w:rPr>
          <w:color w:val="000000"/>
          <w:sz w:val="23"/>
          <w:szCs w:val="23"/>
        </w:rPr>
        <w:t xml:space="preserve"> and </w:t>
      </w:r>
      <w:hyperlink w:anchor="id57b278a5_6fc3_40aa_b126_39a5cde02b60_8" w:history="1">
        <w:r>
          <w:rPr>
            <w:color w:val="000000"/>
            <w:sz w:val="23"/>
            <w:szCs w:val="23"/>
          </w:rPr>
          <w:t>(3)</w:t>
        </w:r>
      </w:hyperlink>
      <w:r>
        <w:rPr>
          <w:color w:val="000000"/>
          <w:sz w:val="23"/>
          <w:szCs w:val="23"/>
        </w:rPr>
        <w:t>.</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$5 500.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709" w:name="id5e13324e_812a_4c10_b65a_a5925c33cd37_e"/>
      <w:r>
        <w:rPr>
          <w:color w:val="000000"/>
          <w:sz w:val="23"/>
          <w:szCs w:val="23"/>
        </w:rPr>
        <w:tab/>
        <w:t>(2)</w:t>
      </w:r>
      <w:r>
        <w:rPr>
          <w:color w:val="000000"/>
          <w:sz w:val="23"/>
          <w:szCs w:val="23"/>
        </w:rPr>
        <w:tab/>
        <w:t>A diving operations record—</w:t>
      </w:r>
      <w:bookmarkEnd w:id="709"/>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must be kept in a hard</w:t>
      </w:r>
      <w:r>
        <w:rPr>
          <w:color w:val="000000"/>
          <w:sz w:val="23"/>
          <w:szCs w:val="23"/>
        </w:rPr>
        <w:noBreakHyphen/>
        <w:t>covered form bound in such a way that its pages cannot easily be removed;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if it is in a form that has multiple copies of each page, must be bound so that at least 1 copy of each page cannot easily be removed.</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710" w:name="id57b278a5_6fc3_40aa_b126_39a5cde02b60_8"/>
      <w:r>
        <w:rPr>
          <w:color w:val="000000"/>
          <w:sz w:val="23"/>
          <w:szCs w:val="23"/>
        </w:rPr>
        <w:tab/>
        <w:t>(3)</w:t>
      </w:r>
      <w:r>
        <w:rPr>
          <w:color w:val="000000"/>
          <w:sz w:val="23"/>
          <w:szCs w:val="23"/>
        </w:rPr>
        <w:tab/>
        <w:t>The pages of a diving operations record must be serially numbered.</w:t>
      </w:r>
      <w:bookmarkEnd w:id="710"/>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The diving supervisor for a diving operation must ensure that an entry is made in the diving operations record for each day when diving for the operation takes place, with the following information about the diving operation on that day:</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date to which the entry relates;</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diving contractor's name and address;</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name of the diving supervisor, or the names of the diving supervisors, who supervised the operation;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 location of the diving operation (including, if the diving was done from a vessel or installation, its name);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the name of each person who took part in the operation (whether as a diver or as a member of a dive team);</w:t>
      </w:r>
    </w:p>
    <w:p w:rsidR="00182DB1" w:rsidRDefault="00182DB1" w:rsidP="00762261">
      <w:pPr>
        <w:spacing w:after="0" w:line="240" w:lineRule="auto"/>
        <w:jc w:val="left"/>
        <w:rPr>
          <w:color w:val="000000"/>
          <w:sz w:val="23"/>
          <w:szCs w:val="23"/>
        </w:rPr>
      </w:pPr>
      <w:r>
        <w:rPr>
          <w:color w:val="000000"/>
          <w:sz w:val="23"/>
          <w:szCs w:val="23"/>
        </w:rPr>
        <w:br w:type="page"/>
      </w:r>
    </w:p>
    <w:p w:rsidR="00182DB1" w:rsidRDefault="00182DB1" w:rsidP="00762261">
      <w:pPr>
        <w:pStyle w:val="RegSpace"/>
        <w:jc w:val="left"/>
      </w:pP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(f)</w:t>
      </w:r>
      <w:r>
        <w:rPr>
          <w:color w:val="000000"/>
          <w:sz w:val="23"/>
          <w:szCs w:val="23"/>
        </w:rPr>
        <w:tab/>
        <w:t>the name of each person who took part as a diver or stand by diver in the operation;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(g)</w:t>
      </w:r>
      <w:r>
        <w:rPr>
          <w:color w:val="000000"/>
          <w:sz w:val="23"/>
          <w:szCs w:val="23"/>
        </w:rPr>
        <w:tab/>
        <w:t>the purpose of the diving operation;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(h)</w:t>
      </w:r>
      <w:r>
        <w:rPr>
          <w:color w:val="000000"/>
          <w:sz w:val="23"/>
          <w:szCs w:val="23"/>
        </w:rPr>
        <w:tab/>
        <w:t>for each diver—the breathing apparatus and breathing mixture used;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(i)</w:t>
      </w:r>
      <w:r>
        <w:rPr>
          <w:color w:val="000000"/>
          <w:sz w:val="23"/>
          <w:szCs w:val="23"/>
        </w:rPr>
        <w:tab/>
        <w:t>for each diver—the times at which the diver left the surface, reached the bottom, left the bottom and arrived at the surface again, and bottom time;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(j)</w:t>
      </w:r>
      <w:r>
        <w:rPr>
          <w:color w:val="000000"/>
          <w:sz w:val="23"/>
          <w:szCs w:val="23"/>
        </w:rPr>
        <w:tab/>
        <w:t>for each diver—the maximum depth reached;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(k)</w:t>
      </w:r>
      <w:r>
        <w:rPr>
          <w:color w:val="000000"/>
          <w:sz w:val="23"/>
          <w:szCs w:val="23"/>
        </w:rPr>
        <w:tab/>
        <w:t>the decompression schedule followed including, for each diver, details of the depths and the duration at each depth during decompression;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(l)</w:t>
      </w:r>
      <w:r>
        <w:rPr>
          <w:color w:val="000000"/>
          <w:sz w:val="23"/>
          <w:szCs w:val="23"/>
        </w:rPr>
        <w:tab/>
        <w:t>details of any emergency or incident of special note that happened during the operation;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(m)</w:t>
      </w:r>
      <w:r>
        <w:rPr>
          <w:color w:val="000000"/>
          <w:sz w:val="23"/>
          <w:szCs w:val="23"/>
        </w:rPr>
        <w:tab/>
        <w:t>details of any decompression illness and any treatment given;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(n)</w:t>
      </w:r>
      <w:r>
        <w:rPr>
          <w:color w:val="000000"/>
          <w:sz w:val="23"/>
          <w:szCs w:val="23"/>
        </w:rPr>
        <w:tab/>
        <w:t>details of any significant defect or significant failure of diving plant or equipment used in the operation;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(o)</w:t>
      </w:r>
      <w:r>
        <w:rPr>
          <w:color w:val="000000"/>
          <w:sz w:val="23"/>
          <w:szCs w:val="23"/>
        </w:rPr>
        <w:tab/>
        <w:t>details of any environmental factors relevant to the operation;</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(p)</w:t>
      </w:r>
      <w:r>
        <w:rPr>
          <w:color w:val="000000"/>
          <w:sz w:val="23"/>
          <w:szCs w:val="23"/>
        </w:rPr>
        <w:tab/>
        <w:t>anything else that is likely to affect the health or safety of anybody who took part in the operation.</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$1 100.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(5)</w:t>
      </w:r>
      <w:r>
        <w:rPr>
          <w:color w:val="000000"/>
          <w:sz w:val="23"/>
          <w:szCs w:val="23"/>
        </w:rPr>
        <w:tab/>
        <w:t>A diving supervisor responsible for a diving operation must sign—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either—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if the record is in a form that has multiple copies of each page—the original of each page of each entry;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in any other case—each page of each entry;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if there are 2 or more diving supervisors for the operation—those parts of the entry that relate to diving work that they supervised,</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color w:val="000000"/>
          <w:sz w:val="23"/>
          <w:szCs w:val="23"/>
        </w:rPr>
        <w:t>in the diving operations record for the operation and must print their name below the signature.</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$1 100.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(6)</w:t>
      </w:r>
      <w:r>
        <w:rPr>
          <w:color w:val="000000"/>
          <w:sz w:val="23"/>
          <w:szCs w:val="23"/>
        </w:rPr>
        <w:tab/>
        <w:t>A diving contractor must keep a diving operations record for at least 7 years after the last entry in it.</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$550.</w:t>
      </w:r>
    </w:p>
    <w:p w:rsidR="0065609F" w:rsidRDefault="0065609F" w:rsidP="00762261">
      <w:pPr>
        <w:pStyle w:val="clauseheadlevel3"/>
      </w:pPr>
      <w:bookmarkStart w:id="711" w:name="Elkera_Print_TOC331"/>
      <w:bookmarkStart w:id="712" w:name="Elkera_Print_BK331"/>
      <w:r>
        <w:t>185—Divers' log books</w:t>
      </w:r>
      <w:bookmarkEnd w:id="711"/>
      <w:bookmarkEnd w:id="712"/>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A diver must—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 xml:space="preserve">have a log book in the form required by </w:t>
      </w:r>
      <w:hyperlink w:anchor="id5387c128_d007_4865_95a3_d4023e0a3e25_f" w:history="1">
        <w:r>
          <w:rPr>
            <w:color w:val="000000"/>
            <w:sz w:val="23"/>
            <w:szCs w:val="23"/>
          </w:rPr>
          <w:t>subregulation (2)</w:t>
        </w:r>
      </w:hyperlink>
      <w:r>
        <w:rPr>
          <w:color w:val="000000"/>
          <w:sz w:val="23"/>
          <w:szCs w:val="23"/>
        </w:rPr>
        <w:t>;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for each time they dive—</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 xml:space="preserve">make an entry in the log book, in ink, as required by </w:t>
      </w:r>
      <w:hyperlink w:anchor="id76ecf79c_efc8_42d3_ad99_f725294ba6e3_8" w:history="1">
        <w:r>
          <w:rPr>
            <w:color w:val="000000"/>
            <w:sz w:val="23"/>
            <w:szCs w:val="23"/>
          </w:rPr>
          <w:t>subregulation (3)</w:t>
        </w:r>
      </w:hyperlink>
      <w:r>
        <w:rPr>
          <w:color w:val="000000"/>
          <w:sz w:val="23"/>
          <w:szCs w:val="23"/>
        </w:rPr>
        <w:t>; and</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sign the entry; and</w:t>
      </w:r>
    </w:p>
    <w:p w:rsidR="0029195A" w:rsidRDefault="0029195A" w:rsidP="00762261">
      <w:pPr>
        <w:spacing w:after="0" w:line="240" w:lineRule="auto"/>
        <w:jc w:val="left"/>
        <w:rPr>
          <w:color w:val="000000"/>
          <w:sz w:val="23"/>
          <w:szCs w:val="23"/>
        </w:rPr>
      </w:pPr>
      <w:r>
        <w:rPr>
          <w:color w:val="000000"/>
          <w:sz w:val="23"/>
          <w:szCs w:val="23"/>
        </w:rPr>
        <w:br w:type="page"/>
      </w:r>
    </w:p>
    <w:p w:rsidR="0029195A" w:rsidRDefault="0029195A" w:rsidP="00762261">
      <w:pPr>
        <w:pStyle w:val="RegSpace"/>
        <w:jc w:val="left"/>
      </w:pP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have the diving supervisor for the operation countersign the entry; and</w:t>
      </w:r>
    </w:p>
    <w:p w:rsidR="0065609F" w:rsidRDefault="0065609F" w:rsidP="00762261">
      <w:pPr>
        <w:keepNext/>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keep the log book for at least 7 years after the date of the last entry in it.</w:t>
      </w:r>
    </w:p>
    <w:p w:rsidR="0065609F" w:rsidRDefault="0065609F" w:rsidP="00762261">
      <w:pPr>
        <w:keepLines/>
        <w:autoSpaceDE w:val="0"/>
        <w:autoSpaceDN w:val="0"/>
        <w:adjustRightInd w:val="0"/>
        <w:spacing w:before="80" w:after="0" w:line="240" w:lineRule="auto"/>
        <w:ind w:left="794"/>
        <w:jc w:val="left"/>
        <w:rPr>
          <w:color w:val="000000"/>
          <w:sz w:val="23"/>
          <w:szCs w:val="23"/>
        </w:rPr>
      </w:pPr>
      <w:r>
        <w:rPr>
          <w:color w:val="000000"/>
          <w:sz w:val="23"/>
          <w:szCs w:val="23"/>
        </w:rPr>
        <w:t>Maximum penalty: $550.</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713" w:name="id5387c128_d007_4865_95a3_d4023e0a3e25_f"/>
      <w:r>
        <w:rPr>
          <w:color w:val="000000"/>
          <w:sz w:val="23"/>
          <w:szCs w:val="23"/>
        </w:rPr>
        <w:tab/>
        <w:t>(2)</w:t>
      </w:r>
      <w:r>
        <w:rPr>
          <w:color w:val="000000"/>
          <w:sz w:val="23"/>
          <w:szCs w:val="23"/>
        </w:rPr>
        <w:tab/>
        <w:t>The log book must—</w:t>
      </w:r>
      <w:bookmarkEnd w:id="713"/>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have hard covers;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be bound so that pages cannot easily be removed;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have its pages serially numbered;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show the diver's name;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have a clear photograph of the head and shoulders of the diver;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(f)</w:t>
      </w:r>
      <w:r>
        <w:rPr>
          <w:color w:val="000000"/>
          <w:sz w:val="23"/>
          <w:szCs w:val="23"/>
        </w:rPr>
        <w:tab/>
        <w:t>have a specimen of the diver's signature.</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714" w:name="id76ecf79c_efc8_42d3_ad99_f725294ba6e3_8"/>
      <w:r>
        <w:rPr>
          <w:color w:val="000000"/>
          <w:sz w:val="23"/>
          <w:szCs w:val="23"/>
        </w:rPr>
        <w:tab/>
        <w:t>(3)</w:t>
      </w:r>
      <w:r>
        <w:rPr>
          <w:color w:val="000000"/>
          <w:sz w:val="23"/>
          <w:szCs w:val="23"/>
        </w:rPr>
        <w:tab/>
        <w:t>An entry in the log book must contain the following information:</w:t>
      </w:r>
      <w:bookmarkEnd w:id="714"/>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date to which the entry relates;</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location of the dive (and, if the dive was from a ship or installation, the name of the ship or installation);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the maximum depth reached;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(d)</w:t>
      </w:r>
      <w:r>
        <w:rPr>
          <w:color w:val="000000"/>
          <w:sz w:val="23"/>
          <w:szCs w:val="23"/>
        </w:rPr>
        <w:tab/>
        <w:t>the times at which the diver left the surface, reached the bottom, left the bottom and arrived at the surface again, and bottom time;</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(e)</w:t>
      </w:r>
      <w:r>
        <w:rPr>
          <w:color w:val="000000"/>
          <w:sz w:val="23"/>
          <w:szCs w:val="23"/>
        </w:rPr>
        <w:tab/>
        <w:t>the breathing apparatus and breathing mixture used;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(f)</w:t>
      </w:r>
      <w:r>
        <w:rPr>
          <w:color w:val="000000"/>
          <w:sz w:val="23"/>
          <w:szCs w:val="23"/>
        </w:rPr>
        <w:tab/>
        <w:t>the decompression schedule followed;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(g)</w:t>
      </w:r>
      <w:r>
        <w:rPr>
          <w:color w:val="000000"/>
          <w:sz w:val="23"/>
          <w:szCs w:val="23"/>
        </w:rPr>
        <w:tab/>
        <w:t>the work done and the plant and tools used;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(h)</w:t>
      </w:r>
      <w:r>
        <w:rPr>
          <w:color w:val="000000"/>
          <w:sz w:val="23"/>
          <w:szCs w:val="23"/>
        </w:rPr>
        <w:tab/>
        <w:t>any decompression illness, barotrauma, discomfort or injury and details of any treatment given;</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(i)</w:t>
      </w:r>
      <w:r>
        <w:rPr>
          <w:color w:val="000000"/>
          <w:sz w:val="23"/>
          <w:szCs w:val="23"/>
        </w:rPr>
        <w:tab/>
        <w:t>details of any emergency or incident;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(j)</w:t>
      </w:r>
      <w:r>
        <w:rPr>
          <w:color w:val="000000"/>
          <w:sz w:val="23"/>
          <w:szCs w:val="23"/>
        </w:rPr>
        <w:tab/>
        <w:t>anything else relevant to the diver's health or safety.</w:t>
      </w:r>
    </w:p>
    <w:p w:rsidR="0065609F" w:rsidRDefault="0065609F" w:rsidP="00762261">
      <w:pPr>
        <w:pStyle w:val="partheadlevel1"/>
      </w:pPr>
      <w:bookmarkStart w:id="715" w:name="Elkera_Print_TOC332"/>
      <w:bookmarkStart w:id="716" w:name="Elkera_Print_BK332"/>
      <w:r>
        <w:t>Part 6—Fees</w:t>
      </w:r>
      <w:bookmarkEnd w:id="715"/>
      <w:bookmarkEnd w:id="716"/>
    </w:p>
    <w:p w:rsidR="0065609F" w:rsidRDefault="0065609F" w:rsidP="00762261">
      <w:pPr>
        <w:pStyle w:val="clauseheadlevel2"/>
      </w:pPr>
      <w:bookmarkStart w:id="717" w:name="Elkera_Print_TOC333"/>
      <w:bookmarkStart w:id="718" w:name="Elkera_Print_BK333"/>
      <w:r>
        <w:t>186—Fees</w:t>
      </w:r>
      <w:bookmarkEnd w:id="717"/>
      <w:bookmarkEnd w:id="718"/>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The fees set out in </w:t>
      </w:r>
      <w:hyperlink w:anchor="idcb0abf1e_991d_4374_9920_b053131298" w:history="1">
        <w:r>
          <w:rPr>
            <w:color w:val="000000"/>
            <w:sz w:val="23"/>
            <w:szCs w:val="23"/>
          </w:rPr>
          <w:t>Schedule 3</w:t>
        </w:r>
      </w:hyperlink>
      <w:r>
        <w:rPr>
          <w:color w:val="000000"/>
          <w:sz w:val="23"/>
          <w:szCs w:val="23"/>
        </w:rPr>
        <w:t xml:space="preserve"> are payable as specified in that Schedule.</w:t>
      </w:r>
    </w:p>
    <w:p w:rsidR="0065609F" w:rsidRDefault="0065609F" w:rsidP="00762261">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For the purpose of determining the registration of fees payable under section 91 of the Act—</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the prescribed amount for the purposes of section 91(1), (2) and (5) is $920;</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the prescribed amount for the purposes of section 91(3) and (6) is $4 590.</w:t>
      </w:r>
    </w:p>
    <w:p w:rsidR="0065609F" w:rsidRDefault="0065609F" w:rsidP="00762261">
      <w:pPr>
        <w:keepNext/>
        <w:keepLines/>
        <w:autoSpaceDE w:val="0"/>
        <w:autoSpaceDN w:val="0"/>
        <w:adjustRightInd w:val="0"/>
        <w:spacing w:before="280" w:after="0" w:line="240" w:lineRule="auto"/>
        <w:ind w:left="567" w:hanging="567"/>
        <w:jc w:val="left"/>
        <w:rPr>
          <w:b/>
          <w:bCs/>
          <w:color w:val="000000"/>
          <w:sz w:val="32"/>
          <w:szCs w:val="32"/>
        </w:rPr>
      </w:pPr>
      <w:bookmarkStart w:id="719" w:name="Elkera_Print_TOC335"/>
      <w:bookmarkStart w:id="720" w:name="id7a6c72b1_5432_4cf7_9f57_79b6180dcd18_0"/>
      <w:r>
        <w:rPr>
          <w:b/>
          <w:bCs/>
          <w:color w:val="000000"/>
          <w:sz w:val="32"/>
          <w:szCs w:val="32"/>
        </w:rPr>
        <w:t>Schedule 1—Hazardous substances</w:t>
      </w:r>
      <w:bookmarkEnd w:id="719"/>
      <w:bookmarkEnd w:id="720"/>
    </w:p>
    <w:p w:rsidR="0065609F" w:rsidRDefault="0065609F" w:rsidP="00762261">
      <w:pPr>
        <w:keepNext/>
        <w:keepLines/>
        <w:autoSpaceDE w:val="0"/>
        <w:autoSpaceDN w:val="0"/>
        <w:adjustRightInd w:val="0"/>
        <w:spacing w:before="80" w:after="0" w:line="240" w:lineRule="auto"/>
        <w:ind w:left="567" w:hanging="567"/>
        <w:jc w:val="left"/>
        <w:rPr>
          <w:b/>
          <w:bCs/>
          <w:color w:val="000000"/>
          <w:sz w:val="32"/>
          <w:szCs w:val="32"/>
        </w:rPr>
      </w:pPr>
      <w:r>
        <w:rPr>
          <w:b/>
          <w:bCs/>
          <w:color w:val="000000"/>
          <w:sz w:val="32"/>
          <w:szCs w:val="32"/>
        </w:rPr>
        <w:t>Part 1—Interpretation</w:t>
      </w:r>
    </w:p>
    <w:p w:rsidR="0065609F" w:rsidRDefault="0065609F" w:rsidP="00762261">
      <w:pPr>
        <w:keepLines/>
        <w:tabs>
          <w:tab w:val="left" w:pos="794"/>
        </w:tabs>
        <w:autoSpaceDE w:val="0"/>
        <w:autoSpaceDN w:val="0"/>
        <w:adjustRightInd w:val="0"/>
        <w:spacing w:before="80" w:after="0" w:line="240" w:lineRule="auto"/>
        <w:ind w:left="794" w:hanging="794"/>
        <w:jc w:val="left"/>
        <w:rPr>
          <w:color w:val="000000"/>
          <w:sz w:val="23"/>
          <w:szCs w:val="23"/>
        </w:rPr>
      </w:pPr>
      <w:bookmarkStart w:id="721" w:name="Elkera_Print_TOC337"/>
      <w:bookmarkStart w:id="722" w:name="Elkera_Print_BK337"/>
      <w:r>
        <w:rPr>
          <w:color w:val="000000"/>
          <w:sz w:val="23"/>
          <w:szCs w:val="23"/>
        </w:rPr>
        <w:t>1</w:t>
      </w:r>
      <w:r>
        <w:rPr>
          <w:color w:val="000000"/>
          <w:sz w:val="23"/>
          <w:szCs w:val="23"/>
        </w:rPr>
        <w:tab/>
        <w:t>In this Schedule—</w:t>
      </w:r>
      <w:bookmarkEnd w:id="721"/>
      <w:bookmarkEnd w:id="722"/>
    </w:p>
    <w:p w:rsidR="00FE74EF" w:rsidRDefault="00FE74EF" w:rsidP="00762261">
      <w:pPr>
        <w:spacing w:after="0" w:line="240" w:lineRule="auto"/>
        <w:jc w:val="left"/>
        <w:rPr>
          <w:b/>
          <w:bCs/>
          <w:i/>
          <w:iCs/>
          <w:color w:val="000000"/>
          <w:sz w:val="23"/>
          <w:szCs w:val="23"/>
        </w:rPr>
      </w:pPr>
      <w:r>
        <w:rPr>
          <w:b/>
          <w:bCs/>
          <w:i/>
          <w:iCs/>
          <w:color w:val="000000"/>
          <w:sz w:val="23"/>
          <w:szCs w:val="23"/>
        </w:rPr>
        <w:br w:type="page"/>
      </w:r>
    </w:p>
    <w:p w:rsidR="00FE74EF" w:rsidRDefault="00FE74EF" w:rsidP="00762261">
      <w:pPr>
        <w:pStyle w:val="RegSpace"/>
        <w:jc w:val="left"/>
      </w:pP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bona fide research</w:t>
      </w:r>
      <w:r>
        <w:rPr>
          <w:color w:val="000000"/>
          <w:sz w:val="23"/>
          <w:szCs w:val="23"/>
        </w:rPr>
        <w:t xml:space="preserve"> means a systematic, investigative or experimental activity conducted for the purpose of—</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acquiring new knowledge;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creating new or improved materials, products, devices, processes or services; or</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(c)</w:t>
      </w:r>
      <w:r>
        <w:rPr>
          <w:color w:val="000000"/>
          <w:sz w:val="23"/>
          <w:szCs w:val="23"/>
        </w:rPr>
        <w:tab/>
        <w:t>analysis to identify the kind or quantities of ingredients in a substance;</w:t>
      </w:r>
    </w:p>
    <w:p w:rsidR="0065609F" w:rsidRDefault="0065609F" w:rsidP="00762261">
      <w:pPr>
        <w:keepNext/>
        <w:keepLines/>
        <w:autoSpaceDE w:val="0"/>
        <w:autoSpaceDN w:val="0"/>
        <w:adjustRightInd w:val="0"/>
        <w:spacing w:before="120" w:after="0" w:line="240" w:lineRule="auto"/>
        <w:ind w:left="794"/>
        <w:jc w:val="left"/>
        <w:rPr>
          <w:color w:val="000000"/>
          <w:sz w:val="23"/>
          <w:szCs w:val="23"/>
        </w:rPr>
      </w:pPr>
      <w:r>
        <w:rPr>
          <w:b/>
          <w:bCs/>
          <w:i/>
          <w:iCs/>
          <w:color w:val="000000"/>
          <w:sz w:val="23"/>
          <w:szCs w:val="23"/>
        </w:rPr>
        <w:t>in situ</w:t>
      </w:r>
      <w:r>
        <w:rPr>
          <w:color w:val="000000"/>
          <w:sz w:val="23"/>
          <w:szCs w:val="23"/>
        </w:rPr>
        <w:t xml:space="preserve">, in relation to a product that contains asbestos, means that, at the time the use of the form of asbestos in the product is prohibited under </w:t>
      </w:r>
      <w:hyperlink w:anchor="ida1de7040_27be_4ac6_a588_a7f75890da20_9" w:history="1">
        <w:r>
          <w:rPr>
            <w:color w:val="000000"/>
            <w:sz w:val="23"/>
            <w:szCs w:val="23"/>
          </w:rPr>
          <w:t>regulation 12</w:t>
        </w:r>
      </w:hyperlink>
      <w:r>
        <w:rPr>
          <w:color w:val="000000"/>
          <w:sz w:val="23"/>
          <w:szCs w:val="23"/>
        </w:rPr>
        <w:t>, the product is fixed or installed—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(a)</w:t>
      </w:r>
      <w:r>
        <w:rPr>
          <w:color w:val="000000"/>
          <w:sz w:val="23"/>
          <w:szCs w:val="23"/>
        </w:rPr>
        <w:tab/>
        <w:t>in—</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a building or any other structure that forms a workplace; or</w:t>
      </w:r>
    </w:p>
    <w:p w:rsidR="0065609F" w:rsidRDefault="0065609F" w:rsidP="00762261">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a plant, a vehicle or any other thing that is for use at a workplace; and</w:t>
      </w:r>
    </w:p>
    <w:p w:rsidR="0065609F" w:rsidRDefault="0065609F" w:rsidP="00762261">
      <w:pPr>
        <w:keepLines/>
        <w:tabs>
          <w:tab w:val="center" w:pos="1191"/>
          <w:tab w:val="left" w:pos="1588"/>
        </w:tabs>
        <w:autoSpaceDE w:val="0"/>
        <w:autoSpaceDN w:val="0"/>
        <w:adjustRightInd w:val="0"/>
        <w:spacing w:before="120" w:after="0" w:line="240" w:lineRule="auto"/>
        <w:ind w:left="1588" w:hanging="794"/>
        <w:jc w:val="left"/>
        <w:rPr>
          <w:color w:val="000000"/>
          <w:sz w:val="23"/>
          <w:szCs w:val="23"/>
        </w:rPr>
      </w:pPr>
      <w:r>
        <w:rPr>
          <w:color w:val="000000"/>
          <w:sz w:val="23"/>
          <w:szCs w:val="23"/>
        </w:rPr>
        <w:tab/>
        <w:t>(b)</w:t>
      </w:r>
      <w:r>
        <w:rPr>
          <w:color w:val="000000"/>
          <w:sz w:val="23"/>
          <w:szCs w:val="23"/>
        </w:rPr>
        <w:tab/>
        <w:t>in a way that does not constitute a risk to users until the asbestos contained in the product is disturbed.</w:t>
      </w:r>
    </w:p>
    <w:p w:rsidR="0065609F" w:rsidRDefault="0065609F" w:rsidP="00762261">
      <w:pPr>
        <w:keepNext/>
        <w:keepLines/>
        <w:autoSpaceDE w:val="0"/>
        <w:autoSpaceDN w:val="0"/>
        <w:adjustRightInd w:val="0"/>
        <w:spacing w:before="80" w:after="0" w:line="240" w:lineRule="auto"/>
        <w:ind w:left="567" w:hanging="567"/>
        <w:jc w:val="left"/>
        <w:rPr>
          <w:b/>
          <w:bCs/>
          <w:color w:val="000000"/>
          <w:sz w:val="32"/>
          <w:szCs w:val="32"/>
        </w:rPr>
      </w:pPr>
      <w:r>
        <w:rPr>
          <w:b/>
          <w:bCs/>
          <w:color w:val="000000"/>
          <w:sz w:val="32"/>
          <w:szCs w:val="32"/>
        </w:rPr>
        <w:t>Part 2—Permitted circumstances for using certain hazardous substances</w:t>
      </w:r>
    </w:p>
    <w:p w:rsidR="0065609F" w:rsidRDefault="0065609F" w:rsidP="0065609F">
      <w:pPr>
        <w:keepNext/>
        <w:keepLines/>
        <w:autoSpaceDE w:val="0"/>
        <w:autoSpaceDN w:val="0"/>
        <w:adjustRightInd w:val="0"/>
        <w:spacing w:before="120" w:after="0" w:line="240" w:lineRule="auto"/>
        <w:rPr>
          <w:color w:val="000000"/>
          <w:sz w:val="2"/>
          <w:szCs w:val="2"/>
        </w:rPr>
      </w:pPr>
    </w:p>
    <w:tbl>
      <w:tblPr>
        <w:tblW w:w="0" w:type="auto"/>
        <w:tblInd w:w="60" w:type="dxa"/>
        <w:tblLayout w:type="fixed"/>
        <w:tblCellMar>
          <w:left w:w="60" w:type="dxa"/>
          <w:right w:w="60" w:type="dxa"/>
        </w:tblCellMar>
        <w:tblLook w:val="0000" w:firstRow="0" w:lastRow="0" w:firstColumn="0" w:lastColumn="0" w:noHBand="0" w:noVBand="0"/>
      </w:tblPr>
      <w:tblGrid>
        <w:gridCol w:w="807"/>
        <w:gridCol w:w="3342"/>
        <w:gridCol w:w="315"/>
        <w:gridCol w:w="4322"/>
      </w:tblGrid>
      <w:tr w:rsidR="0065609F" w:rsidTr="00232EEC">
        <w:trPr>
          <w:cantSplit/>
          <w:tblHeader/>
        </w:trPr>
        <w:tc>
          <w:tcPr>
            <w:tcW w:w="807" w:type="dxa"/>
            <w:tcBorders>
              <w:top w:val="single" w:sz="4" w:space="0" w:color="auto"/>
              <w:left w:val="nil"/>
              <w:bottom w:val="single" w:sz="4" w:space="0" w:color="auto"/>
              <w:right w:val="nil"/>
            </w:tcBorders>
          </w:tcPr>
          <w:p w:rsidR="0065609F" w:rsidRDefault="0065609F" w:rsidP="00762261">
            <w:pPr>
              <w:keepNext/>
              <w:keepLines/>
              <w:autoSpaceDE w:val="0"/>
              <w:autoSpaceDN w:val="0"/>
              <w:adjustRightInd w:val="0"/>
              <w:spacing w:before="120" w:after="0" w:line="240" w:lineRule="auto"/>
              <w:jc w:val="left"/>
              <w:rPr>
                <w:b/>
                <w:bCs/>
                <w:color w:val="000000"/>
                <w:sz w:val="20"/>
                <w:szCs w:val="20"/>
              </w:rPr>
            </w:pPr>
            <w:r>
              <w:rPr>
                <w:b/>
                <w:bCs/>
                <w:color w:val="000000"/>
                <w:sz w:val="20"/>
                <w:szCs w:val="20"/>
              </w:rPr>
              <w:t>Item</w:t>
            </w:r>
          </w:p>
        </w:tc>
        <w:tc>
          <w:tcPr>
            <w:tcW w:w="3342" w:type="dxa"/>
            <w:tcBorders>
              <w:top w:val="single" w:sz="4" w:space="0" w:color="auto"/>
              <w:left w:val="nil"/>
              <w:bottom w:val="single" w:sz="4" w:space="0" w:color="auto"/>
              <w:right w:val="nil"/>
            </w:tcBorders>
            <w:vAlign w:val="bottom"/>
          </w:tcPr>
          <w:p w:rsidR="0065609F" w:rsidRDefault="0065609F" w:rsidP="00762261">
            <w:pPr>
              <w:keepNext/>
              <w:keepLines/>
              <w:autoSpaceDE w:val="0"/>
              <w:autoSpaceDN w:val="0"/>
              <w:adjustRightInd w:val="0"/>
              <w:spacing w:before="120" w:after="0" w:line="240" w:lineRule="auto"/>
              <w:jc w:val="left"/>
              <w:rPr>
                <w:b/>
                <w:bCs/>
                <w:color w:val="000000"/>
                <w:sz w:val="20"/>
                <w:szCs w:val="20"/>
              </w:rPr>
            </w:pPr>
            <w:r>
              <w:rPr>
                <w:b/>
                <w:bCs/>
                <w:color w:val="000000"/>
                <w:sz w:val="20"/>
                <w:szCs w:val="20"/>
              </w:rPr>
              <w:t>Substance (identified by substance name)</w:t>
            </w:r>
          </w:p>
        </w:tc>
        <w:tc>
          <w:tcPr>
            <w:tcW w:w="4637" w:type="dxa"/>
            <w:gridSpan w:val="2"/>
            <w:tcBorders>
              <w:top w:val="single" w:sz="4" w:space="0" w:color="auto"/>
              <w:left w:val="nil"/>
              <w:bottom w:val="single" w:sz="4" w:space="0" w:color="auto"/>
              <w:right w:val="nil"/>
            </w:tcBorders>
          </w:tcPr>
          <w:p w:rsidR="0065609F" w:rsidRDefault="0065609F" w:rsidP="00762261">
            <w:pPr>
              <w:keepNext/>
              <w:keepLines/>
              <w:autoSpaceDE w:val="0"/>
              <w:autoSpaceDN w:val="0"/>
              <w:adjustRightInd w:val="0"/>
              <w:spacing w:before="120" w:after="0" w:line="240" w:lineRule="auto"/>
              <w:jc w:val="left"/>
              <w:rPr>
                <w:b/>
                <w:bCs/>
                <w:color w:val="000000"/>
                <w:sz w:val="20"/>
                <w:szCs w:val="20"/>
              </w:rPr>
            </w:pPr>
            <w:r>
              <w:rPr>
                <w:b/>
                <w:bCs/>
                <w:color w:val="000000"/>
                <w:sz w:val="20"/>
                <w:szCs w:val="20"/>
              </w:rPr>
              <w:t>Permitted circumstance</w:t>
            </w:r>
          </w:p>
        </w:tc>
      </w:tr>
      <w:tr w:rsidR="0065609F" w:rsidTr="00232EEC">
        <w:tc>
          <w:tcPr>
            <w:tcW w:w="807" w:type="dxa"/>
            <w:tcBorders>
              <w:top w:val="single" w:sz="4" w:space="0" w:color="auto"/>
              <w:left w:val="nil"/>
              <w:bottom w:val="nil"/>
              <w:right w:val="nil"/>
            </w:tcBorders>
          </w:tcPr>
          <w:p w:rsidR="0065609F" w:rsidRDefault="0065609F" w:rsidP="00762261">
            <w:pPr>
              <w:keepNext/>
              <w:keepLines/>
              <w:autoSpaceDE w:val="0"/>
              <w:autoSpaceDN w:val="0"/>
              <w:adjustRightInd w:val="0"/>
              <w:spacing w:before="120" w:after="0" w:line="240" w:lineRule="auto"/>
              <w:jc w:val="left"/>
              <w:rPr>
                <w:color w:val="000000"/>
                <w:sz w:val="20"/>
                <w:szCs w:val="20"/>
              </w:rPr>
            </w:pPr>
            <w:r>
              <w:rPr>
                <w:color w:val="000000"/>
                <w:sz w:val="20"/>
                <w:szCs w:val="20"/>
              </w:rPr>
              <w:t>201</w:t>
            </w:r>
          </w:p>
        </w:tc>
        <w:tc>
          <w:tcPr>
            <w:tcW w:w="3342" w:type="dxa"/>
            <w:tcBorders>
              <w:top w:val="single" w:sz="4" w:space="0" w:color="auto"/>
              <w:left w:val="nil"/>
              <w:bottom w:val="nil"/>
              <w:right w:val="nil"/>
            </w:tcBorders>
          </w:tcPr>
          <w:p w:rsidR="0065609F" w:rsidRDefault="0065609F" w:rsidP="00762261">
            <w:pPr>
              <w:keepNext/>
              <w:keepLines/>
              <w:autoSpaceDE w:val="0"/>
              <w:autoSpaceDN w:val="0"/>
              <w:adjustRightInd w:val="0"/>
              <w:spacing w:before="120" w:after="0" w:line="240" w:lineRule="auto"/>
              <w:jc w:val="left"/>
              <w:rPr>
                <w:color w:val="000000"/>
                <w:sz w:val="20"/>
                <w:szCs w:val="20"/>
              </w:rPr>
            </w:pPr>
            <w:r>
              <w:rPr>
                <w:color w:val="000000"/>
                <w:sz w:val="20"/>
                <w:szCs w:val="20"/>
              </w:rPr>
              <w:t>Polychlorinated biphenyls (also known as PCBs)</w:t>
            </w:r>
          </w:p>
        </w:tc>
        <w:tc>
          <w:tcPr>
            <w:tcW w:w="315" w:type="dxa"/>
            <w:tcBorders>
              <w:top w:val="single" w:sz="4" w:space="0" w:color="auto"/>
              <w:left w:val="nil"/>
              <w:bottom w:val="nil"/>
              <w:right w:val="nil"/>
            </w:tcBorders>
          </w:tcPr>
          <w:p w:rsidR="0065609F" w:rsidRDefault="0065609F" w:rsidP="00762261">
            <w:pPr>
              <w:keepNext/>
              <w:keepLines/>
              <w:autoSpaceDE w:val="0"/>
              <w:autoSpaceDN w:val="0"/>
              <w:adjustRightInd w:val="0"/>
              <w:spacing w:before="120" w:after="0" w:line="240" w:lineRule="auto"/>
              <w:jc w:val="left"/>
              <w:rPr>
                <w:color w:val="000000"/>
                <w:sz w:val="20"/>
                <w:szCs w:val="20"/>
              </w:rPr>
            </w:pPr>
            <w:r>
              <w:rPr>
                <w:color w:val="000000"/>
                <w:sz w:val="20"/>
                <w:szCs w:val="20"/>
              </w:rPr>
              <w:t>1</w:t>
            </w:r>
          </w:p>
        </w:tc>
        <w:tc>
          <w:tcPr>
            <w:tcW w:w="4322" w:type="dxa"/>
            <w:tcBorders>
              <w:top w:val="single" w:sz="4" w:space="0" w:color="auto"/>
              <w:left w:val="nil"/>
              <w:bottom w:val="nil"/>
              <w:right w:val="nil"/>
            </w:tcBorders>
          </w:tcPr>
          <w:p w:rsidR="0065609F" w:rsidRDefault="0065609F" w:rsidP="00762261">
            <w:pPr>
              <w:keepNext/>
              <w:keepLines/>
              <w:autoSpaceDE w:val="0"/>
              <w:autoSpaceDN w:val="0"/>
              <w:adjustRightInd w:val="0"/>
              <w:spacing w:before="120" w:after="0" w:line="240" w:lineRule="auto"/>
              <w:jc w:val="left"/>
              <w:rPr>
                <w:color w:val="000000"/>
                <w:sz w:val="20"/>
                <w:szCs w:val="20"/>
              </w:rPr>
            </w:pPr>
            <w:r>
              <w:rPr>
                <w:color w:val="000000"/>
                <w:sz w:val="20"/>
                <w:szCs w:val="20"/>
              </w:rPr>
              <w:t>Handling for storage prior to removal or disposal.</w:t>
            </w:r>
          </w:p>
        </w:tc>
      </w:tr>
      <w:tr w:rsidR="0065609F" w:rsidTr="00232EEC">
        <w:tc>
          <w:tcPr>
            <w:tcW w:w="807" w:type="dxa"/>
            <w:tcBorders>
              <w:top w:val="nil"/>
              <w:left w:val="nil"/>
              <w:bottom w:val="nil"/>
              <w:right w:val="nil"/>
            </w:tcBorders>
          </w:tcPr>
          <w:p w:rsidR="0065609F" w:rsidRDefault="0065609F" w:rsidP="00762261">
            <w:pPr>
              <w:keepNext/>
              <w:keepLines/>
              <w:autoSpaceDE w:val="0"/>
              <w:autoSpaceDN w:val="0"/>
              <w:adjustRightInd w:val="0"/>
              <w:spacing w:before="120" w:after="0" w:line="240" w:lineRule="auto"/>
              <w:jc w:val="left"/>
              <w:rPr>
                <w:color w:val="000000"/>
                <w:sz w:val="20"/>
                <w:szCs w:val="20"/>
              </w:rPr>
            </w:pPr>
          </w:p>
        </w:tc>
        <w:tc>
          <w:tcPr>
            <w:tcW w:w="3342" w:type="dxa"/>
            <w:tcBorders>
              <w:top w:val="nil"/>
              <w:left w:val="nil"/>
              <w:bottom w:val="nil"/>
              <w:right w:val="nil"/>
            </w:tcBorders>
          </w:tcPr>
          <w:p w:rsidR="0065609F" w:rsidRDefault="0065609F" w:rsidP="00762261">
            <w:pPr>
              <w:keepNext/>
              <w:keepLines/>
              <w:autoSpaceDE w:val="0"/>
              <w:autoSpaceDN w:val="0"/>
              <w:adjustRightInd w:val="0"/>
              <w:spacing w:before="120" w:after="0" w:line="240" w:lineRule="auto"/>
              <w:jc w:val="left"/>
              <w:rPr>
                <w:color w:val="000000"/>
                <w:sz w:val="20"/>
                <w:szCs w:val="20"/>
              </w:rPr>
            </w:pPr>
          </w:p>
        </w:tc>
        <w:tc>
          <w:tcPr>
            <w:tcW w:w="315" w:type="dxa"/>
            <w:tcBorders>
              <w:top w:val="nil"/>
              <w:left w:val="nil"/>
              <w:bottom w:val="nil"/>
              <w:right w:val="nil"/>
            </w:tcBorders>
          </w:tcPr>
          <w:p w:rsidR="0065609F" w:rsidRDefault="0065609F" w:rsidP="00762261">
            <w:pPr>
              <w:keepNext/>
              <w:keepLines/>
              <w:autoSpaceDE w:val="0"/>
              <w:autoSpaceDN w:val="0"/>
              <w:adjustRightInd w:val="0"/>
              <w:spacing w:before="120" w:after="0" w:line="240" w:lineRule="auto"/>
              <w:jc w:val="left"/>
              <w:rPr>
                <w:color w:val="000000"/>
                <w:sz w:val="20"/>
                <w:szCs w:val="20"/>
              </w:rPr>
            </w:pPr>
            <w:r>
              <w:rPr>
                <w:color w:val="000000"/>
                <w:sz w:val="20"/>
                <w:szCs w:val="20"/>
              </w:rPr>
              <w:t>2</w:t>
            </w:r>
          </w:p>
        </w:tc>
        <w:tc>
          <w:tcPr>
            <w:tcW w:w="4322" w:type="dxa"/>
            <w:tcBorders>
              <w:top w:val="nil"/>
              <w:left w:val="nil"/>
              <w:bottom w:val="nil"/>
              <w:right w:val="nil"/>
            </w:tcBorders>
          </w:tcPr>
          <w:p w:rsidR="0065609F" w:rsidRDefault="0065609F" w:rsidP="00762261">
            <w:pPr>
              <w:keepNext/>
              <w:keepLines/>
              <w:autoSpaceDE w:val="0"/>
              <w:autoSpaceDN w:val="0"/>
              <w:adjustRightInd w:val="0"/>
              <w:spacing w:before="120" w:after="0" w:line="240" w:lineRule="auto"/>
              <w:jc w:val="left"/>
              <w:rPr>
                <w:color w:val="000000"/>
                <w:sz w:val="20"/>
                <w:szCs w:val="20"/>
              </w:rPr>
            </w:pPr>
            <w:r>
              <w:rPr>
                <w:color w:val="000000"/>
                <w:sz w:val="20"/>
                <w:szCs w:val="20"/>
              </w:rPr>
              <w:t>Storage prior to removal or disposal.</w:t>
            </w:r>
          </w:p>
        </w:tc>
      </w:tr>
      <w:tr w:rsidR="0065609F" w:rsidTr="00232EEC">
        <w:tc>
          <w:tcPr>
            <w:tcW w:w="807" w:type="dxa"/>
            <w:tcBorders>
              <w:top w:val="nil"/>
              <w:left w:val="nil"/>
              <w:bottom w:val="nil"/>
              <w:right w:val="nil"/>
            </w:tcBorders>
          </w:tcPr>
          <w:p w:rsidR="0065609F" w:rsidRDefault="0065609F" w:rsidP="00762261">
            <w:pPr>
              <w:keepNext/>
              <w:keepLines/>
              <w:autoSpaceDE w:val="0"/>
              <w:autoSpaceDN w:val="0"/>
              <w:adjustRightInd w:val="0"/>
              <w:spacing w:before="120" w:after="0" w:line="240" w:lineRule="auto"/>
              <w:jc w:val="left"/>
              <w:rPr>
                <w:color w:val="000000"/>
                <w:sz w:val="20"/>
                <w:szCs w:val="20"/>
              </w:rPr>
            </w:pPr>
          </w:p>
        </w:tc>
        <w:tc>
          <w:tcPr>
            <w:tcW w:w="3342" w:type="dxa"/>
            <w:tcBorders>
              <w:top w:val="nil"/>
              <w:left w:val="nil"/>
              <w:bottom w:val="nil"/>
              <w:right w:val="nil"/>
            </w:tcBorders>
          </w:tcPr>
          <w:p w:rsidR="0065609F" w:rsidRDefault="0065609F" w:rsidP="00762261">
            <w:pPr>
              <w:keepNext/>
              <w:keepLines/>
              <w:autoSpaceDE w:val="0"/>
              <w:autoSpaceDN w:val="0"/>
              <w:adjustRightInd w:val="0"/>
              <w:spacing w:before="120" w:after="0" w:line="240" w:lineRule="auto"/>
              <w:jc w:val="left"/>
              <w:rPr>
                <w:color w:val="000000"/>
                <w:sz w:val="20"/>
                <w:szCs w:val="20"/>
              </w:rPr>
            </w:pPr>
          </w:p>
        </w:tc>
        <w:tc>
          <w:tcPr>
            <w:tcW w:w="315" w:type="dxa"/>
            <w:tcBorders>
              <w:top w:val="nil"/>
              <w:left w:val="nil"/>
              <w:bottom w:val="nil"/>
              <w:right w:val="nil"/>
            </w:tcBorders>
          </w:tcPr>
          <w:p w:rsidR="0065609F" w:rsidRDefault="0065609F" w:rsidP="00762261">
            <w:pPr>
              <w:keepNext/>
              <w:keepLines/>
              <w:autoSpaceDE w:val="0"/>
              <w:autoSpaceDN w:val="0"/>
              <w:adjustRightInd w:val="0"/>
              <w:spacing w:before="120" w:after="0" w:line="240" w:lineRule="auto"/>
              <w:jc w:val="left"/>
              <w:rPr>
                <w:color w:val="000000"/>
                <w:sz w:val="20"/>
                <w:szCs w:val="20"/>
              </w:rPr>
            </w:pPr>
            <w:r>
              <w:rPr>
                <w:color w:val="000000"/>
                <w:sz w:val="20"/>
                <w:szCs w:val="20"/>
              </w:rPr>
              <w:t>3</w:t>
            </w:r>
          </w:p>
        </w:tc>
        <w:tc>
          <w:tcPr>
            <w:tcW w:w="4322" w:type="dxa"/>
            <w:tcBorders>
              <w:top w:val="nil"/>
              <w:left w:val="nil"/>
              <w:bottom w:val="nil"/>
              <w:right w:val="nil"/>
            </w:tcBorders>
          </w:tcPr>
          <w:p w:rsidR="0065609F" w:rsidRDefault="0065609F" w:rsidP="00762261">
            <w:pPr>
              <w:keepNext/>
              <w:keepLines/>
              <w:autoSpaceDE w:val="0"/>
              <w:autoSpaceDN w:val="0"/>
              <w:adjustRightInd w:val="0"/>
              <w:spacing w:before="120" w:after="0" w:line="240" w:lineRule="auto"/>
              <w:jc w:val="left"/>
              <w:rPr>
                <w:color w:val="000000"/>
                <w:sz w:val="20"/>
                <w:szCs w:val="20"/>
              </w:rPr>
            </w:pPr>
            <w:r>
              <w:rPr>
                <w:color w:val="000000"/>
                <w:sz w:val="20"/>
                <w:szCs w:val="20"/>
              </w:rPr>
              <w:t>Removal or disposal.</w:t>
            </w:r>
          </w:p>
        </w:tc>
      </w:tr>
      <w:tr w:rsidR="0065609F" w:rsidTr="00232EEC">
        <w:tc>
          <w:tcPr>
            <w:tcW w:w="807" w:type="dxa"/>
            <w:tcBorders>
              <w:top w:val="nil"/>
              <w:left w:val="nil"/>
              <w:bottom w:val="nil"/>
              <w:right w:val="nil"/>
            </w:tcBorders>
          </w:tcPr>
          <w:p w:rsidR="0065609F" w:rsidRDefault="0065609F" w:rsidP="00762261">
            <w:pPr>
              <w:keepNext/>
              <w:keepLines/>
              <w:autoSpaceDE w:val="0"/>
              <w:autoSpaceDN w:val="0"/>
              <w:adjustRightInd w:val="0"/>
              <w:spacing w:before="120" w:after="0" w:line="240" w:lineRule="auto"/>
              <w:jc w:val="left"/>
              <w:rPr>
                <w:color w:val="000000"/>
                <w:sz w:val="20"/>
                <w:szCs w:val="20"/>
              </w:rPr>
            </w:pPr>
          </w:p>
        </w:tc>
        <w:tc>
          <w:tcPr>
            <w:tcW w:w="3342" w:type="dxa"/>
            <w:tcBorders>
              <w:top w:val="nil"/>
              <w:left w:val="nil"/>
              <w:bottom w:val="nil"/>
              <w:right w:val="nil"/>
            </w:tcBorders>
          </w:tcPr>
          <w:p w:rsidR="0065609F" w:rsidRDefault="0065609F" w:rsidP="00762261">
            <w:pPr>
              <w:keepNext/>
              <w:keepLines/>
              <w:autoSpaceDE w:val="0"/>
              <w:autoSpaceDN w:val="0"/>
              <w:adjustRightInd w:val="0"/>
              <w:spacing w:before="120" w:after="0" w:line="240" w:lineRule="auto"/>
              <w:jc w:val="left"/>
              <w:rPr>
                <w:color w:val="000000"/>
                <w:sz w:val="20"/>
                <w:szCs w:val="20"/>
              </w:rPr>
            </w:pPr>
          </w:p>
        </w:tc>
        <w:tc>
          <w:tcPr>
            <w:tcW w:w="315" w:type="dxa"/>
            <w:tcBorders>
              <w:top w:val="nil"/>
              <w:left w:val="nil"/>
              <w:bottom w:val="nil"/>
              <w:right w:val="nil"/>
            </w:tcBorders>
          </w:tcPr>
          <w:p w:rsidR="0065609F" w:rsidRDefault="0065609F" w:rsidP="00762261">
            <w:pPr>
              <w:keepNext/>
              <w:keepLines/>
              <w:autoSpaceDE w:val="0"/>
              <w:autoSpaceDN w:val="0"/>
              <w:adjustRightInd w:val="0"/>
              <w:spacing w:before="120" w:after="0" w:line="240" w:lineRule="auto"/>
              <w:jc w:val="left"/>
              <w:rPr>
                <w:color w:val="000000"/>
                <w:sz w:val="20"/>
                <w:szCs w:val="20"/>
              </w:rPr>
            </w:pPr>
            <w:r>
              <w:rPr>
                <w:color w:val="000000"/>
                <w:sz w:val="20"/>
                <w:szCs w:val="20"/>
              </w:rPr>
              <w:t>4</w:t>
            </w:r>
          </w:p>
        </w:tc>
        <w:tc>
          <w:tcPr>
            <w:tcW w:w="4322" w:type="dxa"/>
            <w:tcBorders>
              <w:top w:val="nil"/>
              <w:left w:val="nil"/>
              <w:bottom w:val="nil"/>
              <w:right w:val="nil"/>
            </w:tcBorders>
          </w:tcPr>
          <w:p w:rsidR="0065609F" w:rsidRDefault="0065609F" w:rsidP="00762261">
            <w:pPr>
              <w:keepNext/>
              <w:keepLines/>
              <w:autoSpaceDE w:val="0"/>
              <w:autoSpaceDN w:val="0"/>
              <w:adjustRightInd w:val="0"/>
              <w:spacing w:before="120" w:after="0" w:line="240" w:lineRule="auto"/>
              <w:jc w:val="left"/>
              <w:rPr>
                <w:color w:val="000000"/>
                <w:sz w:val="20"/>
                <w:szCs w:val="20"/>
              </w:rPr>
            </w:pPr>
            <w:r>
              <w:rPr>
                <w:color w:val="000000"/>
                <w:sz w:val="20"/>
                <w:szCs w:val="20"/>
              </w:rPr>
              <w:t>Use when contained in existing electrical equipment or construction material.</w:t>
            </w:r>
          </w:p>
        </w:tc>
      </w:tr>
      <w:tr w:rsidR="0065609F" w:rsidTr="00232EEC">
        <w:tc>
          <w:tcPr>
            <w:tcW w:w="807" w:type="dxa"/>
            <w:tcBorders>
              <w:top w:val="nil"/>
              <w:left w:val="nil"/>
              <w:bottom w:val="single" w:sz="4" w:space="0" w:color="auto"/>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342" w:type="dxa"/>
            <w:tcBorders>
              <w:top w:val="nil"/>
              <w:left w:val="nil"/>
              <w:bottom w:val="single" w:sz="4" w:space="0" w:color="auto"/>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5" w:type="dxa"/>
            <w:tcBorders>
              <w:top w:val="nil"/>
              <w:left w:val="nil"/>
              <w:bottom w:val="single" w:sz="4" w:space="0" w:color="auto"/>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5</w:t>
            </w:r>
          </w:p>
        </w:tc>
        <w:tc>
          <w:tcPr>
            <w:tcW w:w="4322" w:type="dxa"/>
            <w:tcBorders>
              <w:top w:val="nil"/>
              <w:left w:val="nil"/>
              <w:bottom w:val="single" w:sz="4" w:space="0" w:color="auto"/>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Repair of existing electrical equipment or construction material.</w:t>
            </w:r>
          </w:p>
        </w:tc>
      </w:tr>
    </w:tbl>
    <w:p w:rsidR="0065609F" w:rsidRDefault="0065609F" w:rsidP="00762261">
      <w:pPr>
        <w:keepNext/>
        <w:keepLines/>
        <w:autoSpaceDE w:val="0"/>
        <w:autoSpaceDN w:val="0"/>
        <w:adjustRightInd w:val="0"/>
        <w:spacing w:before="80" w:after="0" w:line="240" w:lineRule="auto"/>
        <w:ind w:left="567" w:hanging="567"/>
        <w:jc w:val="left"/>
        <w:rPr>
          <w:b/>
          <w:bCs/>
          <w:color w:val="000000"/>
          <w:sz w:val="32"/>
          <w:szCs w:val="32"/>
        </w:rPr>
      </w:pPr>
      <w:r>
        <w:rPr>
          <w:b/>
          <w:bCs/>
          <w:color w:val="000000"/>
          <w:sz w:val="32"/>
          <w:szCs w:val="32"/>
        </w:rPr>
        <w:t>Part 3—Permitted circumstances for using certain hazardous substances with carcinogenic properties</w:t>
      </w:r>
    </w:p>
    <w:p w:rsidR="0065609F" w:rsidRDefault="0065609F" w:rsidP="0065609F">
      <w:pPr>
        <w:keepNext/>
        <w:keepLines/>
        <w:autoSpaceDE w:val="0"/>
        <w:autoSpaceDN w:val="0"/>
        <w:adjustRightInd w:val="0"/>
        <w:spacing w:before="120" w:after="0" w:line="240" w:lineRule="auto"/>
        <w:rPr>
          <w:color w:val="000000"/>
          <w:sz w:val="2"/>
          <w:szCs w:val="2"/>
        </w:rPr>
      </w:pPr>
    </w:p>
    <w:tbl>
      <w:tblPr>
        <w:tblW w:w="0" w:type="auto"/>
        <w:tblInd w:w="60" w:type="dxa"/>
        <w:tblLayout w:type="fixed"/>
        <w:tblCellMar>
          <w:left w:w="60" w:type="dxa"/>
          <w:right w:w="60" w:type="dxa"/>
        </w:tblCellMar>
        <w:tblLook w:val="0000" w:firstRow="0" w:lastRow="0" w:firstColumn="0" w:lastColumn="0" w:noHBand="0" w:noVBand="0"/>
      </w:tblPr>
      <w:tblGrid>
        <w:gridCol w:w="806"/>
        <w:gridCol w:w="3185"/>
        <w:gridCol w:w="450"/>
        <w:gridCol w:w="4343"/>
      </w:tblGrid>
      <w:tr w:rsidR="0065609F" w:rsidTr="00232EEC">
        <w:trPr>
          <w:cantSplit/>
          <w:tblHeader/>
        </w:trPr>
        <w:tc>
          <w:tcPr>
            <w:tcW w:w="806" w:type="dxa"/>
            <w:tcBorders>
              <w:top w:val="single" w:sz="4" w:space="0" w:color="auto"/>
              <w:left w:val="nil"/>
              <w:bottom w:val="single" w:sz="4" w:space="0" w:color="auto"/>
              <w:right w:val="nil"/>
            </w:tcBorders>
          </w:tcPr>
          <w:p w:rsidR="0065609F" w:rsidRDefault="0065609F" w:rsidP="00762261">
            <w:pPr>
              <w:keepNext/>
              <w:keepLines/>
              <w:autoSpaceDE w:val="0"/>
              <w:autoSpaceDN w:val="0"/>
              <w:adjustRightInd w:val="0"/>
              <w:spacing w:before="120" w:after="0" w:line="240" w:lineRule="auto"/>
              <w:jc w:val="left"/>
              <w:rPr>
                <w:b/>
                <w:bCs/>
                <w:color w:val="000000"/>
                <w:sz w:val="20"/>
                <w:szCs w:val="20"/>
              </w:rPr>
            </w:pPr>
            <w:r>
              <w:rPr>
                <w:b/>
                <w:bCs/>
                <w:color w:val="000000"/>
                <w:sz w:val="20"/>
                <w:szCs w:val="20"/>
              </w:rPr>
              <w:t>Item</w:t>
            </w:r>
          </w:p>
        </w:tc>
        <w:tc>
          <w:tcPr>
            <w:tcW w:w="3185" w:type="dxa"/>
            <w:tcBorders>
              <w:top w:val="single" w:sz="4" w:space="0" w:color="auto"/>
              <w:left w:val="nil"/>
              <w:bottom w:val="single" w:sz="4" w:space="0" w:color="auto"/>
              <w:right w:val="nil"/>
            </w:tcBorders>
          </w:tcPr>
          <w:p w:rsidR="0065609F" w:rsidRDefault="0065609F" w:rsidP="00762261">
            <w:pPr>
              <w:keepNext/>
              <w:keepLines/>
              <w:autoSpaceDE w:val="0"/>
              <w:autoSpaceDN w:val="0"/>
              <w:adjustRightInd w:val="0"/>
              <w:spacing w:before="120" w:after="0" w:line="240" w:lineRule="auto"/>
              <w:jc w:val="left"/>
              <w:rPr>
                <w:b/>
                <w:bCs/>
                <w:color w:val="000000"/>
                <w:sz w:val="20"/>
                <w:szCs w:val="20"/>
              </w:rPr>
            </w:pPr>
            <w:r>
              <w:rPr>
                <w:b/>
                <w:bCs/>
                <w:color w:val="000000"/>
                <w:sz w:val="20"/>
                <w:szCs w:val="20"/>
              </w:rPr>
              <w:t>Substance (identified by substance name, with chemical abstract number in square brackets)</w:t>
            </w:r>
          </w:p>
        </w:tc>
        <w:tc>
          <w:tcPr>
            <w:tcW w:w="4793" w:type="dxa"/>
            <w:gridSpan w:val="2"/>
            <w:tcBorders>
              <w:top w:val="single" w:sz="4" w:space="0" w:color="auto"/>
              <w:left w:val="nil"/>
              <w:bottom w:val="single" w:sz="4" w:space="0" w:color="auto"/>
              <w:right w:val="nil"/>
            </w:tcBorders>
          </w:tcPr>
          <w:p w:rsidR="0065609F" w:rsidRDefault="0065609F" w:rsidP="00762261">
            <w:pPr>
              <w:keepNext/>
              <w:keepLines/>
              <w:autoSpaceDE w:val="0"/>
              <w:autoSpaceDN w:val="0"/>
              <w:adjustRightInd w:val="0"/>
              <w:spacing w:before="120" w:after="0" w:line="240" w:lineRule="auto"/>
              <w:jc w:val="left"/>
              <w:rPr>
                <w:b/>
                <w:bCs/>
                <w:color w:val="000000"/>
                <w:sz w:val="20"/>
                <w:szCs w:val="20"/>
              </w:rPr>
            </w:pPr>
            <w:r>
              <w:rPr>
                <w:b/>
                <w:bCs/>
                <w:color w:val="000000"/>
                <w:sz w:val="20"/>
                <w:szCs w:val="20"/>
              </w:rPr>
              <w:t>Permitted circumstances</w:t>
            </w:r>
          </w:p>
        </w:tc>
      </w:tr>
      <w:tr w:rsidR="0065609F" w:rsidTr="00232EEC">
        <w:tc>
          <w:tcPr>
            <w:tcW w:w="806" w:type="dxa"/>
            <w:tcBorders>
              <w:top w:val="single" w:sz="4" w:space="0" w:color="auto"/>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301</w:t>
            </w:r>
          </w:p>
        </w:tc>
        <w:tc>
          <w:tcPr>
            <w:tcW w:w="3185" w:type="dxa"/>
            <w:tcBorders>
              <w:top w:val="single" w:sz="4" w:space="0" w:color="auto"/>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2-Acetylaminofluorene [53-96-3]</w:t>
            </w:r>
          </w:p>
        </w:tc>
        <w:tc>
          <w:tcPr>
            <w:tcW w:w="4793" w:type="dxa"/>
            <w:gridSpan w:val="2"/>
            <w:tcBorders>
              <w:top w:val="single" w:sz="4" w:space="0" w:color="auto"/>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Bona fide research</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302</w:t>
            </w: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Aflatoxins</w:t>
            </w:r>
          </w:p>
        </w:tc>
        <w:tc>
          <w:tcPr>
            <w:tcW w:w="4793" w:type="dxa"/>
            <w:gridSpan w:val="2"/>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Bona fide research</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303</w:t>
            </w: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4-Aminodiphenyl [92-67-1]</w:t>
            </w:r>
          </w:p>
        </w:tc>
        <w:tc>
          <w:tcPr>
            <w:tcW w:w="4793" w:type="dxa"/>
            <w:gridSpan w:val="2"/>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Bona fide research</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304</w:t>
            </w: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Amosite (brown asbestos) [12172-73-5]</w:t>
            </w: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1</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Bona fide research.</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2</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Handling for storage prior to removal or disposal of amosite.</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Storage prior to removal or disposal of amosite.</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4</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Removal or disposal of amosite in accordance with a law of a State or Territory relating to the removal of asbestos.</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5</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Disturbance of naturally occurring amosite that is incidental to operations not related to the extraction or processing of amosite, for example, roadworks.</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6</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Use of a facility that contains amosite, or use of an item of plant that is attached to a facility and that contains amosite, where—</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the amosite is in situ; and</w:t>
            </w:r>
          </w:p>
          <w:p w:rsidR="0065609F" w:rsidRDefault="0065609F" w:rsidP="00762261">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the use does not disturb the amosite.</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305</w:t>
            </w: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Benzidine [92-87-5] and its salts, including benzidine dihydrochloride [531-85-1]</w:t>
            </w:r>
          </w:p>
        </w:tc>
        <w:tc>
          <w:tcPr>
            <w:tcW w:w="4793" w:type="dxa"/>
            <w:gridSpan w:val="2"/>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Bona fide research</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306</w:t>
            </w: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bis (Chloromethyl) ether [542-88-1]</w:t>
            </w:r>
          </w:p>
        </w:tc>
        <w:tc>
          <w:tcPr>
            <w:tcW w:w="4793" w:type="dxa"/>
            <w:gridSpan w:val="2"/>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Bona fide research</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307</w:t>
            </w: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Chloromethyl methyl ether (technical grade containing bis (chloromethyl) ether) [107-30-2]</w:t>
            </w:r>
          </w:p>
        </w:tc>
        <w:tc>
          <w:tcPr>
            <w:tcW w:w="4793" w:type="dxa"/>
            <w:gridSpan w:val="2"/>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Bona fide research</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308</w:t>
            </w: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Crocidolite (blue asbestos) [12001-28-4]</w:t>
            </w: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1</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Bona fide research.</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2</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Handling for storage prior to removal or disposal of crocidolite.</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Storage prior to removal or disposal of crocidolite.</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4</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Removal or disposal of crocidolite in accordance with a law of a State or Territory relating to the removal of asbestos.</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5</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Disturbance of naturally occurring crocidolite that is incidental to operations not related to the extraction or processing of crocidolite, for example, roadworks.</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6</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Use (without disturbance) of crocidolite in products that are in situ.</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309</w:t>
            </w: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4-Dimethylaminoazo-benzene [60-11-7]</w:t>
            </w:r>
          </w:p>
        </w:tc>
        <w:tc>
          <w:tcPr>
            <w:tcW w:w="4793" w:type="dxa"/>
            <w:gridSpan w:val="2"/>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Bona fide research</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310</w:t>
            </w: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2-Naphthylamine [91-59-8] and its salts</w:t>
            </w:r>
          </w:p>
        </w:tc>
        <w:tc>
          <w:tcPr>
            <w:tcW w:w="4793" w:type="dxa"/>
            <w:gridSpan w:val="2"/>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Bona fide research</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311</w:t>
            </w: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4-Nitrodiphenyl [92-93-3]</w:t>
            </w:r>
          </w:p>
        </w:tc>
        <w:tc>
          <w:tcPr>
            <w:tcW w:w="4793" w:type="dxa"/>
            <w:gridSpan w:val="2"/>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Bona fide research</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312</w:t>
            </w: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Actinolite asbestos [77536-66-4]</w:t>
            </w: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1</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Bona fide research.</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2</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Handling for storage prior to removal or disposal of actinolite.</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Storage prior to removal or disposal of actinolite.</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4</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Removal or disposal of actinolite in accordance with a law of a State or Territory relating to the removal of asbestos.</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5</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Disturbance of naturally occurring actinolite that is incidental to operations not related to the extraction or processing of actinolite, for example, roadworks.</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6</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Use (without disturbance) of actinolite in products that are in situ.</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313</w:t>
            </w: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Anthophyllite asbestos [77536-67-5]</w:t>
            </w: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1</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Bona fide research.</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2</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Handling for storage prior to removal or disposal of anthophyllite.</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Storage prior to removal or disposal of anthophyllite.</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4</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Removal or disposal of anthophyllite in accordance with a law of a State or Territory relating to the removal of asbestos.</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5</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Disturbance of naturally occurring anthophyllite that is incidental to operations not related to the extraction or processing of anthophyllite, for example, roadworks.</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6</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Use (without disturbance) of anthophyllite in products that are in situ.</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314</w:t>
            </w: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Chrysotile (white asbestos) [12001-29-5]</w:t>
            </w: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1</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Bona fide research.</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2</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Handling for storage prior to removal or disposal of chrysotile.</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Storage prior to removal or disposal of chrysotile.</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4</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Removal or disposal of chrysotile in accordance with a law of a State or Territory relating to the removal of asbestos.</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5</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Disturbance of naturally occurring chrysotile that is incidental to operations not related to the extraction or processing of chrysotile, for example, road works.</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6</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Use (without disturbance) of chrysotile in products that are in situ.</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315</w:t>
            </w: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Tremolite asbestos [77536-68-6]</w:t>
            </w: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1</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Bona fide research.</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2</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Handling for storage prior to removal or disposal of tremolite.</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3</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Storage prior to removal or disposal of tremolite.</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4</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Removal or disposal of tremolite in accordance with a law of a State or Territory relating to the removal of asbestos.</w:t>
            </w:r>
          </w:p>
        </w:tc>
      </w:tr>
      <w:tr w:rsidR="0065609F" w:rsidTr="00232EEC">
        <w:tc>
          <w:tcPr>
            <w:tcW w:w="806"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5</w:t>
            </w:r>
          </w:p>
        </w:tc>
        <w:tc>
          <w:tcPr>
            <w:tcW w:w="4343" w:type="dxa"/>
            <w:tcBorders>
              <w:top w:val="nil"/>
              <w:left w:val="nil"/>
              <w:bottom w:val="nil"/>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Disturbance of naturally occurring tremolite that is incidental to operations not related to the extraction or processing of tremolite, for example, roadworks.</w:t>
            </w:r>
          </w:p>
        </w:tc>
      </w:tr>
      <w:tr w:rsidR="0065609F" w:rsidTr="00232EEC">
        <w:tc>
          <w:tcPr>
            <w:tcW w:w="806" w:type="dxa"/>
            <w:tcBorders>
              <w:top w:val="nil"/>
              <w:left w:val="nil"/>
              <w:bottom w:val="single" w:sz="4" w:space="0" w:color="auto"/>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3185" w:type="dxa"/>
            <w:tcBorders>
              <w:top w:val="nil"/>
              <w:left w:val="nil"/>
              <w:bottom w:val="single" w:sz="4" w:space="0" w:color="auto"/>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p>
        </w:tc>
        <w:tc>
          <w:tcPr>
            <w:tcW w:w="450" w:type="dxa"/>
            <w:tcBorders>
              <w:top w:val="nil"/>
              <w:left w:val="nil"/>
              <w:bottom w:val="single" w:sz="4" w:space="0" w:color="auto"/>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6</w:t>
            </w:r>
          </w:p>
        </w:tc>
        <w:tc>
          <w:tcPr>
            <w:tcW w:w="4343" w:type="dxa"/>
            <w:tcBorders>
              <w:top w:val="nil"/>
              <w:left w:val="nil"/>
              <w:bottom w:val="single" w:sz="4" w:space="0" w:color="auto"/>
              <w:right w:val="nil"/>
            </w:tcBorders>
          </w:tcPr>
          <w:p w:rsidR="0065609F" w:rsidRDefault="0065609F" w:rsidP="00762261">
            <w:pPr>
              <w:keepLines/>
              <w:autoSpaceDE w:val="0"/>
              <w:autoSpaceDN w:val="0"/>
              <w:adjustRightInd w:val="0"/>
              <w:spacing w:before="120" w:after="0" w:line="240" w:lineRule="auto"/>
              <w:jc w:val="left"/>
              <w:rPr>
                <w:color w:val="000000"/>
                <w:sz w:val="20"/>
                <w:szCs w:val="20"/>
              </w:rPr>
            </w:pPr>
            <w:r>
              <w:rPr>
                <w:color w:val="000000"/>
                <w:sz w:val="20"/>
                <w:szCs w:val="20"/>
              </w:rPr>
              <w:t>Use (without disturbance) of tremolite in products that are in situ.</w:t>
            </w:r>
          </w:p>
        </w:tc>
      </w:tr>
    </w:tbl>
    <w:p w:rsidR="005E4169" w:rsidRDefault="005E4169" w:rsidP="0065609F">
      <w:pPr>
        <w:keepNext/>
        <w:keepLines/>
        <w:autoSpaceDE w:val="0"/>
        <w:autoSpaceDN w:val="0"/>
        <w:adjustRightInd w:val="0"/>
        <w:spacing w:before="120" w:after="0" w:line="240" w:lineRule="auto"/>
        <w:ind w:left="794" w:hanging="794"/>
        <w:rPr>
          <w:b/>
          <w:bCs/>
          <w:color w:val="000000"/>
          <w:sz w:val="20"/>
          <w:szCs w:val="20"/>
        </w:rPr>
      </w:pPr>
    </w:p>
    <w:p w:rsidR="005E4169" w:rsidRDefault="005E4169">
      <w:pPr>
        <w:spacing w:after="0" w:line="240" w:lineRule="auto"/>
        <w:jc w:val="left"/>
        <w:rPr>
          <w:b/>
          <w:bCs/>
          <w:color w:val="000000"/>
          <w:sz w:val="20"/>
          <w:szCs w:val="20"/>
        </w:rPr>
      </w:pPr>
      <w:r>
        <w:rPr>
          <w:b/>
          <w:bCs/>
          <w:color w:val="000000"/>
          <w:sz w:val="20"/>
          <w:szCs w:val="20"/>
        </w:rPr>
        <w:br w:type="page"/>
      </w:r>
    </w:p>
    <w:p w:rsidR="005E4169" w:rsidRDefault="005E4169" w:rsidP="005E4169">
      <w:pPr>
        <w:pStyle w:val="RegSpace"/>
      </w:pPr>
    </w:p>
    <w:p w:rsidR="0065609F" w:rsidRDefault="0065609F" w:rsidP="00944456">
      <w:pPr>
        <w:keepNext/>
        <w:keepLines/>
        <w:autoSpaceDE w:val="0"/>
        <w:autoSpaceDN w:val="0"/>
        <w:adjustRightInd w:val="0"/>
        <w:spacing w:before="120" w:after="0" w:line="240" w:lineRule="auto"/>
        <w:ind w:left="794" w:hanging="794"/>
        <w:jc w:val="left"/>
        <w:rPr>
          <w:b/>
          <w:bCs/>
          <w:color w:val="000000"/>
          <w:sz w:val="20"/>
          <w:szCs w:val="20"/>
        </w:rPr>
      </w:pPr>
      <w:r>
        <w:rPr>
          <w:b/>
          <w:bCs/>
          <w:color w:val="000000"/>
          <w:sz w:val="20"/>
          <w:szCs w:val="20"/>
        </w:rPr>
        <w:t>Note—</w:t>
      </w:r>
    </w:p>
    <w:p w:rsidR="0065609F" w:rsidRDefault="0065609F" w:rsidP="00944456">
      <w:pPr>
        <w:keepLines/>
        <w:autoSpaceDE w:val="0"/>
        <w:autoSpaceDN w:val="0"/>
        <w:adjustRightInd w:val="0"/>
        <w:spacing w:before="120" w:after="0" w:line="240" w:lineRule="auto"/>
        <w:ind w:left="794"/>
        <w:jc w:val="left"/>
        <w:rPr>
          <w:color w:val="000000"/>
          <w:sz w:val="20"/>
          <w:szCs w:val="20"/>
        </w:rPr>
      </w:pPr>
      <w:r>
        <w:rPr>
          <w:color w:val="000000"/>
          <w:sz w:val="20"/>
          <w:szCs w:val="20"/>
        </w:rPr>
        <w:t>This Part sets out the prohibitions and permitted uses that apply to all Australian workplaces under a national agreement. However, not all items and permitted uses are relevant to offshore petroleum operations.</w:t>
      </w:r>
    </w:p>
    <w:p w:rsidR="0065609F" w:rsidRDefault="0065609F" w:rsidP="00944456">
      <w:pPr>
        <w:keepNext/>
        <w:keepLines/>
        <w:autoSpaceDE w:val="0"/>
        <w:autoSpaceDN w:val="0"/>
        <w:adjustRightInd w:val="0"/>
        <w:spacing w:before="280" w:after="0" w:line="240" w:lineRule="auto"/>
        <w:ind w:left="567" w:hanging="567"/>
        <w:jc w:val="left"/>
        <w:rPr>
          <w:b/>
          <w:bCs/>
          <w:color w:val="000000"/>
          <w:sz w:val="32"/>
          <w:szCs w:val="32"/>
        </w:rPr>
      </w:pPr>
      <w:bookmarkStart w:id="723" w:name="Elkera_Print_TOC343"/>
      <w:bookmarkStart w:id="724" w:name="id49d69573_10c5_44e2_8c2d_13fb805962"/>
      <w:r>
        <w:rPr>
          <w:b/>
          <w:bCs/>
          <w:color w:val="000000"/>
          <w:sz w:val="32"/>
          <w:szCs w:val="32"/>
        </w:rPr>
        <w:t>Schedule 2—Forms</w:t>
      </w:r>
      <w:bookmarkEnd w:id="723"/>
      <w:bookmarkEnd w:id="724"/>
    </w:p>
    <w:p w:rsidR="0065609F" w:rsidRDefault="0065609F" w:rsidP="00944456">
      <w:pPr>
        <w:keepNext/>
        <w:keepLines/>
        <w:autoSpaceDE w:val="0"/>
        <w:autoSpaceDN w:val="0"/>
        <w:adjustRightInd w:val="0"/>
        <w:spacing w:before="240" w:after="0" w:line="240" w:lineRule="auto"/>
        <w:jc w:val="left"/>
        <w:rPr>
          <w:b/>
          <w:bCs/>
          <w:color w:val="000000"/>
          <w:sz w:val="23"/>
          <w:szCs w:val="23"/>
        </w:rPr>
      </w:pPr>
      <w:r>
        <w:rPr>
          <w:b/>
          <w:bCs/>
          <w:color w:val="000000"/>
          <w:sz w:val="26"/>
          <w:szCs w:val="26"/>
        </w:rPr>
        <w:t>Form 1—Provisional improvement notice</w:t>
      </w:r>
    </w:p>
    <w:p w:rsidR="0065609F" w:rsidRDefault="00123FDA" w:rsidP="00944456">
      <w:pPr>
        <w:keepLines/>
        <w:autoSpaceDE w:val="0"/>
        <w:autoSpaceDN w:val="0"/>
        <w:adjustRightInd w:val="0"/>
        <w:spacing w:before="120" w:after="0" w:line="240" w:lineRule="auto"/>
        <w:jc w:val="left"/>
        <w:rPr>
          <w:color w:val="000000"/>
          <w:sz w:val="23"/>
          <w:szCs w:val="23"/>
        </w:rPr>
      </w:pPr>
      <w:hyperlink r:id="rId48" w:history="1">
        <w:r w:rsidR="0065609F">
          <w:rPr>
            <w:i/>
            <w:iCs/>
            <w:color w:val="000000"/>
            <w:sz w:val="23"/>
            <w:szCs w:val="23"/>
          </w:rPr>
          <w:t>Petroleum (Submerged Lands) Act 1982</w:t>
        </w:r>
      </w:hyperlink>
    </w:p>
    <w:p w:rsidR="0065609F" w:rsidRDefault="0065609F" w:rsidP="00944456">
      <w:pPr>
        <w:keepNext/>
        <w:keepLines/>
        <w:autoSpaceDE w:val="0"/>
        <w:autoSpaceDN w:val="0"/>
        <w:adjustRightInd w:val="0"/>
        <w:spacing w:before="120" w:after="0" w:line="240" w:lineRule="auto"/>
        <w:jc w:val="left"/>
        <w:rPr>
          <w:color w:val="000000"/>
          <w:sz w:val="23"/>
          <w:szCs w:val="23"/>
        </w:rPr>
      </w:pPr>
      <w:r>
        <w:rPr>
          <w:color w:val="000000"/>
          <w:sz w:val="23"/>
          <w:szCs w:val="23"/>
        </w:rPr>
        <w:t>To:</w:t>
      </w:r>
    </w:p>
    <w:p w:rsidR="0065609F" w:rsidRDefault="0065609F" w:rsidP="00944456">
      <w:pPr>
        <w:keepLines/>
        <w:autoSpaceDE w:val="0"/>
        <w:autoSpaceDN w:val="0"/>
        <w:adjustRightInd w:val="0"/>
        <w:spacing w:after="0" w:line="240" w:lineRule="auto"/>
        <w:jc w:val="left"/>
        <w:rPr>
          <w:color w:val="000000"/>
          <w:sz w:val="23"/>
          <w:szCs w:val="23"/>
        </w:rPr>
      </w:pPr>
      <w:r>
        <w:rPr>
          <w:i/>
          <w:iCs/>
          <w:color w:val="000000"/>
          <w:sz w:val="23"/>
          <w:szCs w:val="23"/>
        </w:rPr>
        <w:t>[the responsible person within the meaning of clause 37(2) of Schedule 7 of the Act]</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 xml:space="preserve">I, </w:t>
      </w:r>
      <w:r>
        <w:rPr>
          <w:i/>
          <w:iCs/>
          <w:color w:val="000000"/>
          <w:sz w:val="23"/>
          <w:szCs w:val="23"/>
        </w:rPr>
        <w:t>[name of the health and safety representative issuing the notice]</w:t>
      </w:r>
      <w:r>
        <w:rPr>
          <w:color w:val="000000"/>
          <w:sz w:val="23"/>
          <w:szCs w:val="23"/>
        </w:rPr>
        <w:t xml:space="preserve">, selected as the health and safety representative under clause 24 or 25 of Schedule 7 of the Act for </w:t>
      </w:r>
      <w:r>
        <w:rPr>
          <w:i/>
          <w:iCs/>
          <w:color w:val="000000"/>
          <w:sz w:val="23"/>
          <w:szCs w:val="23"/>
        </w:rPr>
        <w:t>[description of the designated work group]</w:t>
      </w:r>
      <w:r>
        <w:rPr>
          <w:color w:val="000000"/>
          <w:sz w:val="23"/>
          <w:szCs w:val="23"/>
        </w:rPr>
        <w:t>, after consultation in accordance with clause 37(1) of Schedule 7 of the Act, believe that the following provision, or provisions, of the Act or regulations is, or are, being contravened or is, or are, likely to continue to be contravened:</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 xml:space="preserve">The contravention is </w:t>
      </w:r>
      <w:r>
        <w:rPr>
          <w:i/>
          <w:iCs/>
          <w:color w:val="000000"/>
          <w:sz w:val="23"/>
          <w:szCs w:val="23"/>
        </w:rPr>
        <w:t>[a brief description]</w:t>
      </w:r>
      <w:r>
        <w:rPr>
          <w:color w:val="000000"/>
          <w:sz w:val="23"/>
          <w:szCs w:val="23"/>
        </w:rPr>
        <w:t>:</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 xml:space="preserve">The contravention is occurring at </w:t>
      </w:r>
      <w:r>
        <w:rPr>
          <w:i/>
          <w:iCs/>
          <w:color w:val="000000"/>
          <w:sz w:val="23"/>
          <w:szCs w:val="23"/>
        </w:rPr>
        <w:t>[location]</w:t>
      </w:r>
      <w:r>
        <w:rPr>
          <w:color w:val="000000"/>
          <w:sz w:val="23"/>
          <w:szCs w:val="23"/>
        </w:rPr>
        <w:t>:</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The reasons for my opinion are as follows:</w:t>
      </w:r>
    </w:p>
    <w:p w:rsidR="0065609F" w:rsidRDefault="0065609F" w:rsidP="00944456">
      <w:pPr>
        <w:keepNext/>
        <w:keepLines/>
        <w:autoSpaceDE w:val="0"/>
        <w:autoSpaceDN w:val="0"/>
        <w:adjustRightInd w:val="0"/>
        <w:spacing w:before="120" w:after="0" w:line="240" w:lineRule="auto"/>
        <w:jc w:val="left"/>
        <w:rPr>
          <w:color w:val="000000"/>
          <w:sz w:val="23"/>
          <w:szCs w:val="23"/>
        </w:rPr>
      </w:pPr>
      <w:r>
        <w:rPr>
          <w:color w:val="000000"/>
          <w:sz w:val="23"/>
          <w:szCs w:val="23"/>
        </w:rPr>
        <w:t>In accordance with clause 37(5)(b) of Schedule 7 of the Act, action necessary to prevent the contravention, or the likely contravention, of the provision or provisions referred to above must be taken before (the date of a day that is—</w:t>
      </w:r>
    </w:p>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(a)</w:t>
      </w:r>
      <w:r>
        <w:rPr>
          <w:color w:val="000000"/>
          <w:sz w:val="23"/>
          <w:szCs w:val="23"/>
        </w:rPr>
        <w:tab/>
        <w:t>not less than 7 days after the day when the notice is issued; and</w:t>
      </w:r>
    </w:p>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(b)</w:t>
      </w:r>
      <w:r>
        <w:rPr>
          <w:color w:val="000000"/>
          <w:sz w:val="23"/>
          <w:szCs w:val="23"/>
        </w:rPr>
        <w:tab/>
        <w:t>reasonable in the opinion of the health and safety representative).</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In accordance with clause 37(6) of Schedule 7 of the Act, I specify the following action to be taken:</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Dated:</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 xml:space="preserve">Signed: </w:t>
      </w:r>
      <w:r>
        <w:rPr>
          <w:i/>
          <w:iCs/>
          <w:color w:val="000000"/>
          <w:sz w:val="23"/>
          <w:szCs w:val="23"/>
        </w:rPr>
        <w:t>[signature of health and safety representative]</w:t>
      </w:r>
    </w:p>
    <w:p w:rsidR="0065609F" w:rsidRDefault="0065609F" w:rsidP="00944456">
      <w:pPr>
        <w:keepNext/>
        <w:keepLines/>
        <w:autoSpaceDE w:val="0"/>
        <w:autoSpaceDN w:val="0"/>
        <w:adjustRightInd w:val="0"/>
        <w:spacing w:before="120" w:after="0" w:line="240" w:lineRule="auto"/>
        <w:ind w:left="794" w:hanging="794"/>
        <w:jc w:val="left"/>
        <w:rPr>
          <w:b/>
          <w:bCs/>
          <w:color w:val="000000"/>
          <w:sz w:val="20"/>
          <w:szCs w:val="20"/>
        </w:rPr>
      </w:pPr>
      <w:r>
        <w:rPr>
          <w:b/>
          <w:bCs/>
          <w:color w:val="000000"/>
          <w:sz w:val="20"/>
          <w:szCs w:val="20"/>
        </w:rPr>
        <w:t>Notes—</w:t>
      </w: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1.</w:t>
      </w:r>
      <w:r>
        <w:rPr>
          <w:color w:val="000000"/>
          <w:sz w:val="20"/>
          <w:szCs w:val="20"/>
        </w:rPr>
        <w:tab/>
        <w:t>Under clause 38(1) of Schedule 7 of the Act, a person to whom a provisional improvement notice is given may, within 7 days, request the Safety Authority or an OHS inspector to conduct an investigation into the subject matter of the notice.</w:t>
      </w: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2.</w:t>
      </w:r>
      <w:r>
        <w:rPr>
          <w:color w:val="000000"/>
          <w:sz w:val="20"/>
          <w:szCs w:val="20"/>
        </w:rPr>
        <w:tab/>
        <w:t>Clause 38(5) of Schedule 7 of the Act requires a responsible person to whom a provisional improvement notice is given—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to notify each group member affected by the notice of the fact that the notice has been issued; and</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to display a copy of the notice at or near each workplace at which work that is the subject of the notice is being performed.</w:t>
      </w:r>
    </w:p>
    <w:p w:rsidR="00434BFE" w:rsidRDefault="00434BFE" w:rsidP="00944456">
      <w:pPr>
        <w:spacing w:after="0" w:line="240" w:lineRule="auto"/>
        <w:jc w:val="left"/>
        <w:rPr>
          <w:color w:val="000000"/>
          <w:sz w:val="20"/>
          <w:szCs w:val="20"/>
        </w:rPr>
      </w:pPr>
      <w:r>
        <w:rPr>
          <w:color w:val="000000"/>
          <w:sz w:val="20"/>
          <w:szCs w:val="20"/>
        </w:rPr>
        <w:br w:type="page"/>
      </w:r>
    </w:p>
    <w:p w:rsidR="00434BFE" w:rsidRDefault="00434BFE" w:rsidP="00944456">
      <w:pPr>
        <w:pStyle w:val="RegSpace"/>
        <w:jc w:val="left"/>
      </w:pP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3.</w:t>
      </w:r>
      <w:r>
        <w:rPr>
          <w:color w:val="000000"/>
          <w:sz w:val="20"/>
          <w:szCs w:val="20"/>
        </w:rPr>
        <w:tab/>
        <w:t>Under clause 38(6) of Schedule 7 of the Act, a provisional improvement notice ceases to have effect when—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it is cancelled by the health and safety representative or an OHS inspector; and</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the responsible person takes the action specified in the notice, or if no action is specified, takes the action that is necessary to prevent the contravention, or likely contravention, with which the notice is concerned.</w:t>
      </w: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4.</w:t>
      </w:r>
      <w:r>
        <w:rPr>
          <w:color w:val="000000"/>
          <w:sz w:val="20"/>
          <w:szCs w:val="20"/>
        </w:rPr>
        <w:tab/>
        <w:t>Clause 38(7) of Schedule 7 of the Act requires the responsible person—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to ensure, as far as possible, that a provisional improvement notice is complied with; and</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to inform the health and safety representative who issued the notice of the action taken to comply with the notice.</w:t>
      </w: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5.</w:t>
      </w:r>
      <w:r>
        <w:rPr>
          <w:color w:val="000000"/>
          <w:sz w:val="20"/>
          <w:szCs w:val="20"/>
        </w:rPr>
        <w:tab/>
        <w:t>Under clause 65 of Schedule 7 of the Act, if an OHS inspector has confirmed or varied a provisional improvement notice—</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the operator of the facility or an employer affected by the decision; or</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the health and safety representative for a designated work group that includes a group member affected by the decision; or</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the owner of any plant substances or thing to which that decision relates; or</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the person to whom the notice was issued; or</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a workforce representative in relation to the designated work group that includes a group member affected by the decision; or</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if there is no designated work group—a workforce representative in relation to a member of the workforce affected by the decision,</w:t>
      </w:r>
    </w:p>
    <w:p w:rsidR="0065609F" w:rsidRDefault="0065609F" w:rsidP="00944456">
      <w:pPr>
        <w:keepLines/>
        <w:autoSpaceDE w:val="0"/>
        <w:autoSpaceDN w:val="0"/>
        <w:adjustRightInd w:val="0"/>
        <w:spacing w:before="120" w:after="0" w:line="240" w:lineRule="auto"/>
        <w:ind w:left="1588"/>
        <w:jc w:val="left"/>
        <w:rPr>
          <w:color w:val="000000"/>
          <w:sz w:val="20"/>
          <w:szCs w:val="20"/>
        </w:rPr>
      </w:pPr>
      <w:r>
        <w:rPr>
          <w:color w:val="000000"/>
          <w:sz w:val="20"/>
          <w:szCs w:val="20"/>
        </w:rPr>
        <w:t>may request the Australian Industrial Relations Commission in writing to review the OHS inspector's decision.</w:t>
      </w:r>
    </w:p>
    <w:p w:rsidR="0065609F" w:rsidRDefault="0065609F" w:rsidP="00944456">
      <w:pPr>
        <w:keepNext/>
        <w:keepLines/>
        <w:autoSpaceDE w:val="0"/>
        <w:autoSpaceDN w:val="0"/>
        <w:adjustRightInd w:val="0"/>
        <w:spacing w:before="240" w:after="0" w:line="240" w:lineRule="auto"/>
        <w:jc w:val="left"/>
        <w:rPr>
          <w:b/>
          <w:bCs/>
          <w:color w:val="000000"/>
          <w:sz w:val="23"/>
          <w:szCs w:val="23"/>
        </w:rPr>
      </w:pPr>
      <w:r>
        <w:rPr>
          <w:b/>
          <w:bCs/>
          <w:color w:val="000000"/>
          <w:sz w:val="26"/>
          <w:szCs w:val="26"/>
        </w:rPr>
        <w:t>Form 2—Notice of removal of plant or sample</w:t>
      </w:r>
    </w:p>
    <w:p w:rsidR="0065609F" w:rsidRDefault="00123FDA" w:rsidP="00944456">
      <w:pPr>
        <w:keepLines/>
        <w:autoSpaceDE w:val="0"/>
        <w:autoSpaceDN w:val="0"/>
        <w:adjustRightInd w:val="0"/>
        <w:spacing w:before="120" w:after="0" w:line="240" w:lineRule="auto"/>
        <w:jc w:val="left"/>
        <w:rPr>
          <w:color w:val="000000"/>
          <w:sz w:val="23"/>
          <w:szCs w:val="23"/>
        </w:rPr>
      </w:pPr>
      <w:hyperlink r:id="rId49" w:history="1">
        <w:r w:rsidR="0065609F">
          <w:rPr>
            <w:i/>
            <w:iCs/>
            <w:color w:val="000000"/>
            <w:sz w:val="23"/>
            <w:szCs w:val="23"/>
          </w:rPr>
          <w:t>Petroleum (Submerged Lands) Act 1982</w:t>
        </w:r>
      </w:hyperlink>
    </w:p>
    <w:p w:rsidR="0065609F" w:rsidRDefault="0065609F" w:rsidP="00944456">
      <w:pPr>
        <w:keepNext/>
        <w:keepLines/>
        <w:autoSpaceDE w:val="0"/>
        <w:autoSpaceDN w:val="0"/>
        <w:adjustRightInd w:val="0"/>
        <w:spacing w:before="120" w:after="0" w:line="240" w:lineRule="auto"/>
        <w:jc w:val="left"/>
        <w:rPr>
          <w:color w:val="000000"/>
          <w:sz w:val="23"/>
          <w:szCs w:val="23"/>
        </w:rPr>
      </w:pPr>
      <w:r>
        <w:rPr>
          <w:color w:val="000000"/>
          <w:sz w:val="23"/>
          <w:szCs w:val="23"/>
        </w:rPr>
        <w:t>To:</w:t>
      </w:r>
    </w:p>
    <w:p w:rsidR="0065609F" w:rsidRDefault="0065609F" w:rsidP="00944456">
      <w:pPr>
        <w:keepLines/>
        <w:autoSpaceDE w:val="0"/>
        <w:autoSpaceDN w:val="0"/>
        <w:adjustRightInd w:val="0"/>
        <w:spacing w:after="0" w:line="240" w:lineRule="auto"/>
        <w:jc w:val="left"/>
        <w:rPr>
          <w:color w:val="000000"/>
          <w:sz w:val="23"/>
          <w:szCs w:val="23"/>
        </w:rPr>
      </w:pPr>
      <w:r>
        <w:rPr>
          <w:i/>
          <w:iCs/>
          <w:color w:val="000000"/>
          <w:sz w:val="23"/>
          <w:szCs w:val="23"/>
        </w:rPr>
        <w:t>[name of operator, employer or owner of the plant, substance or thing (if applicable)]</w:t>
      </w:r>
    </w:p>
    <w:p w:rsidR="0065609F" w:rsidRDefault="0065609F" w:rsidP="00944456">
      <w:pPr>
        <w:keepNext/>
        <w:keepLines/>
        <w:autoSpaceDE w:val="0"/>
        <w:autoSpaceDN w:val="0"/>
        <w:adjustRightInd w:val="0"/>
        <w:spacing w:before="120" w:after="0" w:line="240" w:lineRule="auto"/>
        <w:jc w:val="left"/>
        <w:rPr>
          <w:color w:val="000000"/>
          <w:sz w:val="23"/>
          <w:szCs w:val="23"/>
        </w:rPr>
      </w:pPr>
      <w:r>
        <w:rPr>
          <w:color w:val="000000"/>
          <w:sz w:val="23"/>
          <w:szCs w:val="23"/>
        </w:rPr>
        <w:t>and</w:t>
      </w:r>
    </w:p>
    <w:p w:rsidR="0065609F" w:rsidRDefault="0065609F" w:rsidP="00944456">
      <w:pPr>
        <w:keepLines/>
        <w:autoSpaceDE w:val="0"/>
        <w:autoSpaceDN w:val="0"/>
        <w:adjustRightInd w:val="0"/>
        <w:spacing w:after="0" w:line="240" w:lineRule="auto"/>
        <w:jc w:val="left"/>
        <w:rPr>
          <w:color w:val="000000"/>
          <w:sz w:val="23"/>
          <w:szCs w:val="23"/>
        </w:rPr>
      </w:pPr>
      <w:r>
        <w:rPr>
          <w:i/>
          <w:iCs/>
          <w:color w:val="000000"/>
          <w:sz w:val="23"/>
          <w:szCs w:val="23"/>
        </w:rPr>
        <w:t>[name of health and safety representative for designated workgroup]</w:t>
      </w:r>
    </w:p>
    <w:p w:rsidR="0065609F" w:rsidRDefault="0065609F" w:rsidP="00944456">
      <w:pPr>
        <w:keepNext/>
        <w:keepLines/>
        <w:autoSpaceDE w:val="0"/>
        <w:autoSpaceDN w:val="0"/>
        <w:adjustRightInd w:val="0"/>
        <w:spacing w:before="120" w:after="0" w:line="240" w:lineRule="auto"/>
        <w:jc w:val="left"/>
        <w:rPr>
          <w:color w:val="000000"/>
          <w:sz w:val="23"/>
          <w:szCs w:val="23"/>
        </w:rPr>
      </w:pPr>
      <w:r>
        <w:rPr>
          <w:color w:val="000000"/>
          <w:sz w:val="23"/>
          <w:szCs w:val="23"/>
        </w:rPr>
        <w:t xml:space="preserve">I, </w:t>
      </w:r>
      <w:r>
        <w:rPr>
          <w:i/>
          <w:iCs/>
          <w:color w:val="000000"/>
          <w:sz w:val="23"/>
          <w:szCs w:val="23"/>
        </w:rPr>
        <w:t>[name of OHS inspector]</w:t>
      </w:r>
      <w:r>
        <w:rPr>
          <w:color w:val="000000"/>
          <w:sz w:val="23"/>
          <w:szCs w:val="23"/>
        </w:rPr>
        <w:t>, an OHS inspector within the meaning of the Act, in the course of conducting an inspection under clause 48 of Schedule 7 of the Act, have taken possession of:</w:t>
      </w:r>
    </w:p>
    <w:p w:rsidR="0065609F" w:rsidRDefault="0065609F" w:rsidP="00944456">
      <w:pPr>
        <w:keepLines/>
        <w:autoSpaceDE w:val="0"/>
        <w:autoSpaceDN w:val="0"/>
        <w:adjustRightInd w:val="0"/>
        <w:spacing w:after="0" w:line="240" w:lineRule="auto"/>
        <w:jc w:val="left"/>
        <w:rPr>
          <w:color w:val="000000"/>
          <w:sz w:val="23"/>
          <w:szCs w:val="23"/>
        </w:rPr>
      </w:pPr>
      <w:r>
        <w:rPr>
          <w:i/>
          <w:iCs/>
          <w:color w:val="000000"/>
          <w:sz w:val="23"/>
          <w:szCs w:val="23"/>
        </w:rPr>
        <w:t>[description of item removed]</w:t>
      </w:r>
    </w:p>
    <w:p w:rsidR="0065609F" w:rsidRDefault="0065609F" w:rsidP="00944456">
      <w:pPr>
        <w:keepNext/>
        <w:keepLines/>
        <w:autoSpaceDE w:val="0"/>
        <w:autoSpaceDN w:val="0"/>
        <w:adjustRightInd w:val="0"/>
        <w:spacing w:before="120" w:after="0" w:line="240" w:lineRule="auto"/>
        <w:jc w:val="left"/>
        <w:rPr>
          <w:color w:val="000000"/>
          <w:sz w:val="23"/>
          <w:szCs w:val="23"/>
        </w:rPr>
      </w:pPr>
      <w:r>
        <w:rPr>
          <w:color w:val="000000"/>
          <w:sz w:val="23"/>
          <w:szCs w:val="23"/>
        </w:rPr>
        <w:t>from the workplace at:</w:t>
      </w:r>
    </w:p>
    <w:p w:rsidR="0065609F" w:rsidRDefault="0065609F" w:rsidP="00944456">
      <w:pPr>
        <w:keepLines/>
        <w:autoSpaceDE w:val="0"/>
        <w:autoSpaceDN w:val="0"/>
        <w:adjustRightInd w:val="0"/>
        <w:spacing w:after="0" w:line="240" w:lineRule="auto"/>
        <w:jc w:val="left"/>
        <w:rPr>
          <w:color w:val="000000"/>
          <w:sz w:val="23"/>
          <w:szCs w:val="23"/>
        </w:rPr>
      </w:pPr>
      <w:r>
        <w:rPr>
          <w:i/>
          <w:iCs/>
          <w:color w:val="000000"/>
          <w:sz w:val="23"/>
          <w:szCs w:val="23"/>
        </w:rPr>
        <w:t>[address]</w:t>
      </w:r>
    </w:p>
    <w:p w:rsidR="0065609F" w:rsidRDefault="0065609F" w:rsidP="00944456">
      <w:pPr>
        <w:keepNext/>
        <w:keepLines/>
        <w:autoSpaceDE w:val="0"/>
        <w:autoSpaceDN w:val="0"/>
        <w:adjustRightInd w:val="0"/>
        <w:spacing w:before="120" w:after="0" w:line="240" w:lineRule="auto"/>
        <w:jc w:val="left"/>
        <w:rPr>
          <w:color w:val="000000"/>
          <w:sz w:val="23"/>
          <w:szCs w:val="23"/>
        </w:rPr>
      </w:pPr>
      <w:r>
        <w:rPr>
          <w:color w:val="000000"/>
          <w:sz w:val="23"/>
          <w:szCs w:val="23"/>
        </w:rPr>
        <w:t>The reason for this action is:</w:t>
      </w:r>
    </w:p>
    <w:p w:rsidR="0065609F" w:rsidRDefault="0065609F" w:rsidP="00944456">
      <w:pPr>
        <w:keepLines/>
        <w:autoSpaceDE w:val="0"/>
        <w:autoSpaceDN w:val="0"/>
        <w:adjustRightInd w:val="0"/>
        <w:spacing w:after="0" w:line="240" w:lineRule="auto"/>
        <w:jc w:val="left"/>
        <w:rPr>
          <w:color w:val="000000"/>
          <w:sz w:val="23"/>
          <w:szCs w:val="23"/>
        </w:rPr>
      </w:pPr>
      <w:r>
        <w:rPr>
          <w:i/>
          <w:iCs/>
          <w:color w:val="000000"/>
          <w:sz w:val="23"/>
          <w:szCs w:val="23"/>
        </w:rPr>
        <w:t>[explanation of why removal of item was necessary]</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Dated:</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 xml:space="preserve">Signed: </w:t>
      </w:r>
      <w:r>
        <w:rPr>
          <w:i/>
          <w:iCs/>
          <w:color w:val="000000"/>
          <w:sz w:val="23"/>
          <w:szCs w:val="23"/>
        </w:rPr>
        <w:t>[signature of OHS Inspector]</w:t>
      </w:r>
    </w:p>
    <w:p w:rsidR="0065609F" w:rsidRDefault="0065609F" w:rsidP="00944456">
      <w:pPr>
        <w:keepNext/>
        <w:keepLines/>
        <w:autoSpaceDE w:val="0"/>
        <w:autoSpaceDN w:val="0"/>
        <w:adjustRightInd w:val="0"/>
        <w:spacing w:before="120" w:after="0" w:line="240" w:lineRule="auto"/>
        <w:ind w:left="794" w:hanging="794"/>
        <w:jc w:val="left"/>
        <w:rPr>
          <w:b/>
          <w:bCs/>
          <w:color w:val="000000"/>
          <w:sz w:val="20"/>
          <w:szCs w:val="20"/>
        </w:rPr>
      </w:pPr>
      <w:r>
        <w:rPr>
          <w:b/>
          <w:bCs/>
          <w:color w:val="000000"/>
          <w:sz w:val="20"/>
          <w:szCs w:val="20"/>
        </w:rPr>
        <w:t>Notes—</w:t>
      </w: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1.</w:t>
      </w:r>
      <w:r>
        <w:rPr>
          <w:color w:val="000000"/>
          <w:sz w:val="20"/>
          <w:szCs w:val="20"/>
        </w:rPr>
        <w:tab/>
        <w:t>This notice must be displayed in a prominent place at the workplace from which the item was removed.</w:t>
      </w:r>
    </w:p>
    <w:p w:rsidR="00DA2331" w:rsidRDefault="00DA2331" w:rsidP="00944456">
      <w:pPr>
        <w:spacing w:after="0" w:line="240" w:lineRule="auto"/>
        <w:jc w:val="left"/>
        <w:rPr>
          <w:color w:val="000000"/>
          <w:sz w:val="20"/>
          <w:szCs w:val="20"/>
        </w:rPr>
      </w:pPr>
      <w:r>
        <w:rPr>
          <w:color w:val="000000"/>
          <w:sz w:val="20"/>
          <w:szCs w:val="20"/>
        </w:rPr>
        <w:br w:type="page"/>
      </w:r>
    </w:p>
    <w:p w:rsidR="00DA2331" w:rsidRDefault="00DA2331" w:rsidP="00944456">
      <w:pPr>
        <w:pStyle w:val="RegSpace"/>
        <w:jc w:val="left"/>
      </w:pP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2.</w:t>
      </w:r>
      <w:r>
        <w:rPr>
          <w:color w:val="000000"/>
          <w:sz w:val="20"/>
          <w:szCs w:val="20"/>
        </w:rPr>
        <w:tab/>
        <w:t>Under clause 63 of Schedule 7 of the Act, this notice must not be tampered with or removed until the item has been returned to the workplace.</w:t>
      </w: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3.</w:t>
      </w:r>
      <w:r>
        <w:rPr>
          <w:color w:val="000000"/>
          <w:sz w:val="20"/>
          <w:szCs w:val="20"/>
        </w:rPr>
        <w:tab/>
        <w:t>Under clause 63 of Schedule 7 of the Act, a person who tampers with, or removes, a notice, before the item has been returned to the workplace, may be liable to a penalty of not more than $11 000 in the case of a natural person or $55 000 in the case of a body corporate.</w:t>
      </w: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4.</w:t>
      </w:r>
      <w:r>
        <w:rPr>
          <w:color w:val="000000"/>
          <w:sz w:val="20"/>
          <w:szCs w:val="20"/>
        </w:rPr>
        <w:tab/>
        <w:t>Under clause 65 of Schedule 7 of the Act, any of the following persons may request the Australian Industrial Relations Commission in writing to review the OHS inspector's decision—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the operator of the facility or an employer affected by the decision;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the health and safety representative for a designated work group that includes a group member affected by the decision;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a workforce representative in relation to the designated work group that includes a group member affected by the decision;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if there is no designated work group—a workforce representative in relation to a member of the workforce affected by the decision;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the owner of any plant, substance or thing to which the OHS inspector's decision relates.</w:t>
      </w:r>
    </w:p>
    <w:p w:rsidR="0065609F" w:rsidRDefault="0065609F" w:rsidP="00944456">
      <w:pPr>
        <w:keepNext/>
        <w:keepLines/>
        <w:autoSpaceDE w:val="0"/>
        <w:autoSpaceDN w:val="0"/>
        <w:adjustRightInd w:val="0"/>
        <w:spacing w:before="240" w:after="0" w:line="240" w:lineRule="auto"/>
        <w:jc w:val="left"/>
        <w:rPr>
          <w:b/>
          <w:bCs/>
          <w:color w:val="000000"/>
          <w:sz w:val="23"/>
          <w:szCs w:val="23"/>
        </w:rPr>
      </w:pPr>
      <w:r>
        <w:rPr>
          <w:b/>
          <w:bCs/>
          <w:color w:val="000000"/>
          <w:sz w:val="26"/>
          <w:szCs w:val="26"/>
        </w:rPr>
        <w:t>Form 3—Do not disturb notice</w:t>
      </w:r>
    </w:p>
    <w:p w:rsidR="0065609F" w:rsidRDefault="00123FDA" w:rsidP="00944456">
      <w:pPr>
        <w:keepLines/>
        <w:autoSpaceDE w:val="0"/>
        <w:autoSpaceDN w:val="0"/>
        <w:adjustRightInd w:val="0"/>
        <w:spacing w:before="120" w:after="0" w:line="240" w:lineRule="auto"/>
        <w:jc w:val="left"/>
        <w:rPr>
          <w:color w:val="000000"/>
          <w:sz w:val="23"/>
          <w:szCs w:val="23"/>
        </w:rPr>
      </w:pPr>
      <w:hyperlink r:id="rId50" w:history="1">
        <w:r w:rsidR="0065609F">
          <w:rPr>
            <w:i/>
            <w:iCs/>
            <w:color w:val="000000"/>
            <w:sz w:val="23"/>
            <w:szCs w:val="23"/>
          </w:rPr>
          <w:t>Petroleum (Submerged Lands) Act 1982</w:t>
        </w:r>
      </w:hyperlink>
    </w:p>
    <w:p w:rsidR="0065609F" w:rsidRDefault="0065609F" w:rsidP="00944456">
      <w:pPr>
        <w:keepNext/>
        <w:keepLines/>
        <w:autoSpaceDE w:val="0"/>
        <w:autoSpaceDN w:val="0"/>
        <w:adjustRightInd w:val="0"/>
        <w:spacing w:before="120" w:after="0" w:line="240" w:lineRule="auto"/>
        <w:jc w:val="left"/>
        <w:rPr>
          <w:color w:val="000000"/>
          <w:sz w:val="23"/>
          <w:szCs w:val="23"/>
        </w:rPr>
      </w:pPr>
      <w:r>
        <w:rPr>
          <w:color w:val="000000"/>
          <w:sz w:val="23"/>
          <w:szCs w:val="23"/>
        </w:rPr>
        <w:t>To:</w:t>
      </w:r>
    </w:p>
    <w:p w:rsidR="0065609F" w:rsidRDefault="0065609F" w:rsidP="00944456">
      <w:pPr>
        <w:keepLines/>
        <w:autoSpaceDE w:val="0"/>
        <w:autoSpaceDN w:val="0"/>
        <w:adjustRightInd w:val="0"/>
        <w:spacing w:after="0" w:line="240" w:lineRule="auto"/>
        <w:jc w:val="left"/>
        <w:rPr>
          <w:color w:val="000000"/>
          <w:sz w:val="23"/>
          <w:szCs w:val="23"/>
        </w:rPr>
      </w:pPr>
      <w:r>
        <w:rPr>
          <w:i/>
          <w:iCs/>
          <w:color w:val="000000"/>
          <w:sz w:val="23"/>
          <w:szCs w:val="23"/>
        </w:rPr>
        <w:t>[name of operator's representative at the facility]</w:t>
      </w:r>
    </w:p>
    <w:p w:rsidR="0065609F" w:rsidRDefault="0065609F" w:rsidP="00944456">
      <w:pPr>
        <w:keepNext/>
        <w:keepLines/>
        <w:autoSpaceDE w:val="0"/>
        <w:autoSpaceDN w:val="0"/>
        <w:adjustRightInd w:val="0"/>
        <w:spacing w:before="120" w:after="0" w:line="240" w:lineRule="auto"/>
        <w:jc w:val="left"/>
        <w:rPr>
          <w:color w:val="000000"/>
          <w:sz w:val="23"/>
          <w:szCs w:val="23"/>
        </w:rPr>
      </w:pPr>
      <w:r>
        <w:rPr>
          <w:color w:val="000000"/>
          <w:sz w:val="23"/>
          <w:szCs w:val="23"/>
        </w:rPr>
        <w:t xml:space="preserve">I, </w:t>
      </w:r>
      <w:r>
        <w:rPr>
          <w:i/>
          <w:iCs/>
          <w:color w:val="000000"/>
          <w:sz w:val="23"/>
          <w:szCs w:val="23"/>
        </w:rPr>
        <w:t>[name of OHS inspector]</w:t>
      </w:r>
      <w:r>
        <w:rPr>
          <w:color w:val="000000"/>
          <w:sz w:val="23"/>
          <w:szCs w:val="23"/>
        </w:rPr>
        <w:t xml:space="preserve"> an OHS inspector within the meaning of the Act, direct that:</w:t>
      </w:r>
    </w:p>
    <w:p w:rsidR="0065609F" w:rsidRDefault="0065609F" w:rsidP="00944456">
      <w:pPr>
        <w:keepLines/>
        <w:autoSpaceDE w:val="0"/>
        <w:autoSpaceDN w:val="0"/>
        <w:adjustRightInd w:val="0"/>
        <w:spacing w:after="0" w:line="240" w:lineRule="auto"/>
        <w:jc w:val="left"/>
        <w:rPr>
          <w:color w:val="000000"/>
          <w:sz w:val="23"/>
          <w:szCs w:val="23"/>
        </w:rPr>
      </w:pPr>
      <w:r>
        <w:rPr>
          <w:i/>
          <w:iCs/>
          <w:color w:val="000000"/>
          <w:sz w:val="23"/>
          <w:szCs w:val="23"/>
        </w:rPr>
        <w:t>[description of the affected workplace or part of workplace, plant, substance or thing]</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 xml:space="preserve">is not to be disturbed during the period from </w:t>
      </w:r>
      <w:r>
        <w:rPr>
          <w:i/>
          <w:iCs/>
          <w:color w:val="000000"/>
          <w:sz w:val="23"/>
          <w:szCs w:val="23"/>
        </w:rPr>
        <w:t>[insert specified time]</w:t>
      </w:r>
      <w:r>
        <w:rPr>
          <w:color w:val="000000"/>
          <w:sz w:val="23"/>
          <w:szCs w:val="23"/>
        </w:rPr>
        <w:t xml:space="preserve"> am/pm to </w:t>
      </w:r>
      <w:r>
        <w:rPr>
          <w:i/>
          <w:iCs/>
          <w:color w:val="000000"/>
          <w:sz w:val="23"/>
          <w:szCs w:val="23"/>
        </w:rPr>
        <w:t>[insert specified time]</w:t>
      </w:r>
      <w:r>
        <w:rPr>
          <w:color w:val="000000"/>
          <w:sz w:val="23"/>
          <w:szCs w:val="23"/>
        </w:rPr>
        <w:t xml:space="preserve"> am/pm on </w:t>
      </w:r>
      <w:r>
        <w:rPr>
          <w:i/>
          <w:iCs/>
          <w:color w:val="000000"/>
          <w:sz w:val="23"/>
          <w:szCs w:val="23"/>
        </w:rPr>
        <w:t>[insert date]</w:t>
      </w:r>
      <w:r>
        <w:rPr>
          <w:color w:val="000000"/>
          <w:sz w:val="23"/>
          <w:szCs w:val="23"/>
        </w:rPr>
        <w:t>.</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The reasons for issuing this notice are:</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Dated:</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 xml:space="preserve">Signed: </w:t>
      </w:r>
      <w:r>
        <w:rPr>
          <w:i/>
          <w:iCs/>
          <w:color w:val="000000"/>
          <w:sz w:val="23"/>
          <w:szCs w:val="23"/>
        </w:rPr>
        <w:t>[signature of OHS Inspector]</w:t>
      </w:r>
    </w:p>
    <w:p w:rsidR="0065609F" w:rsidRDefault="0065609F" w:rsidP="00944456">
      <w:pPr>
        <w:keepNext/>
        <w:keepLines/>
        <w:autoSpaceDE w:val="0"/>
        <w:autoSpaceDN w:val="0"/>
        <w:adjustRightInd w:val="0"/>
        <w:spacing w:before="120" w:after="0" w:line="240" w:lineRule="auto"/>
        <w:ind w:left="794" w:hanging="794"/>
        <w:jc w:val="left"/>
        <w:rPr>
          <w:b/>
          <w:bCs/>
          <w:color w:val="000000"/>
          <w:sz w:val="20"/>
          <w:szCs w:val="20"/>
        </w:rPr>
      </w:pPr>
      <w:r>
        <w:rPr>
          <w:b/>
          <w:bCs/>
          <w:color w:val="000000"/>
          <w:sz w:val="20"/>
          <w:szCs w:val="20"/>
        </w:rPr>
        <w:t>Notes—</w:t>
      </w: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1.</w:t>
      </w:r>
      <w:r>
        <w:rPr>
          <w:color w:val="000000"/>
          <w:sz w:val="20"/>
          <w:szCs w:val="20"/>
        </w:rPr>
        <w:tab/>
        <w:t>Under clause 58 of Schedule 7 of the Act, an operator of a facility who does not ensure that a notice is complied with may be liable to a penalty of not more than $27 500 in the case of a natural person and $137 500 in the case of a body corporate.</w:t>
      </w: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2.</w:t>
      </w:r>
      <w:r>
        <w:rPr>
          <w:color w:val="000000"/>
          <w:sz w:val="20"/>
          <w:szCs w:val="20"/>
        </w:rPr>
        <w:tab/>
        <w:t>This notice must be displayed in a prominent place at the workplace and must not be tampered with or removed before the notice has ceased to have effect</w:t>
      </w: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3.</w:t>
      </w:r>
      <w:r>
        <w:rPr>
          <w:color w:val="000000"/>
          <w:sz w:val="20"/>
          <w:szCs w:val="20"/>
        </w:rPr>
        <w:tab/>
        <w:t>Under clause 65 of Schedule 7 of the Act, any of the following persons may request the Australian Industrial Relations Commission in writing to review the OHS inspector's decision—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the operator of the facility or an employer affected by the decision;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the health and safety representative for a designated work group that includes a group member affected by the decision;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a workforce representative in relation to the designated work group that includes a group member affected by the decision;</w:t>
      </w:r>
    </w:p>
    <w:p w:rsidR="0003494F" w:rsidRDefault="0003494F" w:rsidP="00944456">
      <w:pPr>
        <w:spacing w:after="0" w:line="240" w:lineRule="auto"/>
        <w:jc w:val="left"/>
        <w:rPr>
          <w:color w:val="000000"/>
          <w:sz w:val="20"/>
          <w:szCs w:val="20"/>
        </w:rPr>
      </w:pPr>
      <w:r>
        <w:rPr>
          <w:color w:val="000000"/>
          <w:sz w:val="20"/>
          <w:szCs w:val="20"/>
        </w:rPr>
        <w:br w:type="page"/>
      </w:r>
    </w:p>
    <w:p w:rsidR="0003494F" w:rsidRDefault="0003494F" w:rsidP="00944456">
      <w:pPr>
        <w:pStyle w:val="RegSpace"/>
        <w:jc w:val="left"/>
      </w:pP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if there is no designated work group—a workforce representative in relation to a member of the workforce affected by the decision;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the owner of any plant, substance or thing to which the OHS inspector's decision relates.</w:t>
      </w:r>
    </w:p>
    <w:p w:rsidR="0065609F" w:rsidRDefault="0065609F" w:rsidP="00944456">
      <w:pPr>
        <w:keepNext/>
        <w:keepLines/>
        <w:autoSpaceDE w:val="0"/>
        <w:autoSpaceDN w:val="0"/>
        <w:adjustRightInd w:val="0"/>
        <w:spacing w:before="240" w:after="0" w:line="240" w:lineRule="auto"/>
        <w:jc w:val="left"/>
        <w:rPr>
          <w:b/>
          <w:bCs/>
          <w:color w:val="000000"/>
          <w:sz w:val="23"/>
          <w:szCs w:val="23"/>
        </w:rPr>
      </w:pPr>
      <w:r>
        <w:rPr>
          <w:b/>
          <w:bCs/>
          <w:color w:val="000000"/>
          <w:sz w:val="26"/>
          <w:szCs w:val="26"/>
        </w:rPr>
        <w:t>Form 4—Prohibition notice</w:t>
      </w:r>
    </w:p>
    <w:p w:rsidR="0065609F" w:rsidRDefault="00123FDA" w:rsidP="00944456">
      <w:pPr>
        <w:keepLines/>
        <w:autoSpaceDE w:val="0"/>
        <w:autoSpaceDN w:val="0"/>
        <w:adjustRightInd w:val="0"/>
        <w:spacing w:before="120" w:after="0" w:line="240" w:lineRule="auto"/>
        <w:jc w:val="left"/>
        <w:rPr>
          <w:color w:val="000000"/>
          <w:sz w:val="23"/>
          <w:szCs w:val="23"/>
        </w:rPr>
      </w:pPr>
      <w:hyperlink r:id="rId51" w:history="1">
        <w:r w:rsidR="0065609F">
          <w:rPr>
            <w:i/>
            <w:iCs/>
            <w:color w:val="000000"/>
            <w:sz w:val="23"/>
            <w:szCs w:val="23"/>
          </w:rPr>
          <w:t>Petroleum (Submerged Lands) Act 1982</w:t>
        </w:r>
      </w:hyperlink>
    </w:p>
    <w:p w:rsidR="0065609F" w:rsidRDefault="0065609F" w:rsidP="00944456">
      <w:pPr>
        <w:keepNext/>
        <w:keepLines/>
        <w:autoSpaceDE w:val="0"/>
        <w:autoSpaceDN w:val="0"/>
        <w:adjustRightInd w:val="0"/>
        <w:spacing w:before="120" w:after="0" w:line="240" w:lineRule="auto"/>
        <w:jc w:val="left"/>
        <w:rPr>
          <w:color w:val="000000"/>
          <w:sz w:val="23"/>
          <w:szCs w:val="23"/>
        </w:rPr>
      </w:pPr>
      <w:r>
        <w:rPr>
          <w:color w:val="000000"/>
          <w:sz w:val="23"/>
          <w:szCs w:val="23"/>
        </w:rPr>
        <w:t>To:</w:t>
      </w:r>
    </w:p>
    <w:p w:rsidR="0065609F" w:rsidRDefault="0065609F" w:rsidP="00944456">
      <w:pPr>
        <w:keepLines/>
        <w:autoSpaceDE w:val="0"/>
        <w:autoSpaceDN w:val="0"/>
        <w:adjustRightInd w:val="0"/>
        <w:spacing w:after="0" w:line="240" w:lineRule="auto"/>
        <w:jc w:val="left"/>
        <w:rPr>
          <w:color w:val="000000"/>
          <w:sz w:val="23"/>
          <w:szCs w:val="23"/>
        </w:rPr>
      </w:pPr>
      <w:r>
        <w:rPr>
          <w:i/>
          <w:iCs/>
          <w:color w:val="000000"/>
          <w:sz w:val="23"/>
          <w:szCs w:val="23"/>
        </w:rPr>
        <w:t>[name of operator's representative at the facility]</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 xml:space="preserve">I, </w:t>
      </w:r>
      <w:r>
        <w:rPr>
          <w:i/>
          <w:iCs/>
          <w:color w:val="000000"/>
          <w:sz w:val="23"/>
          <w:szCs w:val="23"/>
        </w:rPr>
        <w:t>[name of OHS inspector]</w:t>
      </w:r>
      <w:r>
        <w:rPr>
          <w:color w:val="000000"/>
          <w:sz w:val="23"/>
          <w:szCs w:val="23"/>
        </w:rPr>
        <w:t xml:space="preserve">, an OHS inspector within the meaning of the Act, am satisfied that it is necessary to issue a prohibition notice to the operator of </w:t>
      </w:r>
      <w:r>
        <w:rPr>
          <w:i/>
          <w:iCs/>
          <w:color w:val="000000"/>
          <w:sz w:val="23"/>
          <w:szCs w:val="23"/>
        </w:rPr>
        <w:t>[name of the facility]</w:t>
      </w:r>
      <w:r>
        <w:rPr>
          <w:color w:val="000000"/>
          <w:sz w:val="23"/>
          <w:szCs w:val="23"/>
        </w:rPr>
        <w:t xml:space="preserve"> in order to remove an immediate threat to the health or safety of a person.</w:t>
      </w:r>
    </w:p>
    <w:p w:rsidR="0065609F" w:rsidRDefault="0065609F" w:rsidP="00944456">
      <w:pPr>
        <w:keepNext/>
        <w:keepLines/>
        <w:autoSpaceDE w:val="0"/>
        <w:autoSpaceDN w:val="0"/>
        <w:adjustRightInd w:val="0"/>
        <w:spacing w:before="120" w:after="0" w:line="240" w:lineRule="auto"/>
        <w:jc w:val="left"/>
        <w:rPr>
          <w:color w:val="000000"/>
          <w:sz w:val="23"/>
          <w:szCs w:val="23"/>
        </w:rPr>
      </w:pPr>
      <w:r>
        <w:rPr>
          <w:color w:val="000000"/>
          <w:sz w:val="23"/>
          <w:szCs w:val="23"/>
        </w:rPr>
        <w:t>I THEREFORE PROHIBIT the following activity or activities—</w:t>
      </w:r>
    </w:p>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(a)</w:t>
      </w:r>
      <w:r>
        <w:rPr>
          <w:color w:val="000000"/>
          <w:sz w:val="23"/>
          <w:szCs w:val="23"/>
        </w:rPr>
        <w:tab/>
        <w:t xml:space="preserve">at this workplace or part of workplace: </w:t>
      </w:r>
      <w:r>
        <w:rPr>
          <w:i/>
          <w:iCs/>
          <w:color w:val="000000"/>
          <w:sz w:val="23"/>
          <w:szCs w:val="23"/>
        </w:rPr>
        <w:t>[specify workplace, or part, as the case may be]</w:t>
      </w:r>
    </w:p>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(b)</w:t>
      </w:r>
      <w:r>
        <w:rPr>
          <w:color w:val="000000"/>
          <w:sz w:val="23"/>
          <w:szCs w:val="23"/>
        </w:rPr>
        <w:tab/>
        <w:t xml:space="preserve">using this plant or substance: </w:t>
      </w:r>
      <w:r>
        <w:rPr>
          <w:i/>
          <w:iCs/>
          <w:color w:val="000000"/>
          <w:sz w:val="23"/>
          <w:szCs w:val="23"/>
        </w:rPr>
        <w:t>[specify plant or substance, if applicable]</w:t>
      </w:r>
    </w:p>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(c)</w:t>
      </w:r>
      <w:r>
        <w:rPr>
          <w:color w:val="000000"/>
          <w:sz w:val="23"/>
          <w:szCs w:val="23"/>
        </w:rPr>
        <w:tab/>
        <w:t xml:space="preserve">following this procedure: </w:t>
      </w:r>
      <w:r>
        <w:rPr>
          <w:i/>
          <w:iCs/>
          <w:color w:val="000000"/>
          <w:sz w:val="23"/>
          <w:szCs w:val="23"/>
        </w:rPr>
        <w:t>[specify procedure, if applicable]</w:t>
      </w:r>
    </w:p>
    <w:p w:rsidR="0065609F" w:rsidRDefault="0065609F" w:rsidP="00944456">
      <w:pPr>
        <w:keepNext/>
        <w:keepLines/>
        <w:autoSpaceDE w:val="0"/>
        <w:autoSpaceDN w:val="0"/>
        <w:adjustRightInd w:val="0"/>
        <w:spacing w:before="120" w:after="0" w:line="240" w:lineRule="auto"/>
        <w:jc w:val="left"/>
        <w:rPr>
          <w:color w:val="000000"/>
          <w:sz w:val="23"/>
          <w:szCs w:val="23"/>
        </w:rPr>
      </w:pPr>
      <w:r>
        <w:rPr>
          <w:color w:val="000000"/>
          <w:sz w:val="23"/>
          <w:szCs w:val="23"/>
        </w:rPr>
        <w:t>*Action that may be taken that will be adequate to remove the threat to health and safety is:</w:t>
      </w:r>
    </w:p>
    <w:p w:rsidR="0065609F" w:rsidRDefault="0065609F" w:rsidP="00944456">
      <w:pPr>
        <w:keepLines/>
        <w:autoSpaceDE w:val="0"/>
        <w:autoSpaceDN w:val="0"/>
        <w:adjustRightInd w:val="0"/>
        <w:spacing w:after="0" w:line="240" w:lineRule="auto"/>
        <w:jc w:val="left"/>
        <w:rPr>
          <w:color w:val="000000"/>
          <w:sz w:val="23"/>
          <w:szCs w:val="23"/>
        </w:rPr>
      </w:pPr>
      <w:r>
        <w:rPr>
          <w:i/>
          <w:iCs/>
          <w:color w:val="000000"/>
          <w:sz w:val="23"/>
          <w:szCs w:val="23"/>
        </w:rPr>
        <w:t>[if insufficient space, use additional page]</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Dated:</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 xml:space="preserve">Signed: </w:t>
      </w:r>
      <w:r>
        <w:rPr>
          <w:i/>
          <w:iCs/>
          <w:color w:val="000000"/>
          <w:sz w:val="23"/>
          <w:szCs w:val="23"/>
        </w:rPr>
        <w:t>[signature of OHS Inspector]</w:t>
      </w:r>
    </w:p>
    <w:p w:rsidR="0065609F" w:rsidRDefault="0065609F" w:rsidP="00944456">
      <w:pPr>
        <w:keepLines/>
        <w:autoSpaceDE w:val="0"/>
        <w:autoSpaceDN w:val="0"/>
        <w:adjustRightInd w:val="0"/>
        <w:spacing w:before="120" w:after="0" w:line="240" w:lineRule="auto"/>
        <w:jc w:val="left"/>
        <w:rPr>
          <w:color w:val="000000"/>
          <w:sz w:val="23"/>
          <w:szCs w:val="23"/>
        </w:rPr>
      </w:pPr>
      <w:r>
        <w:rPr>
          <w:i/>
          <w:iCs/>
          <w:color w:val="000000"/>
          <w:sz w:val="23"/>
          <w:szCs w:val="23"/>
        </w:rPr>
        <w:t>[* Omit if inapplicable]</w:t>
      </w:r>
    </w:p>
    <w:p w:rsidR="0065609F" w:rsidRDefault="0065609F" w:rsidP="00944456">
      <w:pPr>
        <w:keepNext/>
        <w:keepLines/>
        <w:autoSpaceDE w:val="0"/>
        <w:autoSpaceDN w:val="0"/>
        <w:adjustRightInd w:val="0"/>
        <w:spacing w:before="120" w:after="0" w:line="240" w:lineRule="auto"/>
        <w:ind w:left="794" w:hanging="794"/>
        <w:jc w:val="left"/>
        <w:rPr>
          <w:b/>
          <w:bCs/>
          <w:color w:val="000000"/>
          <w:sz w:val="20"/>
          <w:szCs w:val="20"/>
        </w:rPr>
      </w:pPr>
      <w:r>
        <w:rPr>
          <w:b/>
          <w:bCs/>
          <w:color w:val="000000"/>
          <w:sz w:val="20"/>
          <w:szCs w:val="20"/>
        </w:rPr>
        <w:t>Notes—</w:t>
      </w: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1.</w:t>
      </w:r>
      <w:r>
        <w:rPr>
          <w:color w:val="000000"/>
          <w:sz w:val="20"/>
          <w:szCs w:val="20"/>
        </w:rPr>
        <w:tab/>
        <w:t>Under clause 60 of Schedule 7 of the Act, an operator who fails to ensure that this notice is complied with, to the extent that it relates to a matter over which the operator has control, may be liable to a penalty of not more than $27 500 in the case of a natural person and $137 500 in the case of a body corporate.</w:t>
      </w: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2.</w:t>
      </w:r>
      <w:r>
        <w:rPr>
          <w:color w:val="000000"/>
          <w:sz w:val="20"/>
          <w:szCs w:val="20"/>
        </w:rPr>
        <w:tab/>
        <w:t>This notice must be displayed in a prominent place at the workplace and must not be tampered with or removed before the notice has ceased to have effect.</w:t>
      </w: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3.</w:t>
      </w:r>
      <w:r>
        <w:rPr>
          <w:color w:val="000000"/>
          <w:sz w:val="20"/>
          <w:szCs w:val="20"/>
        </w:rPr>
        <w:tab/>
        <w:t>Under clause 65 of Schedule 7 of the Act, any of the following persons may request the Australian Industrial Relations Commission, in writing, to review the OHS inspector's decision—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the operator of the facility or an employer who is affected by the decision;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a person to whom a prohibition notice has been issued;</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the health and safety representative for a designated work group that has a group member affected by the decision;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a workforce representative in relation to the designated work group that includes a group member affected by the decision;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if there is no designated work group—a workforce representative in relation to a member of the workforce affected by the decision;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the owner of any plant, substance or thing to which the OHS inspector's decision relates.</w:t>
      </w:r>
    </w:p>
    <w:p w:rsidR="000A7F30" w:rsidRDefault="000A7F30" w:rsidP="00944456">
      <w:pPr>
        <w:spacing w:after="0" w:line="240" w:lineRule="auto"/>
        <w:jc w:val="left"/>
        <w:rPr>
          <w:b/>
          <w:bCs/>
          <w:color w:val="000000"/>
          <w:sz w:val="26"/>
          <w:szCs w:val="26"/>
        </w:rPr>
      </w:pPr>
      <w:r>
        <w:rPr>
          <w:b/>
          <w:bCs/>
          <w:color w:val="000000"/>
          <w:sz w:val="26"/>
          <w:szCs w:val="26"/>
        </w:rPr>
        <w:br w:type="page"/>
      </w:r>
    </w:p>
    <w:p w:rsidR="000A7F30" w:rsidRDefault="000A7F30" w:rsidP="00944456">
      <w:pPr>
        <w:pStyle w:val="RegSpace"/>
        <w:jc w:val="left"/>
      </w:pPr>
    </w:p>
    <w:p w:rsidR="0065609F" w:rsidRDefault="0065609F" w:rsidP="00944456">
      <w:pPr>
        <w:keepNext/>
        <w:keepLines/>
        <w:autoSpaceDE w:val="0"/>
        <w:autoSpaceDN w:val="0"/>
        <w:adjustRightInd w:val="0"/>
        <w:spacing w:before="240" w:after="0" w:line="240" w:lineRule="auto"/>
        <w:jc w:val="left"/>
        <w:rPr>
          <w:b/>
          <w:bCs/>
          <w:color w:val="000000"/>
          <w:sz w:val="23"/>
          <w:szCs w:val="23"/>
        </w:rPr>
      </w:pPr>
      <w:r>
        <w:rPr>
          <w:b/>
          <w:bCs/>
          <w:color w:val="000000"/>
          <w:sz w:val="26"/>
          <w:szCs w:val="26"/>
        </w:rPr>
        <w:t>Form 5—Improvement notice</w:t>
      </w:r>
    </w:p>
    <w:p w:rsidR="0065609F" w:rsidRDefault="00123FDA" w:rsidP="00944456">
      <w:pPr>
        <w:keepLines/>
        <w:autoSpaceDE w:val="0"/>
        <w:autoSpaceDN w:val="0"/>
        <w:adjustRightInd w:val="0"/>
        <w:spacing w:before="120" w:after="0" w:line="240" w:lineRule="auto"/>
        <w:jc w:val="left"/>
        <w:rPr>
          <w:color w:val="000000"/>
          <w:sz w:val="23"/>
          <w:szCs w:val="23"/>
        </w:rPr>
      </w:pPr>
      <w:hyperlink r:id="rId52" w:history="1">
        <w:r w:rsidR="0065609F">
          <w:rPr>
            <w:i/>
            <w:iCs/>
            <w:color w:val="000000"/>
            <w:sz w:val="23"/>
            <w:szCs w:val="23"/>
          </w:rPr>
          <w:t>Petroleum (Submerged Lands) Act 1982</w:t>
        </w:r>
      </w:hyperlink>
    </w:p>
    <w:p w:rsidR="0065609F" w:rsidRDefault="0065609F" w:rsidP="00944456">
      <w:pPr>
        <w:keepNext/>
        <w:keepLines/>
        <w:autoSpaceDE w:val="0"/>
        <w:autoSpaceDN w:val="0"/>
        <w:adjustRightInd w:val="0"/>
        <w:spacing w:before="120" w:after="0" w:line="240" w:lineRule="auto"/>
        <w:jc w:val="left"/>
        <w:rPr>
          <w:color w:val="000000"/>
          <w:sz w:val="23"/>
          <w:szCs w:val="23"/>
        </w:rPr>
      </w:pPr>
      <w:r>
        <w:rPr>
          <w:color w:val="000000"/>
          <w:sz w:val="23"/>
          <w:szCs w:val="23"/>
        </w:rPr>
        <w:t>To:</w:t>
      </w:r>
    </w:p>
    <w:p w:rsidR="0065609F" w:rsidRDefault="0065609F" w:rsidP="00944456">
      <w:pPr>
        <w:keepLines/>
        <w:autoSpaceDE w:val="0"/>
        <w:autoSpaceDN w:val="0"/>
        <w:adjustRightInd w:val="0"/>
        <w:spacing w:after="0" w:line="240" w:lineRule="auto"/>
        <w:jc w:val="left"/>
        <w:rPr>
          <w:color w:val="000000"/>
          <w:sz w:val="23"/>
          <w:szCs w:val="23"/>
        </w:rPr>
      </w:pPr>
      <w:r>
        <w:rPr>
          <w:i/>
          <w:iCs/>
          <w:color w:val="000000"/>
          <w:sz w:val="23"/>
          <w:szCs w:val="23"/>
        </w:rPr>
        <w:t>[name of responsible person]</w:t>
      </w:r>
    </w:p>
    <w:p w:rsidR="0065609F" w:rsidRDefault="0065609F" w:rsidP="00944456">
      <w:pPr>
        <w:keepNext/>
        <w:keepLines/>
        <w:autoSpaceDE w:val="0"/>
        <w:autoSpaceDN w:val="0"/>
        <w:adjustRightInd w:val="0"/>
        <w:spacing w:before="120" w:after="0" w:line="240" w:lineRule="auto"/>
        <w:jc w:val="left"/>
        <w:rPr>
          <w:color w:val="000000"/>
          <w:sz w:val="23"/>
          <w:szCs w:val="23"/>
        </w:rPr>
      </w:pPr>
      <w:r>
        <w:rPr>
          <w:color w:val="000000"/>
          <w:sz w:val="23"/>
          <w:szCs w:val="23"/>
        </w:rPr>
        <w:t xml:space="preserve">I, </w:t>
      </w:r>
      <w:r>
        <w:rPr>
          <w:i/>
          <w:iCs/>
          <w:color w:val="000000"/>
          <w:sz w:val="23"/>
          <w:szCs w:val="23"/>
        </w:rPr>
        <w:t>[name of OHS inspector]</w:t>
      </w:r>
      <w:r>
        <w:rPr>
          <w:color w:val="000000"/>
          <w:sz w:val="23"/>
          <w:szCs w:val="23"/>
        </w:rPr>
        <w:t>, an OHS inspector within the meaning of the Act, am satisfied that the person named above as the responsible person is contravening, or has contravened, and is likely to contravene:</w:t>
      </w:r>
    </w:p>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(a)</w:t>
      </w:r>
      <w:r>
        <w:rPr>
          <w:color w:val="000000"/>
          <w:sz w:val="23"/>
          <w:szCs w:val="23"/>
        </w:rPr>
        <w:tab/>
        <w:t xml:space="preserve">clause </w:t>
      </w:r>
      <w:r>
        <w:rPr>
          <w:i/>
          <w:iCs/>
          <w:color w:val="000000"/>
          <w:sz w:val="23"/>
          <w:szCs w:val="23"/>
        </w:rPr>
        <w:t>[insert clause number]</w:t>
      </w:r>
      <w:r>
        <w:rPr>
          <w:color w:val="000000"/>
          <w:sz w:val="23"/>
          <w:szCs w:val="23"/>
        </w:rPr>
        <w:t xml:space="preserve"> of Schedule 7 of the Act; or</w:t>
      </w:r>
    </w:p>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(b)</w:t>
      </w:r>
      <w:r>
        <w:rPr>
          <w:color w:val="000000"/>
          <w:sz w:val="23"/>
          <w:szCs w:val="23"/>
        </w:rPr>
        <w:tab/>
        <w:t xml:space="preserve">regulation </w:t>
      </w:r>
      <w:r>
        <w:rPr>
          <w:i/>
          <w:iCs/>
          <w:color w:val="000000"/>
          <w:sz w:val="23"/>
          <w:szCs w:val="23"/>
        </w:rPr>
        <w:t>[insert regulation number]</w:t>
      </w:r>
      <w:r>
        <w:rPr>
          <w:color w:val="000000"/>
          <w:sz w:val="23"/>
          <w:szCs w:val="23"/>
        </w:rPr>
        <w:t>;</w:t>
      </w:r>
    </w:p>
    <w:p w:rsidR="0065609F" w:rsidRDefault="0065609F" w:rsidP="00944456">
      <w:pPr>
        <w:keepNext/>
        <w:keepLines/>
        <w:autoSpaceDE w:val="0"/>
        <w:autoSpaceDN w:val="0"/>
        <w:adjustRightInd w:val="0"/>
        <w:spacing w:before="120" w:after="0" w:line="240" w:lineRule="auto"/>
        <w:jc w:val="left"/>
        <w:rPr>
          <w:color w:val="000000"/>
          <w:sz w:val="23"/>
          <w:szCs w:val="23"/>
        </w:rPr>
      </w:pPr>
      <w:r>
        <w:rPr>
          <w:color w:val="000000"/>
          <w:sz w:val="23"/>
          <w:szCs w:val="23"/>
        </w:rPr>
        <w:t>at</w:t>
      </w:r>
    </w:p>
    <w:p w:rsidR="0065609F" w:rsidRDefault="0065609F" w:rsidP="00944456">
      <w:pPr>
        <w:keepLines/>
        <w:autoSpaceDE w:val="0"/>
        <w:autoSpaceDN w:val="0"/>
        <w:adjustRightInd w:val="0"/>
        <w:spacing w:after="0" w:line="240" w:lineRule="auto"/>
        <w:jc w:val="left"/>
        <w:rPr>
          <w:color w:val="000000"/>
          <w:sz w:val="23"/>
          <w:szCs w:val="23"/>
        </w:rPr>
      </w:pPr>
      <w:r>
        <w:rPr>
          <w:i/>
          <w:iCs/>
          <w:color w:val="000000"/>
          <w:sz w:val="23"/>
          <w:szCs w:val="23"/>
        </w:rPr>
        <w:t>[location of workplace]</w:t>
      </w:r>
      <w:r>
        <w:rPr>
          <w:color w:val="000000"/>
          <w:sz w:val="23"/>
          <w:szCs w:val="23"/>
        </w:rPr>
        <w:t>.</w:t>
      </w:r>
    </w:p>
    <w:p w:rsidR="0065609F" w:rsidRDefault="0065609F" w:rsidP="00944456">
      <w:pPr>
        <w:keepNext/>
        <w:keepLines/>
        <w:autoSpaceDE w:val="0"/>
        <w:autoSpaceDN w:val="0"/>
        <w:adjustRightInd w:val="0"/>
        <w:spacing w:before="120" w:after="0" w:line="240" w:lineRule="auto"/>
        <w:jc w:val="left"/>
        <w:rPr>
          <w:color w:val="000000"/>
          <w:sz w:val="23"/>
          <w:szCs w:val="23"/>
        </w:rPr>
      </w:pPr>
      <w:r>
        <w:rPr>
          <w:color w:val="000000"/>
          <w:sz w:val="23"/>
          <w:szCs w:val="23"/>
        </w:rPr>
        <w:t>The reasons for my opinion are:</w:t>
      </w:r>
    </w:p>
    <w:p w:rsidR="0065609F" w:rsidRDefault="0065609F" w:rsidP="00944456">
      <w:pPr>
        <w:keepLines/>
        <w:autoSpaceDE w:val="0"/>
        <w:autoSpaceDN w:val="0"/>
        <w:adjustRightInd w:val="0"/>
        <w:spacing w:after="0" w:line="240" w:lineRule="auto"/>
        <w:jc w:val="left"/>
        <w:rPr>
          <w:color w:val="000000"/>
          <w:sz w:val="23"/>
          <w:szCs w:val="23"/>
        </w:rPr>
      </w:pPr>
      <w:r>
        <w:rPr>
          <w:i/>
          <w:iCs/>
          <w:color w:val="000000"/>
          <w:sz w:val="23"/>
          <w:szCs w:val="23"/>
        </w:rPr>
        <w:t>[brief description of contravention]</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 xml:space="preserve">You are required to take action within </w:t>
      </w:r>
      <w:r>
        <w:rPr>
          <w:i/>
          <w:iCs/>
          <w:color w:val="000000"/>
          <w:sz w:val="23"/>
          <w:szCs w:val="23"/>
        </w:rPr>
        <w:t>[insert number]</w:t>
      </w:r>
      <w:r>
        <w:rPr>
          <w:color w:val="000000"/>
          <w:sz w:val="23"/>
          <w:szCs w:val="23"/>
        </w:rPr>
        <w:t xml:space="preserve"> days of the date of this notice to prevent any further contravention or likely contravention of the clause or regulation.</w:t>
      </w:r>
    </w:p>
    <w:p w:rsidR="0065609F" w:rsidRDefault="0065609F" w:rsidP="00944456">
      <w:pPr>
        <w:keepNext/>
        <w:keepLines/>
        <w:autoSpaceDE w:val="0"/>
        <w:autoSpaceDN w:val="0"/>
        <w:adjustRightInd w:val="0"/>
        <w:spacing w:before="120" w:after="0" w:line="240" w:lineRule="auto"/>
        <w:jc w:val="left"/>
        <w:rPr>
          <w:color w:val="000000"/>
          <w:sz w:val="23"/>
          <w:szCs w:val="23"/>
        </w:rPr>
      </w:pPr>
      <w:r>
        <w:rPr>
          <w:color w:val="000000"/>
          <w:sz w:val="23"/>
          <w:szCs w:val="23"/>
        </w:rPr>
        <w:t>*The following action must be taken by the responsible person within the period specified above:</w:t>
      </w:r>
    </w:p>
    <w:p w:rsidR="0065609F" w:rsidRDefault="0065609F" w:rsidP="00944456">
      <w:pPr>
        <w:keepLines/>
        <w:autoSpaceDE w:val="0"/>
        <w:autoSpaceDN w:val="0"/>
        <w:adjustRightInd w:val="0"/>
        <w:spacing w:after="0" w:line="240" w:lineRule="auto"/>
        <w:jc w:val="left"/>
        <w:rPr>
          <w:color w:val="000000"/>
          <w:sz w:val="23"/>
          <w:szCs w:val="23"/>
        </w:rPr>
      </w:pPr>
      <w:r>
        <w:rPr>
          <w:i/>
          <w:iCs/>
          <w:color w:val="000000"/>
          <w:sz w:val="23"/>
          <w:szCs w:val="23"/>
        </w:rPr>
        <w:t>[If insufficient space, use additional page]</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Dated:</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 xml:space="preserve">Signed: </w:t>
      </w:r>
      <w:r>
        <w:rPr>
          <w:i/>
          <w:iCs/>
          <w:color w:val="000000"/>
          <w:sz w:val="23"/>
          <w:szCs w:val="23"/>
        </w:rPr>
        <w:t>[signature of OHS Inspector]</w:t>
      </w:r>
    </w:p>
    <w:p w:rsidR="0065609F" w:rsidRDefault="0065609F" w:rsidP="00944456">
      <w:pPr>
        <w:keepLines/>
        <w:autoSpaceDE w:val="0"/>
        <w:autoSpaceDN w:val="0"/>
        <w:adjustRightInd w:val="0"/>
        <w:spacing w:before="120" w:after="0" w:line="240" w:lineRule="auto"/>
        <w:jc w:val="left"/>
        <w:rPr>
          <w:color w:val="000000"/>
          <w:sz w:val="23"/>
          <w:szCs w:val="23"/>
        </w:rPr>
      </w:pPr>
      <w:r>
        <w:rPr>
          <w:i/>
          <w:iCs/>
          <w:color w:val="000000"/>
          <w:sz w:val="23"/>
          <w:szCs w:val="23"/>
        </w:rPr>
        <w:t>[* Omit if inapplicable]</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When the required improvement has been completed, return this part of the notice to the following person at the address below:</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Name:</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Position:</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Address:</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Telephone number:</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 xml:space="preserve">Improvement Notice No. </w:t>
      </w:r>
      <w:r>
        <w:rPr>
          <w:i/>
          <w:iCs/>
          <w:color w:val="000000"/>
          <w:sz w:val="23"/>
          <w:szCs w:val="23"/>
        </w:rPr>
        <w:t>[insert Improvement Notice No.]</w:t>
      </w:r>
      <w:r>
        <w:rPr>
          <w:color w:val="000000"/>
          <w:sz w:val="23"/>
          <w:szCs w:val="23"/>
        </w:rPr>
        <w:t xml:space="preserve"> has been complied with.</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Signed:</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 xml:space="preserve">This notice was delivered to: </w:t>
      </w:r>
      <w:r>
        <w:rPr>
          <w:i/>
          <w:iCs/>
          <w:color w:val="000000"/>
          <w:sz w:val="23"/>
          <w:szCs w:val="23"/>
        </w:rPr>
        <w:t>[insert name]</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 xml:space="preserve">in the office or position of </w:t>
      </w:r>
      <w:r>
        <w:rPr>
          <w:i/>
          <w:iCs/>
          <w:color w:val="000000"/>
          <w:sz w:val="23"/>
          <w:szCs w:val="23"/>
        </w:rPr>
        <w:t>[insert office or position]</w:t>
      </w:r>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 xml:space="preserve">at: </w:t>
      </w:r>
      <w:r>
        <w:rPr>
          <w:i/>
          <w:iCs/>
          <w:color w:val="000000"/>
          <w:sz w:val="23"/>
          <w:szCs w:val="23"/>
        </w:rPr>
        <w:t>[insert time, am or pm]</w:t>
      </w:r>
      <w:r>
        <w:rPr>
          <w:color w:val="000000"/>
          <w:sz w:val="23"/>
          <w:szCs w:val="23"/>
        </w:rPr>
        <w:t xml:space="preserve"> on </w:t>
      </w:r>
      <w:r>
        <w:rPr>
          <w:i/>
          <w:iCs/>
          <w:color w:val="000000"/>
          <w:sz w:val="23"/>
          <w:szCs w:val="23"/>
        </w:rPr>
        <w:t>[insert date]</w:t>
      </w:r>
      <w:r>
        <w:rPr>
          <w:color w:val="000000"/>
          <w:sz w:val="23"/>
          <w:szCs w:val="23"/>
        </w:rPr>
        <w:t>.</w:t>
      </w:r>
    </w:p>
    <w:p w:rsidR="0065609F" w:rsidRDefault="0065609F" w:rsidP="00944456">
      <w:pPr>
        <w:keepNext/>
        <w:keepLines/>
        <w:autoSpaceDE w:val="0"/>
        <w:autoSpaceDN w:val="0"/>
        <w:adjustRightInd w:val="0"/>
        <w:spacing w:before="120" w:after="0" w:line="240" w:lineRule="auto"/>
        <w:ind w:left="794" w:hanging="794"/>
        <w:jc w:val="left"/>
        <w:rPr>
          <w:b/>
          <w:bCs/>
          <w:color w:val="000000"/>
          <w:sz w:val="20"/>
          <w:szCs w:val="20"/>
        </w:rPr>
      </w:pPr>
      <w:r>
        <w:rPr>
          <w:b/>
          <w:bCs/>
          <w:color w:val="000000"/>
          <w:sz w:val="20"/>
          <w:szCs w:val="20"/>
        </w:rPr>
        <w:t>Notes—</w:t>
      </w: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1.</w:t>
      </w:r>
      <w:r>
        <w:rPr>
          <w:color w:val="000000"/>
          <w:sz w:val="20"/>
          <w:szCs w:val="20"/>
        </w:rPr>
        <w:tab/>
        <w:t>Under clause 62 of Schedule 7 of the Act, a person who fails to ensure that this notice is complied with, to the extent that it relates to a matter over which the person has control, may be liable to a penalty of not more than $11 000 in the case of a natural person and $55 000 in the case of a body corporate.</w:t>
      </w: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2.</w:t>
      </w:r>
      <w:r>
        <w:rPr>
          <w:color w:val="000000"/>
          <w:sz w:val="20"/>
          <w:szCs w:val="20"/>
        </w:rPr>
        <w:tab/>
        <w:t>This notice must be displayed in a prominent place at the workplace and, under clause 63 of Schedule 7 of the Act, must not be tampered with or removed before the notice has ceased to have effect.</w:t>
      </w:r>
    </w:p>
    <w:p w:rsidR="00BC178A" w:rsidRDefault="00BC178A" w:rsidP="00944456">
      <w:pPr>
        <w:spacing w:after="0" w:line="240" w:lineRule="auto"/>
        <w:jc w:val="left"/>
        <w:rPr>
          <w:color w:val="000000"/>
          <w:sz w:val="20"/>
          <w:szCs w:val="20"/>
        </w:rPr>
      </w:pPr>
      <w:r>
        <w:rPr>
          <w:color w:val="000000"/>
          <w:sz w:val="20"/>
          <w:szCs w:val="20"/>
        </w:rPr>
        <w:br w:type="page"/>
      </w:r>
    </w:p>
    <w:p w:rsidR="00BC178A" w:rsidRDefault="00BC178A" w:rsidP="00944456">
      <w:pPr>
        <w:pStyle w:val="RegSpace"/>
        <w:jc w:val="left"/>
      </w:pP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3.</w:t>
      </w:r>
      <w:r>
        <w:rPr>
          <w:color w:val="000000"/>
          <w:sz w:val="20"/>
          <w:szCs w:val="20"/>
        </w:rPr>
        <w:tab/>
        <w:t>This notice ceases to have effect when the OHS inspector notifies the responsible person that he or she is satisfied that the responsible person has taken adequate action to remove the threat to health and safety that caused the notice to be issued. If the OHS inspector has specified action that the responsible person should take to remove the threat, the responsible person should advise the OHS inspector as soon as the action has been taken.</w:t>
      </w: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4.</w:t>
      </w:r>
      <w:r>
        <w:rPr>
          <w:color w:val="000000"/>
          <w:sz w:val="20"/>
          <w:szCs w:val="20"/>
        </w:rPr>
        <w:tab/>
        <w:t>Under clause 61(7) of Schedule 7 of the Act, an operator, or an employer of a member of the workforce to whom this notice is given must—</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(a)</w:t>
      </w:r>
      <w:r>
        <w:rPr>
          <w:color w:val="000000"/>
          <w:sz w:val="20"/>
          <w:szCs w:val="20"/>
        </w:rPr>
        <w:tab/>
        <w:t>give a copy of the notice to each health and safety representative for a designated workgroup having group members performing work that is affected by the notice; and</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(b)</w:t>
      </w:r>
      <w:r>
        <w:rPr>
          <w:color w:val="000000"/>
          <w:sz w:val="20"/>
          <w:szCs w:val="20"/>
        </w:rPr>
        <w:tab/>
        <w:t>display a copy of the notice in a prominent place at or near each workplace at which the work is being performed.</w:t>
      </w:r>
    </w:p>
    <w:p w:rsidR="0065609F" w:rsidRDefault="0065609F" w:rsidP="00944456">
      <w:pPr>
        <w:keepLines/>
        <w:tabs>
          <w:tab w:val="center" w:pos="1191"/>
          <w:tab w:val="left" w:pos="1588"/>
        </w:tabs>
        <w:autoSpaceDE w:val="0"/>
        <w:autoSpaceDN w:val="0"/>
        <w:adjustRightInd w:val="0"/>
        <w:spacing w:before="120" w:after="0" w:line="240" w:lineRule="auto"/>
        <w:ind w:left="1588" w:hanging="794"/>
        <w:jc w:val="left"/>
        <w:rPr>
          <w:color w:val="000000"/>
          <w:sz w:val="20"/>
          <w:szCs w:val="20"/>
        </w:rPr>
      </w:pPr>
      <w:r>
        <w:rPr>
          <w:color w:val="000000"/>
          <w:sz w:val="20"/>
          <w:szCs w:val="20"/>
        </w:rPr>
        <w:tab/>
        <w:t>5.</w:t>
      </w:r>
      <w:r>
        <w:rPr>
          <w:color w:val="000000"/>
          <w:sz w:val="20"/>
          <w:szCs w:val="20"/>
        </w:rPr>
        <w:tab/>
        <w:t>Under clause 65 of Schedule 7 of the Act, any of the following persons may request the Australian Industrial Relations Commission to review the OHS inspector's decision—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the operator of the facility or an employer affected by the decision;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any person to whom an improvement notice has been issued;</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the health and safety representative for a designated work group that includes a group member affected by the decision;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a workforce representative in relation to a designated work group that includes a group member affected by the decision;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if there is no designated work group—a workforce representative in relation to a member of the workforce affected by the decision;</w:t>
      </w:r>
    </w:p>
    <w:p w:rsidR="0065609F" w:rsidRDefault="0065609F" w:rsidP="00944456">
      <w:pPr>
        <w:keepLines/>
        <w:tabs>
          <w:tab w:val="center" w:pos="1985"/>
          <w:tab w:val="left" w:pos="2382"/>
        </w:tabs>
        <w:autoSpaceDE w:val="0"/>
        <w:autoSpaceDN w:val="0"/>
        <w:adjustRightInd w:val="0"/>
        <w:spacing w:before="120" w:after="0" w:line="240" w:lineRule="auto"/>
        <w:ind w:left="2382" w:hanging="794"/>
        <w:jc w:val="left"/>
        <w:rPr>
          <w:color w:val="000000"/>
          <w:sz w:val="20"/>
          <w:szCs w:val="20"/>
        </w:rPr>
      </w:pPr>
      <w:r>
        <w:rPr>
          <w:color w:val="000000"/>
          <w:sz w:val="20"/>
          <w:szCs w:val="20"/>
        </w:rPr>
        <w:tab/>
        <w:t>•</w:t>
      </w:r>
      <w:r>
        <w:rPr>
          <w:color w:val="000000"/>
          <w:sz w:val="20"/>
          <w:szCs w:val="20"/>
        </w:rPr>
        <w:tab/>
        <w:t>the owner of any plant, substance or thing to which the OHS inspector's decision relates.</w:t>
      </w:r>
    </w:p>
    <w:p w:rsidR="0065609F" w:rsidRDefault="0065609F" w:rsidP="00944456">
      <w:pPr>
        <w:keepNext/>
        <w:keepLines/>
        <w:autoSpaceDE w:val="0"/>
        <w:autoSpaceDN w:val="0"/>
        <w:adjustRightInd w:val="0"/>
        <w:spacing w:before="280" w:after="0" w:line="240" w:lineRule="auto"/>
        <w:ind w:left="567" w:hanging="567"/>
        <w:jc w:val="left"/>
        <w:rPr>
          <w:b/>
          <w:bCs/>
          <w:color w:val="000000"/>
          <w:sz w:val="32"/>
          <w:szCs w:val="32"/>
        </w:rPr>
      </w:pPr>
      <w:bookmarkStart w:id="725" w:name="Elkera_Print_TOC345"/>
      <w:bookmarkStart w:id="726" w:name="idcb0abf1e_991d_4374_9920_b053131298"/>
      <w:r>
        <w:rPr>
          <w:b/>
          <w:bCs/>
          <w:color w:val="000000"/>
          <w:sz w:val="32"/>
          <w:szCs w:val="32"/>
        </w:rPr>
        <w:t>Schedule 3—Fees</w:t>
      </w:r>
      <w:bookmarkEnd w:id="725"/>
      <w:bookmarkEnd w:id="726"/>
    </w:p>
    <w:p w:rsidR="0065609F" w:rsidRDefault="0065609F" w:rsidP="00944456">
      <w:pPr>
        <w:keepNext/>
        <w:keepLines/>
        <w:autoSpaceDE w:val="0"/>
        <w:autoSpaceDN w:val="0"/>
        <w:adjustRightInd w:val="0"/>
        <w:spacing w:before="120" w:after="0" w:line="240" w:lineRule="auto"/>
        <w:jc w:val="left"/>
        <w:rPr>
          <w:color w:val="000000"/>
          <w:sz w:val="2"/>
          <w:szCs w:val="2"/>
        </w:rPr>
      </w:pPr>
    </w:p>
    <w:tbl>
      <w:tblPr>
        <w:tblW w:w="0" w:type="auto"/>
        <w:tblInd w:w="60" w:type="dxa"/>
        <w:tblLayout w:type="fixed"/>
        <w:tblCellMar>
          <w:left w:w="60" w:type="dxa"/>
          <w:right w:w="60" w:type="dxa"/>
        </w:tblCellMar>
        <w:tblLook w:val="0000" w:firstRow="0" w:lastRow="0" w:firstColumn="0" w:lastColumn="0" w:noHBand="0" w:noVBand="0"/>
      </w:tblPr>
      <w:tblGrid>
        <w:gridCol w:w="296"/>
        <w:gridCol w:w="7046"/>
        <w:gridCol w:w="1443"/>
      </w:tblGrid>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1</w:t>
            </w:r>
          </w:p>
        </w:tc>
        <w:tc>
          <w:tcPr>
            <w:tcW w:w="704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Application fees, payable on application for—</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p>
        </w:tc>
        <w:tc>
          <w:tcPr>
            <w:tcW w:w="7046" w:type="dxa"/>
            <w:tcBorders>
              <w:top w:val="nil"/>
              <w:left w:val="nil"/>
              <w:bottom w:val="nil"/>
              <w:right w:val="nil"/>
            </w:tcBorders>
          </w:tcPr>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(a)</w:t>
            </w:r>
            <w:r>
              <w:rPr>
                <w:color w:val="000000"/>
                <w:sz w:val="20"/>
                <w:szCs w:val="20"/>
              </w:rPr>
              <w:tab/>
              <w:t>an exploration permit (section 20(1)(f))</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$7 500.00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p>
        </w:tc>
        <w:tc>
          <w:tcPr>
            <w:tcW w:w="7046" w:type="dxa"/>
            <w:tcBorders>
              <w:top w:val="nil"/>
              <w:left w:val="nil"/>
              <w:bottom w:val="nil"/>
              <w:right w:val="nil"/>
            </w:tcBorders>
          </w:tcPr>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(b)</w:t>
            </w:r>
            <w:r>
              <w:rPr>
                <w:color w:val="000000"/>
                <w:sz w:val="20"/>
                <w:szCs w:val="20"/>
              </w:rPr>
              <w:tab/>
              <w:t>an exploration permit in respect of a surrendered etc block (section 23(1)(a))</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$7 500.00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p>
        </w:tc>
        <w:tc>
          <w:tcPr>
            <w:tcW w:w="7046" w:type="dxa"/>
            <w:tcBorders>
              <w:top w:val="nil"/>
              <w:left w:val="nil"/>
              <w:bottom w:val="nil"/>
              <w:right w:val="nil"/>
            </w:tcBorders>
          </w:tcPr>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(c)</w:t>
            </w:r>
            <w:r>
              <w:rPr>
                <w:color w:val="000000"/>
                <w:sz w:val="20"/>
                <w:szCs w:val="20"/>
              </w:rPr>
              <w:tab/>
              <w:t>renewal of an exploration permit (section 29(2)(c))</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$7 500.00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p>
        </w:tc>
        <w:tc>
          <w:tcPr>
            <w:tcW w:w="7046" w:type="dxa"/>
            <w:tcBorders>
              <w:top w:val="nil"/>
              <w:left w:val="nil"/>
              <w:bottom w:val="nil"/>
              <w:right w:val="nil"/>
            </w:tcBorders>
          </w:tcPr>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(d)</w:t>
            </w:r>
            <w:r>
              <w:rPr>
                <w:color w:val="000000"/>
                <w:sz w:val="20"/>
                <w:szCs w:val="20"/>
              </w:rPr>
              <w:tab/>
              <w:t>a retention lease (section 37A(2)(e))</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$7 500.00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p>
        </w:tc>
        <w:tc>
          <w:tcPr>
            <w:tcW w:w="7046" w:type="dxa"/>
            <w:tcBorders>
              <w:top w:val="nil"/>
              <w:left w:val="nil"/>
              <w:bottom w:val="nil"/>
              <w:right w:val="nil"/>
            </w:tcBorders>
          </w:tcPr>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(e)</w:t>
            </w:r>
            <w:r>
              <w:rPr>
                <w:color w:val="000000"/>
                <w:sz w:val="20"/>
                <w:szCs w:val="20"/>
              </w:rPr>
              <w:tab/>
              <w:t>renewal of a retention lease (section 37F(2)(d))</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$7 500.00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p>
        </w:tc>
        <w:tc>
          <w:tcPr>
            <w:tcW w:w="7046" w:type="dxa"/>
            <w:tcBorders>
              <w:top w:val="nil"/>
              <w:left w:val="nil"/>
              <w:bottom w:val="nil"/>
              <w:right w:val="nil"/>
            </w:tcBorders>
          </w:tcPr>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(f)</w:t>
            </w:r>
            <w:r>
              <w:rPr>
                <w:color w:val="000000"/>
                <w:sz w:val="20"/>
                <w:szCs w:val="20"/>
              </w:rPr>
              <w:tab/>
              <w:t>a production licence (section 40(1)(e))</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$7 500.00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p>
        </w:tc>
        <w:tc>
          <w:tcPr>
            <w:tcW w:w="7046" w:type="dxa"/>
            <w:tcBorders>
              <w:top w:val="nil"/>
              <w:left w:val="nil"/>
              <w:bottom w:val="nil"/>
              <w:right w:val="nil"/>
            </w:tcBorders>
          </w:tcPr>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(g)</w:t>
            </w:r>
            <w:r>
              <w:rPr>
                <w:color w:val="000000"/>
                <w:sz w:val="20"/>
                <w:szCs w:val="20"/>
              </w:rPr>
              <w:tab/>
              <w:t>a production licence in respect of a surrendered etc block (section 47(1)(a))</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$7 500.00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p>
        </w:tc>
        <w:tc>
          <w:tcPr>
            <w:tcW w:w="7046" w:type="dxa"/>
            <w:tcBorders>
              <w:top w:val="nil"/>
              <w:left w:val="nil"/>
              <w:bottom w:val="nil"/>
              <w:right w:val="nil"/>
            </w:tcBorders>
          </w:tcPr>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(h)</w:t>
            </w:r>
            <w:r>
              <w:rPr>
                <w:color w:val="000000"/>
                <w:sz w:val="20"/>
                <w:szCs w:val="20"/>
              </w:rPr>
              <w:tab/>
              <w:t>2 or more production licences in exchange for original production licence (section 50(2)(e))</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$7 500.00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p>
        </w:tc>
        <w:tc>
          <w:tcPr>
            <w:tcW w:w="7046" w:type="dxa"/>
            <w:tcBorders>
              <w:top w:val="nil"/>
              <w:left w:val="nil"/>
              <w:bottom w:val="nil"/>
              <w:right w:val="nil"/>
            </w:tcBorders>
          </w:tcPr>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(i)</w:t>
            </w:r>
            <w:r>
              <w:rPr>
                <w:color w:val="000000"/>
                <w:sz w:val="20"/>
                <w:szCs w:val="20"/>
              </w:rPr>
              <w:tab/>
              <w:t>renewal of a production licence (section 53(2)(d))</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$7 500.00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p>
        </w:tc>
        <w:tc>
          <w:tcPr>
            <w:tcW w:w="7046" w:type="dxa"/>
            <w:tcBorders>
              <w:top w:val="nil"/>
              <w:left w:val="nil"/>
              <w:bottom w:val="nil"/>
              <w:right w:val="nil"/>
            </w:tcBorders>
          </w:tcPr>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(j)</w:t>
            </w:r>
            <w:r>
              <w:rPr>
                <w:color w:val="000000"/>
                <w:sz w:val="20"/>
                <w:szCs w:val="20"/>
              </w:rPr>
              <w:tab/>
              <w:t>a pipeline licence (section 63(1)(f))</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$7 500.00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p>
        </w:tc>
        <w:tc>
          <w:tcPr>
            <w:tcW w:w="7046" w:type="dxa"/>
            <w:tcBorders>
              <w:top w:val="nil"/>
              <w:left w:val="nil"/>
              <w:bottom w:val="nil"/>
              <w:right w:val="nil"/>
            </w:tcBorders>
          </w:tcPr>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(k)</w:t>
            </w:r>
            <w:r>
              <w:rPr>
                <w:color w:val="000000"/>
                <w:sz w:val="20"/>
                <w:szCs w:val="20"/>
              </w:rPr>
              <w:tab/>
              <w:t>renewal of a pipeline licence (section 67(2)(c))</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$7 500.00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p>
        </w:tc>
        <w:tc>
          <w:tcPr>
            <w:tcW w:w="7046" w:type="dxa"/>
            <w:tcBorders>
              <w:top w:val="nil"/>
              <w:left w:val="nil"/>
              <w:bottom w:val="nil"/>
              <w:right w:val="nil"/>
            </w:tcBorders>
          </w:tcPr>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(l)</w:t>
            </w:r>
            <w:r>
              <w:rPr>
                <w:color w:val="000000"/>
                <w:sz w:val="20"/>
                <w:szCs w:val="20"/>
              </w:rPr>
              <w:tab/>
              <w:t>variation of a pipeline licence (section 70(2)(e))</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$7 500.00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p>
        </w:tc>
        <w:tc>
          <w:tcPr>
            <w:tcW w:w="7046" w:type="dxa"/>
            <w:tcBorders>
              <w:top w:val="nil"/>
              <w:left w:val="nil"/>
              <w:bottom w:val="nil"/>
              <w:right w:val="nil"/>
            </w:tcBorders>
          </w:tcPr>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(m)</w:t>
            </w:r>
            <w:r>
              <w:rPr>
                <w:color w:val="000000"/>
                <w:sz w:val="20"/>
                <w:szCs w:val="20"/>
              </w:rPr>
              <w:tab/>
              <w:t>registration of devolution of title (section 78(2))</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$105.00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p>
        </w:tc>
        <w:tc>
          <w:tcPr>
            <w:tcW w:w="7046" w:type="dxa"/>
            <w:tcBorders>
              <w:top w:val="nil"/>
              <w:left w:val="nil"/>
              <w:bottom w:val="nil"/>
              <w:right w:val="nil"/>
            </w:tcBorders>
          </w:tcPr>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(n)</w:t>
            </w:r>
            <w:r>
              <w:rPr>
                <w:color w:val="000000"/>
                <w:sz w:val="20"/>
                <w:szCs w:val="20"/>
              </w:rPr>
              <w:tab/>
              <w:t>registration of change of company name (section 78(3)(b))</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$105.00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p>
        </w:tc>
        <w:tc>
          <w:tcPr>
            <w:tcW w:w="7046" w:type="dxa"/>
            <w:tcBorders>
              <w:top w:val="nil"/>
              <w:left w:val="nil"/>
              <w:bottom w:val="nil"/>
              <w:right w:val="nil"/>
            </w:tcBorders>
          </w:tcPr>
          <w:p w:rsidR="0065609F" w:rsidRDefault="0065609F" w:rsidP="00944456">
            <w:pPr>
              <w:keepLines/>
              <w:tabs>
                <w:tab w:val="center" w:pos="397"/>
                <w:tab w:val="left" w:pos="794"/>
              </w:tabs>
              <w:autoSpaceDE w:val="0"/>
              <w:autoSpaceDN w:val="0"/>
              <w:adjustRightInd w:val="0"/>
              <w:spacing w:before="120" w:after="0" w:line="240" w:lineRule="auto"/>
              <w:ind w:left="794" w:hanging="794"/>
              <w:jc w:val="left"/>
              <w:rPr>
                <w:color w:val="000000"/>
                <w:sz w:val="20"/>
                <w:szCs w:val="20"/>
              </w:rPr>
            </w:pPr>
            <w:r>
              <w:rPr>
                <w:color w:val="000000"/>
                <w:sz w:val="20"/>
                <w:szCs w:val="20"/>
              </w:rPr>
              <w:tab/>
              <w:t>(o)</w:t>
            </w:r>
            <w:r>
              <w:rPr>
                <w:color w:val="000000"/>
                <w:sz w:val="20"/>
                <w:szCs w:val="20"/>
              </w:rPr>
              <w:tab/>
              <w:t>special prospecting authority (section 110(2)(d))</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$7 500.00</w:t>
            </w:r>
          </w:p>
        </w:tc>
      </w:tr>
    </w:tbl>
    <w:p w:rsidR="00953DEF" w:rsidRDefault="00953DEF" w:rsidP="00944456">
      <w:pPr>
        <w:jc w:val="left"/>
      </w:pPr>
      <w:r>
        <w:br w:type="page"/>
      </w:r>
    </w:p>
    <w:tbl>
      <w:tblPr>
        <w:tblW w:w="0" w:type="auto"/>
        <w:tblInd w:w="60" w:type="dxa"/>
        <w:tblLayout w:type="fixed"/>
        <w:tblCellMar>
          <w:left w:w="60" w:type="dxa"/>
          <w:right w:w="60" w:type="dxa"/>
        </w:tblCellMar>
        <w:tblLook w:val="0000" w:firstRow="0" w:lastRow="0" w:firstColumn="0" w:lastColumn="0" w:noHBand="0" w:noVBand="0"/>
      </w:tblPr>
      <w:tblGrid>
        <w:gridCol w:w="296"/>
        <w:gridCol w:w="7046"/>
        <w:gridCol w:w="1443"/>
      </w:tblGrid>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2</w:t>
            </w:r>
          </w:p>
        </w:tc>
        <w:tc>
          <w:tcPr>
            <w:tcW w:w="704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For inspection of register and all instruments or copies subject to inspection (section 85(1))</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$20.00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3</w:t>
            </w:r>
          </w:p>
        </w:tc>
        <w:tc>
          <w:tcPr>
            <w:tcW w:w="704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For certified copy or extract from register etc (section 86(2))—per page</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$4.00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4</w:t>
            </w:r>
          </w:p>
        </w:tc>
        <w:tc>
          <w:tcPr>
            <w:tcW w:w="704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For Minister's certificate as to registration etc (section 86(3))</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$50.00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5</w:t>
            </w:r>
          </w:p>
        </w:tc>
        <w:tc>
          <w:tcPr>
            <w:tcW w:w="704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For access to information, or cores, cuttings or samples, under section 117(1b)(b), (2)(b), (3)(b), (5)(c), (5)(d) or (5a)(b)—per day</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$45.00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6</w:t>
            </w:r>
          </w:p>
        </w:tc>
        <w:tc>
          <w:tcPr>
            <w:tcW w:w="704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Annual exploration permit fee (section 138)</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$10 000.00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7</w:t>
            </w:r>
          </w:p>
        </w:tc>
        <w:tc>
          <w:tcPr>
            <w:tcW w:w="704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Annual retention lease fee, payable in respect of each block to which the lease relates at the commencement of each year of the term of the lease (section 138)</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$20 000.00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8</w:t>
            </w:r>
          </w:p>
        </w:tc>
        <w:tc>
          <w:tcPr>
            <w:tcW w:w="704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Annual production licence fee, payable in respect of each block to which the licence relates at the commencement of each year of the term of the licence (section 138)</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$20 000.00</w:t>
            </w:r>
          </w:p>
        </w:tc>
      </w:tr>
      <w:tr w:rsidR="0065609F" w:rsidTr="00232EEC">
        <w:trPr>
          <w:cantSplit/>
        </w:trPr>
        <w:tc>
          <w:tcPr>
            <w:tcW w:w="29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9</w:t>
            </w:r>
          </w:p>
        </w:tc>
        <w:tc>
          <w:tcPr>
            <w:tcW w:w="7046"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Annual pipeline licence fee, payable in respect of each kilometre (or part kilometre) of the length of the pipeline at the commencement of each year of the term of the pipeline licence (section 138)</w:t>
            </w:r>
          </w:p>
        </w:tc>
        <w:tc>
          <w:tcPr>
            <w:tcW w:w="1443" w:type="dxa"/>
            <w:tcBorders>
              <w:top w:val="nil"/>
              <w:left w:val="nil"/>
              <w:bottom w:val="nil"/>
              <w:right w:val="nil"/>
            </w:tcBorders>
          </w:tcPr>
          <w:p w:rsidR="0065609F" w:rsidRDefault="0065609F" w:rsidP="00944456">
            <w:pPr>
              <w:keepLines/>
              <w:autoSpaceDE w:val="0"/>
              <w:autoSpaceDN w:val="0"/>
              <w:adjustRightInd w:val="0"/>
              <w:spacing w:before="120" w:after="0" w:line="240" w:lineRule="auto"/>
              <w:jc w:val="left"/>
              <w:rPr>
                <w:color w:val="000000"/>
                <w:sz w:val="20"/>
                <w:szCs w:val="20"/>
              </w:rPr>
            </w:pPr>
            <w:r>
              <w:rPr>
                <w:color w:val="000000"/>
                <w:sz w:val="20"/>
                <w:szCs w:val="20"/>
              </w:rPr>
              <w:t>$100.00</w:t>
            </w:r>
          </w:p>
        </w:tc>
      </w:tr>
    </w:tbl>
    <w:p w:rsidR="0065609F" w:rsidRDefault="0065609F" w:rsidP="00944456">
      <w:pPr>
        <w:keepNext/>
        <w:keepLines/>
        <w:autoSpaceDE w:val="0"/>
        <w:autoSpaceDN w:val="0"/>
        <w:adjustRightInd w:val="0"/>
        <w:spacing w:before="280" w:after="0" w:line="240" w:lineRule="auto"/>
        <w:ind w:left="567" w:hanging="567"/>
        <w:jc w:val="left"/>
        <w:rPr>
          <w:b/>
          <w:bCs/>
          <w:color w:val="000000"/>
          <w:sz w:val="32"/>
          <w:szCs w:val="32"/>
        </w:rPr>
      </w:pPr>
      <w:bookmarkStart w:id="727" w:name="Elkera_Print_TOC346"/>
      <w:bookmarkStart w:id="728" w:name="Elkera_Print_BK346"/>
      <w:r>
        <w:rPr>
          <w:b/>
          <w:bCs/>
          <w:color w:val="000000"/>
          <w:sz w:val="32"/>
          <w:szCs w:val="32"/>
        </w:rPr>
        <w:t xml:space="preserve">Schedule 4—Revocation of </w:t>
      </w:r>
      <w:r>
        <w:rPr>
          <w:b/>
          <w:bCs/>
          <w:i/>
          <w:iCs/>
          <w:color w:val="000000"/>
          <w:sz w:val="32"/>
          <w:szCs w:val="32"/>
        </w:rPr>
        <w:t>Petroleum (Submerged Lands) Regulations 2005</w:t>
      </w:r>
      <w:bookmarkEnd w:id="727"/>
      <w:bookmarkEnd w:id="728"/>
    </w:p>
    <w:p w:rsidR="0065609F" w:rsidRDefault="0065609F" w:rsidP="00944456">
      <w:pPr>
        <w:keepLines/>
        <w:autoSpaceDE w:val="0"/>
        <w:autoSpaceDN w:val="0"/>
        <w:adjustRightInd w:val="0"/>
        <w:spacing w:before="120" w:after="0" w:line="240" w:lineRule="auto"/>
        <w:jc w:val="left"/>
        <w:rPr>
          <w:color w:val="000000"/>
          <w:sz w:val="23"/>
          <w:szCs w:val="23"/>
        </w:rPr>
      </w:pPr>
      <w:r>
        <w:rPr>
          <w:color w:val="000000"/>
          <w:sz w:val="23"/>
          <w:szCs w:val="23"/>
        </w:rPr>
        <w:t xml:space="preserve">The </w:t>
      </w:r>
      <w:hyperlink r:id="rId53" w:history="1">
        <w:r>
          <w:rPr>
            <w:i/>
            <w:iCs/>
            <w:color w:val="000000"/>
            <w:sz w:val="23"/>
            <w:szCs w:val="23"/>
          </w:rPr>
          <w:t>Petroleum (Submerged Lands) Regulations 2005</w:t>
        </w:r>
      </w:hyperlink>
      <w:r>
        <w:rPr>
          <w:color w:val="000000"/>
          <w:sz w:val="23"/>
          <w:szCs w:val="23"/>
        </w:rPr>
        <w:t xml:space="preserve"> are revoked.</w:t>
      </w:r>
    </w:p>
    <w:p w:rsidR="0065609F" w:rsidRDefault="0065609F" w:rsidP="00944456">
      <w:pPr>
        <w:keepNext/>
        <w:keepLines/>
        <w:autoSpaceDE w:val="0"/>
        <w:autoSpaceDN w:val="0"/>
        <w:adjustRightInd w:val="0"/>
        <w:spacing w:before="120" w:after="0" w:line="240" w:lineRule="auto"/>
        <w:ind w:left="794" w:hanging="794"/>
        <w:jc w:val="left"/>
        <w:rPr>
          <w:b/>
          <w:bCs/>
          <w:color w:val="000000"/>
          <w:sz w:val="20"/>
          <w:szCs w:val="20"/>
        </w:rPr>
      </w:pPr>
      <w:r>
        <w:rPr>
          <w:b/>
          <w:bCs/>
          <w:color w:val="000000"/>
          <w:sz w:val="20"/>
          <w:szCs w:val="20"/>
        </w:rPr>
        <w:t>Note—</w:t>
      </w:r>
    </w:p>
    <w:p w:rsidR="0065609F" w:rsidRDefault="0065609F" w:rsidP="00944456">
      <w:pPr>
        <w:keepLines/>
        <w:autoSpaceDE w:val="0"/>
        <w:autoSpaceDN w:val="0"/>
        <w:adjustRightInd w:val="0"/>
        <w:spacing w:before="120" w:after="0" w:line="240" w:lineRule="auto"/>
        <w:ind w:left="794"/>
        <w:jc w:val="left"/>
        <w:rPr>
          <w:color w:val="000000"/>
          <w:sz w:val="20"/>
          <w:szCs w:val="20"/>
        </w:rPr>
      </w:pPr>
      <w:r>
        <w:rPr>
          <w:color w:val="000000"/>
          <w:sz w:val="20"/>
          <w:szCs w:val="20"/>
        </w:rPr>
        <w:t xml:space="preserve">As required by section 10AA(2) of the </w:t>
      </w:r>
      <w:hyperlink r:id="rId54" w:history="1">
        <w:r>
          <w:rPr>
            <w:i/>
            <w:iCs/>
            <w:color w:val="000000"/>
            <w:sz w:val="20"/>
            <w:szCs w:val="20"/>
          </w:rPr>
          <w:t>Subordinate Legislation Act 1978</w:t>
        </w:r>
      </w:hyperlink>
      <w:r>
        <w:rPr>
          <w:color w:val="000000"/>
          <w:sz w:val="20"/>
          <w:szCs w:val="20"/>
        </w:rPr>
        <w:t>, the Minister has certified that, in the Minister's opinion, it is necessary or appropriate that these regulations come into operation as set out in these regulations.</w:t>
      </w:r>
    </w:p>
    <w:p w:rsidR="0065609F" w:rsidRDefault="0065609F" w:rsidP="00944456">
      <w:pPr>
        <w:keepNext/>
        <w:keepLines/>
        <w:autoSpaceDE w:val="0"/>
        <w:autoSpaceDN w:val="0"/>
        <w:adjustRightInd w:val="0"/>
        <w:spacing w:before="120" w:after="0" w:line="240" w:lineRule="auto"/>
        <w:jc w:val="left"/>
        <w:rPr>
          <w:b/>
          <w:bCs/>
          <w:color w:val="000000"/>
          <w:sz w:val="26"/>
          <w:szCs w:val="26"/>
        </w:rPr>
      </w:pPr>
      <w:r>
        <w:rPr>
          <w:b/>
          <w:bCs/>
          <w:color w:val="000000"/>
          <w:sz w:val="26"/>
          <w:szCs w:val="26"/>
        </w:rPr>
        <w:t>Made by the Governor</w:t>
      </w:r>
    </w:p>
    <w:p w:rsidR="0065609F" w:rsidRDefault="0065609F" w:rsidP="00944456">
      <w:pPr>
        <w:keepNext/>
        <w:keepLines/>
        <w:autoSpaceDE w:val="0"/>
        <w:autoSpaceDN w:val="0"/>
        <w:adjustRightInd w:val="0"/>
        <w:spacing w:before="120" w:after="0" w:line="240" w:lineRule="auto"/>
        <w:jc w:val="left"/>
        <w:rPr>
          <w:color w:val="000000"/>
          <w:sz w:val="23"/>
          <w:szCs w:val="23"/>
        </w:rPr>
      </w:pPr>
      <w:r>
        <w:rPr>
          <w:color w:val="000000"/>
          <w:sz w:val="23"/>
          <w:szCs w:val="23"/>
        </w:rPr>
        <w:t>with the advice and consent of the Executive Council</w:t>
      </w:r>
    </w:p>
    <w:p w:rsidR="0065609F" w:rsidRDefault="0065609F" w:rsidP="00944456">
      <w:pPr>
        <w:keepNext/>
        <w:keepLines/>
        <w:autoSpaceDE w:val="0"/>
        <w:autoSpaceDN w:val="0"/>
        <w:adjustRightInd w:val="0"/>
        <w:spacing w:after="0" w:line="240" w:lineRule="auto"/>
        <w:jc w:val="left"/>
        <w:rPr>
          <w:color w:val="000000"/>
          <w:sz w:val="23"/>
          <w:szCs w:val="23"/>
        </w:rPr>
      </w:pPr>
      <w:r>
        <w:rPr>
          <w:color w:val="000000"/>
          <w:sz w:val="23"/>
          <w:szCs w:val="23"/>
        </w:rPr>
        <w:t>on 23 July 2020</w:t>
      </w:r>
    </w:p>
    <w:p w:rsidR="0065609F" w:rsidRDefault="0065609F" w:rsidP="00944456">
      <w:pPr>
        <w:keepNext/>
        <w:keepLines/>
        <w:autoSpaceDE w:val="0"/>
        <w:autoSpaceDN w:val="0"/>
        <w:adjustRightInd w:val="0"/>
        <w:spacing w:before="120" w:after="0" w:line="240" w:lineRule="auto"/>
        <w:jc w:val="left"/>
        <w:rPr>
          <w:color w:val="000000"/>
          <w:sz w:val="23"/>
          <w:szCs w:val="23"/>
        </w:rPr>
      </w:pPr>
      <w:r>
        <w:rPr>
          <w:color w:val="000000"/>
          <w:sz w:val="23"/>
          <w:szCs w:val="23"/>
        </w:rPr>
        <w:t>No 240 of 2020</w:t>
      </w:r>
    </w:p>
    <w:p w:rsidR="009A7984" w:rsidRDefault="009A7984" w:rsidP="009A7984">
      <w:pPr>
        <w:pBdr>
          <w:top w:val="single" w:sz="4" w:space="1" w:color="auto"/>
        </w:pBdr>
        <w:autoSpaceDE w:val="0"/>
        <w:autoSpaceDN w:val="0"/>
        <w:adjustRightInd w:val="0"/>
        <w:spacing w:before="100" w:after="0" w:line="14" w:lineRule="exact"/>
        <w:jc w:val="center"/>
        <w:rPr>
          <w:color w:val="000000"/>
          <w:sz w:val="23"/>
          <w:szCs w:val="23"/>
        </w:rPr>
      </w:pPr>
    </w:p>
    <w:p w:rsidR="009A7984" w:rsidRDefault="009A7984" w:rsidP="009A798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olor w:val="000000"/>
          <w:sz w:val="23"/>
          <w:szCs w:val="23"/>
        </w:rPr>
      </w:pPr>
    </w:p>
    <w:p w:rsidR="001B6B5D" w:rsidRPr="00F76A36" w:rsidRDefault="001B6B5D">
      <w:pPr>
        <w:spacing w:after="0" w:line="240" w:lineRule="auto"/>
        <w:jc w:val="left"/>
        <w:rPr>
          <w:b/>
          <w:smallCaps/>
          <w:color w:val="000000"/>
          <w:szCs w:val="17"/>
          <w:lang w:val="en-US"/>
        </w:rPr>
      </w:pPr>
      <w:r>
        <w:rPr>
          <w:lang w:val="en-US"/>
        </w:rPr>
        <w:br w:type="page"/>
      </w:r>
    </w:p>
    <w:p w:rsidR="001B6B5D" w:rsidRPr="001B6B5D" w:rsidRDefault="001B6B5D" w:rsidP="00470B74">
      <w:pPr>
        <w:pStyle w:val="RegSpace"/>
        <w:rPr>
          <w:lang w:val="en-US"/>
        </w:rPr>
      </w:pPr>
    </w:p>
    <w:p w:rsidR="001B6B5D" w:rsidRDefault="001B6B5D" w:rsidP="0001259D">
      <w:pPr>
        <w:keepLines/>
        <w:autoSpaceDE w:val="0"/>
        <w:autoSpaceDN w:val="0"/>
        <w:adjustRightInd w:val="0"/>
        <w:spacing w:before="240" w:after="0" w:line="240" w:lineRule="auto"/>
        <w:jc w:val="left"/>
        <w:rPr>
          <w:color w:val="000000"/>
          <w:sz w:val="28"/>
          <w:szCs w:val="28"/>
        </w:rPr>
      </w:pPr>
      <w:r>
        <w:rPr>
          <w:color w:val="000000"/>
          <w:sz w:val="28"/>
          <w:szCs w:val="28"/>
        </w:rPr>
        <w:t>South Australia</w:t>
      </w:r>
    </w:p>
    <w:p w:rsidR="001B6B5D" w:rsidRDefault="001B6B5D" w:rsidP="00B20C8E">
      <w:pPr>
        <w:pStyle w:val="Heading3"/>
      </w:pPr>
      <w:bookmarkStart w:id="729" w:name="_Toc46398092"/>
      <w:r>
        <w:t>Planning, Development and Infrastructure (General) (Miscellaneous) (No 2) Variation Regulations 2020</w:t>
      </w:r>
      <w:bookmarkEnd w:id="729"/>
    </w:p>
    <w:p w:rsidR="001B6B5D" w:rsidRDefault="001B6B5D" w:rsidP="0001259D">
      <w:pPr>
        <w:keepLines/>
        <w:autoSpaceDE w:val="0"/>
        <w:autoSpaceDN w:val="0"/>
        <w:adjustRightInd w:val="0"/>
        <w:spacing w:before="80" w:after="240" w:line="240" w:lineRule="auto"/>
        <w:jc w:val="left"/>
        <w:rPr>
          <w:color w:val="000000"/>
          <w:sz w:val="24"/>
          <w:szCs w:val="24"/>
        </w:rPr>
      </w:pPr>
      <w:r>
        <w:rPr>
          <w:color w:val="000000"/>
          <w:sz w:val="24"/>
          <w:szCs w:val="24"/>
        </w:rPr>
        <w:t xml:space="preserve">under the </w:t>
      </w:r>
      <w:r>
        <w:rPr>
          <w:i/>
          <w:iCs/>
          <w:color w:val="000000"/>
          <w:sz w:val="24"/>
          <w:szCs w:val="24"/>
        </w:rPr>
        <w:t>Planning, Development and Infrastructure Act 2016</w:t>
      </w:r>
    </w:p>
    <w:p w:rsidR="001B6B5D" w:rsidRDefault="001B6B5D" w:rsidP="0001259D">
      <w:pPr>
        <w:keepLines/>
        <w:pBdr>
          <w:top w:val="single" w:sz="4" w:space="0" w:color="auto"/>
        </w:pBdr>
        <w:autoSpaceDE w:val="0"/>
        <w:autoSpaceDN w:val="0"/>
        <w:adjustRightInd w:val="0"/>
        <w:spacing w:before="120" w:after="120" w:line="240" w:lineRule="auto"/>
        <w:jc w:val="left"/>
        <w:rPr>
          <w:color w:val="000000"/>
          <w:sz w:val="2"/>
          <w:szCs w:val="2"/>
        </w:rPr>
      </w:pPr>
    </w:p>
    <w:p w:rsidR="001B6B5D" w:rsidRDefault="001B6B5D" w:rsidP="0001259D">
      <w:pPr>
        <w:pStyle w:val="contentshead"/>
      </w:pPr>
      <w:r>
        <w:t>Contents</w:t>
      </w:r>
    </w:p>
    <w:p w:rsidR="001B6B5D" w:rsidRDefault="00123FDA" w:rsidP="0001259D">
      <w:pPr>
        <w:keepNext/>
        <w:keepLines/>
        <w:autoSpaceDE w:val="0"/>
        <w:autoSpaceDN w:val="0"/>
        <w:adjustRightInd w:val="0"/>
        <w:spacing w:before="120" w:after="120" w:line="240" w:lineRule="auto"/>
        <w:jc w:val="left"/>
        <w:rPr>
          <w:color w:val="000000"/>
          <w:sz w:val="28"/>
          <w:szCs w:val="28"/>
        </w:rPr>
      </w:pPr>
      <w:hyperlink w:anchor="Elkera_Print_BK1" w:history="1">
        <w:r w:rsidR="001B6B5D">
          <w:rPr>
            <w:color w:val="000000"/>
            <w:sz w:val="28"/>
            <w:szCs w:val="28"/>
          </w:rPr>
          <w:t>Part 1—Preliminary</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2" w:history="1">
        <w:r w:rsidR="001B6B5D">
          <w:rPr>
            <w:color w:val="000000"/>
          </w:rPr>
          <w:t>1</w:t>
        </w:r>
        <w:r w:rsidR="001B6B5D">
          <w:rPr>
            <w:color w:val="000000"/>
          </w:rPr>
          <w:tab/>
          <w:t>Short title</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3" w:history="1">
        <w:r w:rsidR="001B6B5D">
          <w:rPr>
            <w:color w:val="000000"/>
          </w:rPr>
          <w:t>2</w:t>
        </w:r>
        <w:r w:rsidR="001B6B5D">
          <w:rPr>
            <w:color w:val="000000"/>
          </w:rPr>
          <w:tab/>
          <w:t>Commencement</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4" w:history="1">
        <w:r w:rsidR="001B6B5D">
          <w:rPr>
            <w:color w:val="000000"/>
          </w:rPr>
          <w:t>3</w:t>
        </w:r>
        <w:r w:rsidR="001B6B5D">
          <w:rPr>
            <w:color w:val="000000"/>
          </w:rPr>
          <w:tab/>
          <w:t>Variation provisions</w:t>
        </w:r>
      </w:hyperlink>
    </w:p>
    <w:p w:rsidR="001B6B5D" w:rsidRDefault="00123FDA" w:rsidP="0001259D">
      <w:pPr>
        <w:keepNext/>
        <w:keepLines/>
        <w:autoSpaceDE w:val="0"/>
        <w:autoSpaceDN w:val="0"/>
        <w:adjustRightInd w:val="0"/>
        <w:spacing w:before="120" w:after="120" w:line="240" w:lineRule="auto"/>
        <w:jc w:val="left"/>
        <w:rPr>
          <w:color w:val="000000"/>
          <w:sz w:val="28"/>
          <w:szCs w:val="28"/>
        </w:rPr>
      </w:pPr>
      <w:hyperlink w:anchor="Elkera_Print_BK5" w:history="1">
        <w:r w:rsidR="001B6B5D">
          <w:rPr>
            <w:color w:val="000000"/>
            <w:sz w:val="28"/>
            <w:szCs w:val="28"/>
          </w:rPr>
          <w:t xml:space="preserve">Part 2—Variation of </w:t>
        </w:r>
        <w:r w:rsidR="001B6B5D">
          <w:rPr>
            <w:i/>
            <w:iCs/>
            <w:color w:val="000000"/>
            <w:sz w:val="28"/>
            <w:szCs w:val="28"/>
          </w:rPr>
          <w:t>Planning, Development and Infrastructure (General) Regulations 2017</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idc8cc6c4a_bb09_46b2_86ac_20813cc1664d_4" w:history="1">
        <w:r w:rsidR="001B6B5D">
          <w:rPr>
            <w:color w:val="000000"/>
          </w:rPr>
          <w:t>4</w:t>
        </w:r>
        <w:r w:rsidR="001B6B5D">
          <w:rPr>
            <w:color w:val="000000"/>
          </w:rPr>
          <w:tab/>
          <w:t>Variation of regulation 3—Interpretation</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8" w:history="1">
        <w:r w:rsidR="001B6B5D">
          <w:rPr>
            <w:color w:val="000000"/>
          </w:rPr>
          <w:t>5</w:t>
        </w:r>
        <w:r w:rsidR="001B6B5D">
          <w:rPr>
            <w:color w:val="000000"/>
          </w:rPr>
          <w:tab/>
          <w:t>Variation of regulation 3A—Application of Act (section 8)</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9" w:history="1">
        <w:r w:rsidR="001B6B5D">
          <w:rPr>
            <w:color w:val="000000"/>
          </w:rPr>
          <w:t>6</w:t>
        </w:r>
        <w:r w:rsidR="001B6B5D">
          <w:rPr>
            <w:color w:val="000000"/>
          </w:rPr>
          <w:tab/>
          <w:t>Variation of regulation 3F—Regulated and significant trees</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10" w:history="1">
        <w:r w:rsidR="001B6B5D">
          <w:rPr>
            <w:color w:val="000000"/>
          </w:rPr>
          <w:t>7</w:t>
        </w:r>
        <w:r w:rsidR="001B6B5D">
          <w:rPr>
            <w:color w:val="000000"/>
          </w:rPr>
          <w:tab/>
          <w:t>Variation of regulation 19—Incorporation of material (section 71(b))</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11" w:history="1">
        <w:r w:rsidR="001B6B5D">
          <w:rPr>
            <w:color w:val="000000"/>
          </w:rPr>
          <w:t>8</w:t>
        </w:r>
        <w:r w:rsidR="001B6B5D">
          <w:rPr>
            <w:color w:val="000000"/>
          </w:rPr>
          <w:tab/>
          <w:t>Variation of regulation 21—Minor or operational amendments (section 76)</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12" w:history="1">
        <w:r w:rsidR="001B6B5D">
          <w:rPr>
            <w:color w:val="000000"/>
          </w:rPr>
          <w:t>9</w:t>
        </w:r>
        <w:r w:rsidR="001B6B5D">
          <w:rPr>
            <w:color w:val="000000"/>
          </w:rPr>
          <w:tab/>
          <w:t>Variation of regulation 22—Prescribed scheme (section 93)</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13" w:history="1">
        <w:r w:rsidR="001B6B5D">
          <w:rPr>
            <w:color w:val="000000"/>
          </w:rPr>
          <w:t>10</w:t>
        </w:r>
        <w:r w:rsidR="001B6B5D">
          <w:rPr>
            <w:color w:val="000000"/>
          </w:rPr>
          <w:tab/>
          <w:t>Variation of regulation 43—River Murray</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14" w:history="1">
        <w:r w:rsidR="001B6B5D">
          <w:rPr>
            <w:color w:val="000000"/>
          </w:rPr>
          <w:t>11</w:t>
        </w:r>
        <w:r w:rsidR="001B6B5D">
          <w:rPr>
            <w:color w:val="000000"/>
          </w:rPr>
          <w:tab/>
          <w:t>Variation of regulation 44—Appeals</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15" w:history="1">
        <w:r w:rsidR="001B6B5D">
          <w:rPr>
            <w:color w:val="000000"/>
          </w:rPr>
          <w:t>12</w:t>
        </w:r>
        <w:r w:rsidR="001B6B5D">
          <w:rPr>
            <w:color w:val="000000"/>
          </w:rPr>
          <w:tab/>
          <w:t>Variation of regulation 47—Performance assessed development and restricted development</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16" w:history="1">
        <w:r w:rsidR="001B6B5D">
          <w:rPr>
            <w:color w:val="000000"/>
          </w:rPr>
          <w:t>13</w:t>
        </w:r>
        <w:r w:rsidR="001B6B5D">
          <w:rPr>
            <w:color w:val="000000"/>
          </w:rPr>
          <w:tab/>
          <w:t>Variation of regulation 57—Notice of decision (section 126(1))</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17" w:history="1">
        <w:r w:rsidR="001B6B5D">
          <w:rPr>
            <w:color w:val="000000"/>
          </w:rPr>
          <w:t>14</w:t>
        </w:r>
        <w:r w:rsidR="001B6B5D">
          <w:rPr>
            <w:color w:val="000000"/>
          </w:rPr>
          <w:tab/>
          <w:t>Variation of regulation 64—Building work affecting other land</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18" w:history="1">
        <w:r w:rsidR="001B6B5D">
          <w:rPr>
            <w:color w:val="000000"/>
          </w:rPr>
          <w:t>15</w:t>
        </w:r>
        <w:r w:rsidR="001B6B5D">
          <w:rPr>
            <w:color w:val="000000"/>
          </w:rPr>
          <w:tab/>
          <w:t>Insertion of regulation 64A</w:t>
        </w:r>
      </w:hyperlink>
    </w:p>
    <w:p w:rsidR="001B6B5D" w:rsidRDefault="00123FDA" w:rsidP="0001259D">
      <w:pPr>
        <w:keepLines/>
        <w:tabs>
          <w:tab w:val="left" w:pos="2382"/>
        </w:tabs>
        <w:autoSpaceDE w:val="0"/>
        <w:autoSpaceDN w:val="0"/>
        <w:adjustRightInd w:val="0"/>
        <w:spacing w:after="0" w:line="240" w:lineRule="auto"/>
        <w:ind w:left="1588" w:hanging="794"/>
        <w:jc w:val="left"/>
        <w:rPr>
          <w:color w:val="000000"/>
          <w:sz w:val="18"/>
          <w:szCs w:val="18"/>
        </w:rPr>
      </w:pPr>
      <w:hyperlink w:anchor="Elkera_Print_BK19" w:history="1">
        <w:r w:rsidR="001B6B5D">
          <w:rPr>
            <w:color w:val="000000"/>
            <w:sz w:val="18"/>
            <w:szCs w:val="18"/>
          </w:rPr>
          <w:t>64A</w:t>
        </w:r>
        <w:r w:rsidR="001B6B5D">
          <w:rPr>
            <w:color w:val="000000"/>
            <w:sz w:val="18"/>
            <w:szCs w:val="18"/>
          </w:rPr>
          <w:tab/>
          <w:t>Access to neighbouring land</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20" w:history="1">
        <w:r w:rsidR="001B6B5D">
          <w:rPr>
            <w:color w:val="000000"/>
          </w:rPr>
          <w:t>16</w:t>
        </w:r>
        <w:r w:rsidR="001B6B5D">
          <w:rPr>
            <w:color w:val="000000"/>
          </w:rPr>
          <w:tab/>
          <w:t>Variation of regulation 65—Variation of authorisation (section 128)</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21" w:history="1">
        <w:r w:rsidR="001B6B5D">
          <w:rPr>
            <w:color w:val="000000"/>
          </w:rPr>
          <w:t>17</w:t>
        </w:r>
        <w:r w:rsidR="001B6B5D">
          <w:rPr>
            <w:color w:val="000000"/>
          </w:rPr>
          <w:tab/>
          <w:t>Variation of regulation 68—Procedural matters (section 111(2))</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22" w:history="1">
        <w:r w:rsidR="001B6B5D">
          <w:rPr>
            <w:color w:val="000000"/>
          </w:rPr>
          <w:t>18</w:t>
        </w:r>
        <w:r w:rsidR="001B6B5D">
          <w:rPr>
            <w:color w:val="000000"/>
          </w:rPr>
          <w:tab/>
          <w:t>Variation of regulation 93—Notifications during building work</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23" w:history="1">
        <w:r w:rsidR="001B6B5D">
          <w:rPr>
            <w:color w:val="000000"/>
          </w:rPr>
          <w:t>19</w:t>
        </w:r>
        <w:r w:rsidR="001B6B5D">
          <w:rPr>
            <w:color w:val="000000"/>
          </w:rPr>
          <w:tab/>
          <w:t>Variation of regulation 94—Essential safety provisions</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24" w:history="1">
        <w:r w:rsidR="001B6B5D">
          <w:rPr>
            <w:color w:val="000000"/>
          </w:rPr>
          <w:t>20</w:t>
        </w:r>
        <w:r w:rsidR="001B6B5D">
          <w:rPr>
            <w:color w:val="000000"/>
          </w:rPr>
          <w:tab/>
          <w:t>Variation of regulation 99—Construction Industry Training Fund</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25" w:history="1">
        <w:r w:rsidR="001B6B5D">
          <w:rPr>
            <w:color w:val="000000"/>
          </w:rPr>
          <w:t>21</w:t>
        </w:r>
        <w:r w:rsidR="001B6B5D">
          <w:rPr>
            <w:color w:val="000000"/>
          </w:rPr>
          <w:tab/>
          <w:t>Variation of regulation 103—Certificates of occupancy</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26" w:history="1">
        <w:r w:rsidR="001B6B5D">
          <w:rPr>
            <w:color w:val="000000"/>
          </w:rPr>
          <w:t>22</w:t>
        </w:r>
        <w:r w:rsidR="001B6B5D">
          <w:rPr>
            <w:color w:val="000000"/>
          </w:rPr>
          <w:tab/>
          <w:t>Variation of regulation 104—Statement of Compliance</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27" w:history="1">
        <w:r w:rsidR="001B6B5D">
          <w:rPr>
            <w:color w:val="000000"/>
          </w:rPr>
          <w:t>23</w:t>
        </w:r>
        <w:r w:rsidR="001B6B5D">
          <w:rPr>
            <w:color w:val="000000"/>
          </w:rPr>
          <w:tab/>
          <w:t>Variation of regulation 112—Authorised officers and inspections</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id21ddaf9d_be9d_4620_867f_00697adbf05c_0" w:history="1">
        <w:r w:rsidR="001B6B5D">
          <w:rPr>
            <w:color w:val="000000"/>
          </w:rPr>
          <w:t>24</w:t>
        </w:r>
        <w:r w:rsidR="001B6B5D">
          <w:rPr>
            <w:color w:val="000000"/>
          </w:rPr>
          <w:tab/>
          <w:t>Variation of regulation 116—Rights of review and appeal</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30" w:history="1">
        <w:r w:rsidR="001B6B5D">
          <w:rPr>
            <w:color w:val="000000"/>
          </w:rPr>
          <w:t>25</w:t>
        </w:r>
        <w:r w:rsidR="001B6B5D">
          <w:rPr>
            <w:color w:val="000000"/>
          </w:rPr>
          <w:tab/>
          <w:t>Variation of regulation 119—Application of Fund</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iddf978a55_2955_43d9_87db_e59686b0cb73_6" w:history="1">
        <w:r w:rsidR="001B6B5D">
          <w:rPr>
            <w:color w:val="000000"/>
          </w:rPr>
          <w:t>26</w:t>
        </w:r>
        <w:r w:rsidR="001B6B5D">
          <w:rPr>
            <w:color w:val="000000"/>
          </w:rPr>
          <w:tab/>
          <w:t>Variation of Schedule 3—Additions to definition of development</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33" w:history="1">
        <w:r w:rsidR="001B6B5D">
          <w:rPr>
            <w:color w:val="000000"/>
          </w:rPr>
          <w:t>27</w:t>
        </w:r>
        <w:r w:rsidR="001B6B5D">
          <w:rPr>
            <w:color w:val="000000"/>
          </w:rPr>
          <w:tab/>
          <w:t>Variation of Schedule 4—Exclusions from definition of development—general</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34" w:history="1">
        <w:r w:rsidR="001B6B5D">
          <w:rPr>
            <w:color w:val="000000"/>
          </w:rPr>
          <w:t>28</w:t>
        </w:r>
        <w:r w:rsidR="001B6B5D">
          <w:rPr>
            <w:color w:val="000000"/>
          </w:rPr>
          <w:tab/>
          <w:t>Variation of Schedule 5—Exclusions from definition of development—State heritage areas</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35" w:history="1">
        <w:r w:rsidR="001B6B5D">
          <w:rPr>
            <w:color w:val="000000"/>
          </w:rPr>
          <w:t>29</w:t>
        </w:r>
        <w:r w:rsidR="001B6B5D">
          <w:rPr>
            <w:color w:val="000000"/>
          </w:rPr>
          <w:tab/>
          <w:t>Variation of Schedule 6—Relevant authority—Commission</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36" w:history="1">
        <w:r w:rsidR="001B6B5D">
          <w:rPr>
            <w:color w:val="000000"/>
          </w:rPr>
          <w:t>30</w:t>
        </w:r>
        <w:r w:rsidR="001B6B5D">
          <w:rPr>
            <w:color w:val="000000"/>
          </w:rPr>
          <w:tab/>
          <w:t>Variation of Schedule 7—Complying building work</w:t>
        </w:r>
      </w:hyperlink>
    </w:p>
    <w:p w:rsidR="001B6B5D" w:rsidRDefault="00123FDA" w:rsidP="0001259D">
      <w:pPr>
        <w:keepLines/>
        <w:tabs>
          <w:tab w:val="left" w:pos="2382"/>
        </w:tabs>
        <w:autoSpaceDE w:val="0"/>
        <w:autoSpaceDN w:val="0"/>
        <w:adjustRightInd w:val="0"/>
        <w:spacing w:after="0" w:line="240" w:lineRule="auto"/>
        <w:ind w:left="1588" w:hanging="794"/>
        <w:jc w:val="left"/>
        <w:rPr>
          <w:color w:val="000000"/>
          <w:sz w:val="18"/>
          <w:szCs w:val="18"/>
        </w:rPr>
      </w:pPr>
      <w:hyperlink w:anchor="Elkera_Print_BK37" w:history="1">
        <w:r w:rsidR="001B6B5D">
          <w:rPr>
            <w:color w:val="000000"/>
            <w:sz w:val="18"/>
            <w:szCs w:val="18"/>
          </w:rPr>
          <w:t>12</w:t>
        </w:r>
        <w:r w:rsidR="001B6B5D">
          <w:rPr>
            <w:color w:val="000000"/>
            <w:sz w:val="18"/>
            <w:szCs w:val="18"/>
          </w:rPr>
          <w:tab/>
          <w:t>Temporary accommodation in area affected by bushfire</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38" w:history="1">
        <w:r w:rsidR="001B6B5D">
          <w:rPr>
            <w:color w:val="000000"/>
          </w:rPr>
          <w:t>31</w:t>
        </w:r>
        <w:r w:rsidR="001B6B5D">
          <w:rPr>
            <w:color w:val="000000"/>
          </w:rPr>
          <w:tab/>
          <w:t>Variation of Schedule 8—Plans</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Elkera_Print_BK39" w:history="1">
        <w:r w:rsidR="001B6B5D">
          <w:rPr>
            <w:color w:val="000000"/>
          </w:rPr>
          <w:t>32</w:t>
        </w:r>
        <w:r w:rsidR="001B6B5D">
          <w:rPr>
            <w:color w:val="000000"/>
          </w:rPr>
          <w:tab/>
          <w:t>Variation of Schedule 9—Referrals</w:t>
        </w:r>
      </w:hyperlink>
    </w:p>
    <w:p w:rsidR="001B6B5D" w:rsidRDefault="00123FDA" w:rsidP="0001259D">
      <w:pPr>
        <w:keepLines/>
        <w:tabs>
          <w:tab w:val="left" w:pos="850"/>
        </w:tabs>
        <w:autoSpaceDE w:val="0"/>
        <w:autoSpaceDN w:val="0"/>
        <w:adjustRightInd w:val="0"/>
        <w:spacing w:after="0" w:line="240" w:lineRule="auto"/>
        <w:ind w:left="794" w:hanging="794"/>
        <w:jc w:val="left"/>
        <w:rPr>
          <w:color w:val="000000"/>
        </w:rPr>
      </w:pPr>
      <w:hyperlink w:anchor="id384d93a3_30cc_4475_b78e_25c9846588a1_7" w:history="1">
        <w:r w:rsidR="001B6B5D">
          <w:rPr>
            <w:color w:val="000000"/>
          </w:rPr>
          <w:t>33</w:t>
        </w:r>
        <w:r w:rsidR="001B6B5D">
          <w:rPr>
            <w:color w:val="000000"/>
          </w:rPr>
          <w:tab/>
          <w:t>Insertion of Schedules 10A and 10B</w:t>
        </w:r>
      </w:hyperlink>
    </w:p>
    <w:p w:rsidR="001B6B5D" w:rsidRDefault="00123FDA" w:rsidP="0001259D">
      <w:pPr>
        <w:keepLines/>
        <w:autoSpaceDE w:val="0"/>
        <w:autoSpaceDN w:val="0"/>
        <w:adjustRightInd w:val="0"/>
        <w:spacing w:before="80" w:line="240" w:lineRule="auto"/>
        <w:ind w:left="794"/>
        <w:jc w:val="left"/>
        <w:rPr>
          <w:color w:val="000000"/>
          <w:sz w:val="24"/>
          <w:szCs w:val="24"/>
        </w:rPr>
      </w:pPr>
      <w:hyperlink w:anchor="Elkera_Print_BK42" w:history="1">
        <w:r w:rsidR="001B6B5D">
          <w:rPr>
            <w:color w:val="000000"/>
            <w:sz w:val="24"/>
            <w:szCs w:val="24"/>
          </w:rPr>
          <w:t>Schedule 10A—Building work affecting stability—prescribed form</w:t>
        </w:r>
      </w:hyperlink>
    </w:p>
    <w:p w:rsidR="001B6B5D" w:rsidRDefault="00123FDA" w:rsidP="0001259D">
      <w:pPr>
        <w:keepLines/>
        <w:autoSpaceDE w:val="0"/>
        <w:autoSpaceDN w:val="0"/>
        <w:adjustRightInd w:val="0"/>
        <w:spacing w:before="80" w:line="240" w:lineRule="auto"/>
        <w:ind w:left="794"/>
        <w:jc w:val="left"/>
        <w:rPr>
          <w:color w:val="000000"/>
          <w:sz w:val="24"/>
          <w:szCs w:val="24"/>
        </w:rPr>
      </w:pPr>
      <w:hyperlink w:anchor="Elkera_Print_BK43" w:history="1">
        <w:r w:rsidR="001B6B5D">
          <w:rPr>
            <w:color w:val="000000"/>
            <w:sz w:val="24"/>
            <w:szCs w:val="24"/>
          </w:rPr>
          <w:t>Schedule 10B—Access to neighbouring land—prescribed form</w:t>
        </w:r>
      </w:hyperlink>
    </w:p>
    <w:p w:rsidR="001B6B5D" w:rsidRDefault="001B6B5D" w:rsidP="0001259D">
      <w:pPr>
        <w:keepLines/>
        <w:pBdr>
          <w:top w:val="single" w:sz="4" w:space="0" w:color="auto"/>
        </w:pBdr>
        <w:autoSpaceDE w:val="0"/>
        <w:autoSpaceDN w:val="0"/>
        <w:adjustRightInd w:val="0"/>
        <w:spacing w:before="120" w:after="120" w:line="240" w:lineRule="auto"/>
        <w:jc w:val="left"/>
        <w:rPr>
          <w:color w:val="000000"/>
          <w:sz w:val="2"/>
          <w:szCs w:val="2"/>
        </w:rPr>
      </w:pPr>
    </w:p>
    <w:p w:rsidR="00E409B6" w:rsidRDefault="00E409B6">
      <w:pPr>
        <w:spacing w:after="0" w:line="240" w:lineRule="auto"/>
        <w:jc w:val="left"/>
        <w:rPr>
          <w:rFonts w:eastAsia="Times New Roman"/>
          <w:b/>
          <w:bCs/>
          <w:color w:val="000000"/>
          <w:sz w:val="32"/>
          <w:szCs w:val="32"/>
          <w:lang w:eastAsia="en-AU"/>
        </w:rPr>
      </w:pPr>
      <w:r>
        <w:br w:type="page"/>
      </w:r>
    </w:p>
    <w:p w:rsidR="00E409B6" w:rsidRDefault="00E409B6" w:rsidP="00E409B6">
      <w:pPr>
        <w:pStyle w:val="RegSpace"/>
      </w:pPr>
    </w:p>
    <w:p w:rsidR="001B6B5D" w:rsidRDefault="001B6B5D" w:rsidP="0001259D">
      <w:pPr>
        <w:pStyle w:val="partheadlevel1"/>
      </w:pPr>
      <w:r>
        <w:t>Part 1—Preliminary</w:t>
      </w:r>
    </w:p>
    <w:p w:rsidR="001B6B5D" w:rsidRDefault="001B6B5D" w:rsidP="0001259D">
      <w:pPr>
        <w:pStyle w:val="clauseheadlevel2"/>
      </w:pPr>
      <w:r>
        <w:t>1—Short title</w:t>
      </w:r>
    </w:p>
    <w:p w:rsidR="001B6B5D" w:rsidRDefault="001B6B5D" w:rsidP="0001259D">
      <w:pPr>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These regulations may be cited as the </w:t>
      </w:r>
      <w:r>
        <w:rPr>
          <w:i/>
          <w:iCs/>
          <w:color w:val="000000"/>
          <w:sz w:val="23"/>
          <w:szCs w:val="23"/>
        </w:rPr>
        <w:t>Planning, Development and Infrastructure (General) (Miscellaneous) (No 2) Variation Regulations 2020</w:t>
      </w:r>
      <w:r>
        <w:rPr>
          <w:color w:val="000000"/>
          <w:sz w:val="23"/>
          <w:szCs w:val="23"/>
        </w:rPr>
        <w:t>.</w:t>
      </w:r>
    </w:p>
    <w:p w:rsidR="001B6B5D" w:rsidRDefault="001B6B5D" w:rsidP="0001259D">
      <w:pPr>
        <w:pStyle w:val="clauseheadlevel2"/>
      </w:pPr>
      <w:r>
        <w:t>2—Commencement</w:t>
      </w:r>
    </w:p>
    <w:p w:rsidR="001B6B5D" w:rsidRDefault="001B6B5D" w:rsidP="0001259D">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Subject to </w:t>
      </w:r>
      <w:hyperlink w:anchor="id974af378_9fd7_4de5_9668_1de64184edd9_3" w:history="1">
        <w:r>
          <w:rPr>
            <w:color w:val="000000"/>
            <w:sz w:val="23"/>
            <w:szCs w:val="23"/>
          </w:rPr>
          <w:t>subregulation (2)</w:t>
        </w:r>
      </w:hyperlink>
      <w:r>
        <w:rPr>
          <w:color w:val="000000"/>
          <w:sz w:val="23"/>
          <w:szCs w:val="23"/>
        </w:rPr>
        <w:t>, these regulations come into operation on the day on which they are made.</w:t>
      </w:r>
    </w:p>
    <w:p w:rsidR="001B6B5D" w:rsidRDefault="001B6B5D" w:rsidP="0001259D">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bookmarkStart w:id="730" w:name="id974af378_9fd7_4de5_9668_1de64184edd9_3"/>
      <w:r>
        <w:rPr>
          <w:color w:val="000000"/>
          <w:sz w:val="23"/>
          <w:szCs w:val="23"/>
        </w:rPr>
        <w:tab/>
        <w:t>(2)</w:t>
      </w:r>
      <w:r>
        <w:rPr>
          <w:color w:val="000000"/>
          <w:sz w:val="23"/>
          <w:szCs w:val="23"/>
        </w:rPr>
        <w:tab/>
      </w:r>
      <w:hyperlink w:anchor="idc8cc6c4a_bb09_46b2_86ac_20813cc1664d_4" w:history="1">
        <w:r>
          <w:rPr>
            <w:color w:val="000000"/>
            <w:sz w:val="23"/>
            <w:szCs w:val="23"/>
          </w:rPr>
          <w:t>Regulations 4</w:t>
        </w:r>
      </w:hyperlink>
      <w:r>
        <w:rPr>
          <w:color w:val="000000"/>
          <w:sz w:val="23"/>
          <w:szCs w:val="23"/>
        </w:rPr>
        <w:t xml:space="preserve"> to </w:t>
      </w:r>
      <w:hyperlink w:anchor="id21ddaf9d_be9d_4620_867f_00697adbf05c_0" w:history="1">
        <w:r>
          <w:rPr>
            <w:color w:val="000000"/>
            <w:sz w:val="23"/>
            <w:szCs w:val="23"/>
          </w:rPr>
          <w:t>24</w:t>
        </w:r>
      </w:hyperlink>
      <w:r>
        <w:rPr>
          <w:color w:val="000000"/>
          <w:sz w:val="23"/>
          <w:szCs w:val="23"/>
        </w:rPr>
        <w:t xml:space="preserve"> (inclusive) and </w:t>
      </w:r>
      <w:hyperlink w:anchor="iddf978a55_2955_43d9_87db_e59686b0cb73_6" w:history="1">
        <w:r>
          <w:rPr>
            <w:color w:val="000000"/>
            <w:sz w:val="23"/>
            <w:szCs w:val="23"/>
          </w:rPr>
          <w:t>26</w:t>
        </w:r>
      </w:hyperlink>
      <w:r>
        <w:rPr>
          <w:color w:val="000000"/>
          <w:sz w:val="23"/>
          <w:szCs w:val="23"/>
        </w:rPr>
        <w:t xml:space="preserve"> to </w:t>
      </w:r>
      <w:hyperlink w:anchor="id384d93a3_30cc_4475_b78e_25c9846588a1_7" w:history="1">
        <w:r>
          <w:rPr>
            <w:color w:val="000000"/>
            <w:sz w:val="23"/>
            <w:szCs w:val="23"/>
          </w:rPr>
          <w:t>33</w:t>
        </w:r>
      </w:hyperlink>
      <w:r>
        <w:rPr>
          <w:color w:val="000000"/>
          <w:sz w:val="23"/>
          <w:szCs w:val="23"/>
        </w:rPr>
        <w:t xml:space="preserve"> (inclusive) come into operation on the day on which Schedule 8 clause 33 of the </w:t>
      </w:r>
      <w:hyperlink r:id="rId55" w:history="1">
        <w:r>
          <w:rPr>
            <w:i/>
            <w:iCs/>
            <w:color w:val="000000"/>
            <w:sz w:val="23"/>
            <w:szCs w:val="23"/>
          </w:rPr>
          <w:t>Planning, Development and Infrastructure Act 2016</w:t>
        </w:r>
      </w:hyperlink>
      <w:r>
        <w:rPr>
          <w:color w:val="000000"/>
          <w:sz w:val="23"/>
          <w:szCs w:val="23"/>
        </w:rPr>
        <w:t xml:space="preserve"> comes into operation.</w:t>
      </w:r>
      <w:bookmarkEnd w:id="730"/>
    </w:p>
    <w:p w:rsidR="001B6B5D" w:rsidRDefault="001B6B5D" w:rsidP="0001259D">
      <w:pPr>
        <w:pStyle w:val="clauseheadlevel2"/>
      </w:pPr>
      <w:r>
        <w:t>3—Variation provisions</w:t>
      </w:r>
    </w:p>
    <w:p w:rsidR="001B6B5D" w:rsidRDefault="001B6B5D" w:rsidP="0001259D">
      <w:pPr>
        <w:keepLines/>
        <w:autoSpaceDE w:val="0"/>
        <w:autoSpaceDN w:val="0"/>
        <w:adjustRightInd w:val="0"/>
        <w:spacing w:before="120" w:after="0" w:line="240" w:lineRule="auto"/>
        <w:ind w:left="794"/>
        <w:jc w:val="left"/>
        <w:rPr>
          <w:color w:val="000000"/>
          <w:sz w:val="23"/>
          <w:szCs w:val="23"/>
        </w:rPr>
      </w:pPr>
      <w:r>
        <w:rPr>
          <w:color w:val="000000"/>
          <w:sz w:val="23"/>
          <w:szCs w:val="23"/>
        </w:rPr>
        <w:t>In these regulations, a provision under a heading referring to the variation of specified regulations varies the regulations so specified.</w:t>
      </w:r>
    </w:p>
    <w:p w:rsidR="001B6B5D" w:rsidRDefault="001B6B5D" w:rsidP="0001259D">
      <w:pPr>
        <w:pStyle w:val="partheadlevel1"/>
      </w:pPr>
      <w:r>
        <w:t xml:space="preserve">Part 2—Variation of </w:t>
      </w:r>
      <w:r>
        <w:rPr>
          <w:i/>
          <w:iCs/>
        </w:rPr>
        <w:t>Planning, Development and Infrastructure (General) Regulations 2017</w:t>
      </w:r>
    </w:p>
    <w:p w:rsidR="001B6B5D" w:rsidRDefault="001B6B5D" w:rsidP="0001259D">
      <w:pPr>
        <w:pStyle w:val="clauseheadlevel2"/>
      </w:pPr>
      <w:bookmarkStart w:id="731" w:name="idc8cc6c4a_bb09_46b2_86ac_20813cc1664d_4"/>
      <w:r>
        <w:t>4—Variation of regulation 3—Interpretation</w:t>
      </w:r>
      <w:bookmarkEnd w:id="731"/>
    </w:p>
    <w:p w:rsidR="001B6B5D" w:rsidRDefault="001B6B5D" w:rsidP="0001259D">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 xml:space="preserve">Regulation 3(1), definitions of </w:t>
      </w:r>
      <w:r>
        <w:rPr>
          <w:b/>
          <w:bCs/>
          <w:i/>
          <w:iCs/>
          <w:color w:val="000000"/>
          <w:sz w:val="23"/>
          <w:szCs w:val="23"/>
        </w:rPr>
        <w:t>AHD</w:t>
      </w:r>
      <w:r>
        <w:rPr>
          <w:color w:val="000000"/>
          <w:sz w:val="23"/>
          <w:szCs w:val="23"/>
        </w:rPr>
        <w:t xml:space="preserve"> and </w:t>
      </w:r>
      <w:r>
        <w:rPr>
          <w:b/>
          <w:bCs/>
          <w:i/>
          <w:iCs/>
          <w:color w:val="000000"/>
          <w:sz w:val="23"/>
          <w:szCs w:val="23"/>
        </w:rPr>
        <w:t>ARI</w:t>
      </w:r>
      <w:r>
        <w:rPr>
          <w:color w:val="000000"/>
          <w:sz w:val="23"/>
          <w:szCs w:val="23"/>
        </w:rPr>
        <w:t>—delete the definitions</w:t>
      </w:r>
    </w:p>
    <w:p w:rsidR="001B6B5D" w:rsidRDefault="001B6B5D" w:rsidP="0001259D">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Regulation 3(3)—delete subregulation (3)</w:t>
      </w:r>
    </w:p>
    <w:p w:rsidR="001B6B5D" w:rsidRDefault="001B6B5D" w:rsidP="0001259D">
      <w:pPr>
        <w:pStyle w:val="clauseheadlevel2"/>
      </w:pPr>
      <w:r>
        <w:t>5—Variation of regulation 3A—Application of Act (section 8)</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Regulation 3A—after subregulation (3) insert:</w:t>
      </w:r>
    </w:p>
    <w:p w:rsidR="001B6B5D" w:rsidRDefault="001B6B5D" w:rsidP="0001259D">
      <w:pPr>
        <w:keepNext/>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(3a)</w:t>
      </w:r>
      <w:r>
        <w:rPr>
          <w:color w:val="000000"/>
          <w:sz w:val="23"/>
          <w:szCs w:val="23"/>
        </w:rPr>
        <w:tab/>
        <w:t>Pursuant to section 8(2)(b) of the Act, section 215 of the Act applies with the following prescribed variation during the period from the commencement of this subregulation until the designated day:</w:t>
      </w:r>
    </w:p>
    <w:p w:rsidR="001B6B5D" w:rsidRDefault="001B6B5D" w:rsidP="0001259D">
      <w:pPr>
        <w:keepNext/>
        <w:keepLines/>
        <w:autoSpaceDE w:val="0"/>
        <w:autoSpaceDN w:val="0"/>
        <w:adjustRightInd w:val="0"/>
        <w:spacing w:before="120" w:after="0" w:line="240" w:lineRule="auto"/>
        <w:ind w:left="3176"/>
        <w:jc w:val="left"/>
        <w:rPr>
          <w:color w:val="000000"/>
          <w:sz w:val="23"/>
          <w:szCs w:val="23"/>
        </w:rPr>
      </w:pPr>
      <w:r>
        <w:rPr>
          <w:color w:val="000000"/>
          <w:sz w:val="23"/>
          <w:szCs w:val="23"/>
        </w:rPr>
        <w:t>Section 215—after subsection (4) insert:</w:t>
      </w:r>
    </w:p>
    <w:p w:rsidR="001B6B5D" w:rsidRDefault="001B6B5D" w:rsidP="0001259D">
      <w:pPr>
        <w:keepNext/>
        <w:keepLines/>
        <w:tabs>
          <w:tab w:val="center" w:pos="4367"/>
          <w:tab w:val="left" w:pos="4764"/>
        </w:tabs>
        <w:autoSpaceDE w:val="0"/>
        <w:autoSpaceDN w:val="0"/>
        <w:adjustRightInd w:val="0"/>
        <w:spacing w:before="120" w:after="0" w:line="240" w:lineRule="auto"/>
        <w:ind w:left="4764" w:hanging="794"/>
        <w:jc w:val="left"/>
        <w:rPr>
          <w:color w:val="000000"/>
          <w:sz w:val="23"/>
          <w:szCs w:val="23"/>
        </w:rPr>
      </w:pPr>
      <w:r>
        <w:rPr>
          <w:color w:val="000000"/>
          <w:sz w:val="23"/>
          <w:szCs w:val="23"/>
        </w:rPr>
        <w:tab/>
        <w:t>(5)</w:t>
      </w:r>
      <w:r>
        <w:rPr>
          <w:color w:val="000000"/>
          <w:sz w:val="23"/>
          <w:szCs w:val="23"/>
        </w:rPr>
        <w:tab/>
        <w:t>Subsection (4) does not apply to prevent a person who operates a shop used primarily for the sale of foodstuffs by retail from—</w:t>
      </w:r>
    </w:p>
    <w:p w:rsidR="001B6B5D" w:rsidRDefault="001B6B5D" w:rsidP="0001259D">
      <w:pPr>
        <w:keepLines/>
        <w:tabs>
          <w:tab w:val="center" w:pos="5161"/>
          <w:tab w:val="left" w:pos="5558"/>
        </w:tabs>
        <w:autoSpaceDE w:val="0"/>
        <w:autoSpaceDN w:val="0"/>
        <w:adjustRightInd w:val="0"/>
        <w:spacing w:before="120" w:after="0" w:line="240" w:lineRule="auto"/>
        <w:ind w:left="5558" w:hanging="794"/>
        <w:jc w:val="left"/>
        <w:rPr>
          <w:color w:val="000000"/>
          <w:sz w:val="23"/>
          <w:szCs w:val="23"/>
        </w:rPr>
      </w:pPr>
      <w:r>
        <w:rPr>
          <w:color w:val="000000"/>
          <w:sz w:val="23"/>
          <w:szCs w:val="23"/>
        </w:rPr>
        <w:tab/>
        <w:t>(a)</w:t>
      </w:r>
      <w:r>
        <w:rPr>
          <w:color w:val="000000"/>
          <w:sz w:val="23"/>
          <w:szCs w:val="23"/>
        </w:rPr>
        <w:tab/>
        <w:t>loading or unloading goods at the shop at any time; or</w:t>
      </w:r>
    </w:p>
    <w:p w:rsidR="001B6B5D" w:rsidRDefault="001B6B5D" w:rsidP="0001259D">
      <w:pPr>
        <w:keepLines/>
        <w:tabs>
          <w:tab w:val="center" w:pos="5161"/>
          <w:tab w:val="left" w:pos="5558"/>
        </w:tabs>
        <w:autoSpaceDE w:val="0"/>
        <w:autoSpaceDN w:val="0"/>
        <w:adjustRightInd w:val="0"/>
        <w:spacing w:before="120" w:after="0" w:line="240" w:lineRule="auto"/>
        <w:ind w:left="5558" w:hanging="794"/>
        <w:jc w:val="left"/>
        <w:rPr>
          <w:color w:val="000000"/>
          <w:sz w:val="23"/>
          <w:szCs w:val="23"/>
        </w:rPr>
      </w:pPr>
      <w:r>
        <w:rPr>
          <w:color w:val="000000"/>
          <w:sz w:val="23"/>
          <w:szCs w:val="23"/>
        </w:rPr>
        <w:tab/>
        <w:t>(b)</w:t>
      </w:r>
      <w:r>
        <w:rPr>
          <w:color w:val="000000"/>
          <w:sz w:val="23"/>
          <w:szCs w:val="23"/>
        </w:rPr>
        <w:tab/>
        <w:t>opening the shop to the public at any time.</w:t>
      </w:r>
    </w:p>
    <w:p w:rsidR="00E409B6" w:rsidRDefault="00E409B6">
      <w:pPr>
        <w:spacing w:after="0" w:line="240" w:lineRule="auto"/>
        <w:jc w:val="left"/>
        <w:rPr>
          <w:color w:val="000000"/>
          <w:sz w:val="23"/>
          <w:szCs w:val="23"/>
        </w:rPr>
      </w:pPr>
      <w:r>
        <w:rPr>
          <w:color w:val="000000"/>
          <w:sz w:val="23"/>
          <w:szCs w:val="23"/>
        </w:rPr>
        <w:br w:type="page"/>
      </w:r>
    </w:p>
    <w:p w:rsidR="00DA6582" w:rsidRDefault="00DA6582" w:rsidP="00DA6582">
      <w:pPr>
        <w:pStyle w:val="RegSpace"/>
      </w:pP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Regulation 3A(4)—before the definition of </w:t>
      </w:r>
      <w:r>
        <w:rPr>
          <w:b/>
          <w:bCs/>
          <w:i/>
          <w:iCs/>
          <w:color w:val="000000"/>
          <w:sz w:val="23"/>
          <w:szCs w:val="23"/>
        </w:rPr>
        <w:t>prescribed separation distance</w:t>
      </w:r>
      <w:r>
        <w:rPr>
          <w:color w:val="000000"/>
          <w:sz w:val="23"/>
          <w:szCs w:val="23"/>
        </w:rPr>
        <w:t xml:space="preserve"> insert:</w:t>
      </w:r>
    </w:p>
    <w:p w:rsidR="001B6B5D" w:rsidRDefault="001B6B5D" w:rsidP="0001259D">
      <w:pPr>
        <w:keepNext/>
        <w:keepLines/>
        <w:autoSpaceDE w:val="0"/>
        <w:autoSpaceDN w:val="0"/>
        <w:adjustRightInd w:val="0"/>
        <w:spacing w:before="120" w:after="0" w:line="240" w:lineRule="auto"/>
        <w:ind w:left="1588"/>
        <w:jc w:val="left"/>
        <w:rPr>
          <w:color w:val="000000"/>
          <w:sz w:val="23"/>
          <w:szCs w:val="23"/>
        </w:rPr>
      </w:pPr>
      <w:r>
        <w:rPr>
          <w:b/>
          <w:bCs/>
          <w:i/>
          <w:iCs/>
          <w:color w:val="000000"/>
          <w:sz w:val="23"/>
          <w:szCs w:val="23"/>
        </w:rPr>
        <w:t>designated day</w:t>
      </w:r>
      <w:r>
        <w:rPr>
          <w:color w:val="000000"/>
          <w:sz w:val="23"/>
          <w:szCs w:val="23"/>
        </w:rPr>
        <w:t xml:space="preserve"> means the earlier of the following days:</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(a)</w:t>
      </w:r>
      <w:r>
        <w:rPr>
          <w:color w:val="000000"/>
          <w:sz w:val="23"/>
          <w:szCs w:val="23"/>
        </w:rPr>
        <w:tab/>
        <w:t>the day designated by the Minister by notice in the Gazette;</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(b)</w:t>
      </w:r>
      <w:r>
        <w:rPr>
          <w:color w:val="000000"/>
          <w:sz w:val="23"/>
          <w:szCs w:val="23"/>
        </w:rPr>
        <w:tab/>
        <w:t>30 September 2020;</w:t>
      </w:r>
    </w:p>
    <w:p w:rsidR="001B6B5D" w:rsidRDefault="001B6B5D" w:rsidP="0001259D">
      <w:pPr>
        <w:pStyle w:val="clauseheadlevel2"/>
      </w:pPr>
      <w:r>
        <w:t>6—Variation of regulation 3F—Regulated and significant trees</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Regulation 3F(1)—delete "</w:t>
      </w:r>
      <w:r>
        <w:rPr>
          <w:b/>
          <w:bCs/>
          <w:i/>
          <w:iCs/>
          <w:color w:val="000000"/>
          <w:sz w:val="23"/>
          <w:szCs w:val="23"/>
        </w:rPr>
        <w:t>significant tree</w:t>
      </w:r>
      <w:r>
        <w:rPr>
          <w:color w:val="000000"/>
          <w:sz w:val="23"/>
          <w:szCs w:val="23"/>
        </w:rPr>
        <w:t>"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b/>
          <w:bCs/>
          <w:i/>
          <w:iCs/>
          <w:color w:val="000000"/>
          <w:sz w:val="23"/>
          <w:szCs w:val="23"/>
        </w:rPr>
        <w:t>regulated tree</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 xml:space="preserve">Regulation 3F(4)(c)—delete "Chapter 8 Part 1 of the </w:t>
      </w:r>
      <w:hyperlink r:id="rId56" w:history="1">
        <w:r>
          <w:rPr>
            <w:i/>
            <w:iCs/>
            <w:color w:val="000000"/>
            <w:sz w:val="23"/>
            <w:szCs w:val="23"/>
          </w:rPr>
          <w:t>Natural Resources Management Act 2004</w:t>
        </w:r>
      </w:hyperlink>
      <w:r>
        <w:rPr>
          <w:color w:val="000000"/>
          <w:sz w:val="23"/>
          <w:szCs w:val="23"/>
        </w:rPr>
        <w:t>"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 xml:space="preserve">Part 9 Division 1 of the </w:t>
      </w:r>
      <w:hyperlink r:id="rId57" w:history="1">
        <w:r>
          <w:rPr>
            <w:i/>
            <w:iCs/>
            <w:color w:val="000000"/>
            <w:sz w:val="23"/>
            <w:szCs w:val="23"/>
          </w:rPr>
          <w:t>Landscape South Australia Act 2019</w:t>
        </w:r>
      </w:hyperlink>
    </w:p>
    <w:p w:rsidR="001B6B5D" w:rsidRDefault="001B6B5D" w:rsidP="0001259D">
      <w:pPr>
        <w:pStyle w:val="clauseheadlevel2"/>
      </w:pPr>
      <w:r>
        <w:t>7—Variation of regulation 19—Incorporation of material (section 71(b))</w:t>
      </w:r>
    </w:p>
    <w:p w:rsidR="001B6B5D" w:rsidRDefault="001B6B5D" w:rsidP="0001259D">
      <w:pPr>
        <w:keepNext/>
        <w:keepLines/>
        <w:autoSpaceDE w:val="0"/>
        <w:autoSpaceDN w:val="0"/>
        <w:adjustRightInd w:val="0"/>
        <w:spacing w:before="120" w:after="0" w:line="240" w:lineRule="auto"/>
        <w:ind w:left="794"/>
        <w:jc w:val="left"/>
        <w:rPr>
          <w:color w:val="000000"/>
          <w:sz w:val="23"/>
          <w:szCs w:val="23"/>
        </w:rPr>
      </w:pPr>
      <w:r>
        <w:rPr>
          <w:color w:val="000000"/>
          <w:sz w:val="23"/>
          <w:szCs w:val="23"/>
        </w:rPr>
        <w:t>Regulation 19—after paragraph (a) insert:</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(ab)</w:t>
      </w:r>
      <w:r>
        <w:rPr>
          <w:color w:val="000000"/>
          <w:sz w:val="23"/>
          <w:szCs w:val="23"/>
        </w:rPr>
        <w:tab/>
        <w:t xml:space="preserve">the administrative unit of the Public Service that is responsible for assisting a Minister in the administration of the </w:t>
      </w:r>
      <w:hyperlink r:id="rId58" w:history="1">
        <w:r>
          <w:rPr>
            <w:i/>
            <w:iCs/>
            <w:color w:val="000000"/>
            <w:sz w:val="23"/>
            <w:szCs w:val="23"/>
          </w:rPr>
          <w:t>Heritage Places Act 1993</w:t>
        </w:r>
      </w:hyperlink>
      <w:r>
        <w:rPr>
          <w:color w:val="000000"/>
          <w:sz w:val="23"/>
          <w:szCs w:val="23"/>
        </w:rPr>
        <w:t>;</w:t>
      </w:r>
    </w:p>
    <w:p w:rsidR="001B6B5D" w:rsidRDefault="001B6B5D" w:rsidP="0001259D">
      <w:pPr>
        <w:pStyle w:val="clauseheadlevel2"/>
      </w:pPr>
      <w:r>
        <w:t>8—Variation of regulation 21—Minor or operational amendments (section 76)</w:t>
      </w:r>
    </w:p>
    <w:p w:rsidR="001B6B5D" w:rsidRDefault="001B6B5D" w:rsidP="0001259D">
      <w:pPr>
        <w:keepNext/>
        <w:keepLines/>
        <w:autoSpaceDE w:val="0"/>
        <w:autoSpaceDN w:val="0"/>
        <w:adjustRightInd w:val="0"/>
        <w:spacing w:before="120" w:after="0" w:line="240" w:lineRule="auto"/>
        <w:ind w:left="794"/>
        <w:jc w:val="left"/>
        <w:rPr>
          <w:color w:val="000000"/>
          <w:sz w:val="23"/>
          <w:szCs w:val="23"/>
        </w:rPr>
      </w:pPr>
      <w:r>
        <w:rPr>
          <w:color w:val="000000"/>
          <w:sz w:val="23"/>
          <w:szCs w:val="23"/>
        </w:rPr>
        <w:t xml:space="preserve">Regulation 21(h)—delete "an NRM plan (or a part of any such plan) prepared under Chapter 4 of the </w:t>
      </w:r>
      <w:hyperlink r:id="rId59" w:history="1">
        <w:r>
          <w:rPr>
            <w:i/>
            <w:iCs/>
            <w:color w:val="000000"/>
            <w:sz w:val="23"/>
            <w:szCs w:val="23"/>
          </w:rPr>
          <w:t>Natural Resources Management Act 2004</w:t>
        </w:r>
      </w:hyperlink>
      <w:r>
        <w:rPr>
          <w:color w:val="000000"/>
          <w:sz w:val="23"/>
          <w:szCs w:val="23"/>
        </w:rPr>
        <w:t>"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 xml:space="preserve">a regional landscape plan, water allocation plan or landscapes or water affecting activities control policy (or a part of any such plan or policy) under the </w:t>
      </w:r>
      <w:hyperlink r:id="rId60" w:history="1">
        <w:r>
          <w:rPr>
            <w:i/>
            <w:iCs/>
            <w:color w:val="000000"/>
            <w:sz w:val="23"/>
            <w:szCs w:val="23"/>
          </w:rPr>
          <w:t>Landscape South Australia Act 2019</w:t>
        </w:r>
      </w:hyperlink>
    </w:p>
    <w:p w:rsidR="001B6B5D" w:rsidRDefault="001B6B5D" w:rsidP="0001259D">
      <w:pPr>
        <w:pStyle w:val="clauseheadlevel2"/>
      </w:pPr>
      <w:r>
        <w:t>9—Variation of regulation 22—Prescribed scheme (section 93)</w:t>
      </w:r>
    </w:p>
    <w:p w:rsidR="001B6B5D" w:rsidRDefault="001B6B5D" w:rsidP="0001259D">
      <w:pPr>
        <w:keepNext/>
        <w:keepLines/>
        <w:autoSpaceDE w:val="0"/>
        <w:autoSpaceDN w:val="0"/>
        <w:adjustRightInd w:val="0"/>
        <w:spacing w:before="120" w:after="0" w:line="240" w:lineRule="auto"/>
        <w:ind w:left="794"/>
        <w:jc w:val="left"/>
        <w:rPr>
          <w:color w:val="000000"/>
          <w:sz w:val="23"/>
          <w:szCs w:val="23"/>
        </w:rPr>
      </w:pPr>
      <w:r>
        <w:rPr>
          <w:color w:val="000000"/>
          <w:sz w:val="23"/>
          <w:szCs w:val="23"/>
        </w:rPr>
        <w:t>Regulation 22—after its present contents (now to be designated as subregulation (1)) insert:</w:t>
      </w:r>
    </w:p>
    <w:p w:rsidR="001B6B5D" w:rsidRDefault="001B6B5D" w:rsidP="0001259D">
      <w:pPr>
        <w:keepNext/>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(2)</w:t>
      </w:r>
      <w:r>
        <w:rPr>
          <w:color w:val="000000"/>
          <w:sz w:val="23"/>
          <w:szCs w:val="23"/>
        </w:rPr>
        <w:tab/>
        <w:t>In connection with subregulation (1)(a)(ii), an assessment manager may act as a relevant authority for the purposes of—</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(a)</w:t>
      </w:r>
      <w:r>
        <w:rPr>
          <w:color w:val="000000"/>
          <w:sz w:val="23"/>
          <w:szCs w:val="23"/>
        </w:rPr>
        <w:tab/>
        <w:t>making a decision in accordance with a practice direction under section 107(3)(a) of the Act;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(b)</w:t>
      </w:r>
      <w:r>
        <w:rPr>
          <w:color w:val="000000"/>
          <w:sz w:val="23"/>
          <w:szCs w:val="23"/>
        </w:rPr>
        <w:tab/>
        <w:t>determining whether a proposed development the subject of an application falls within a specified class of development excluded from the operation of section 107(3) and (4) of the Act by the Planning and Design Code.</w:t>
      </w:r>
    </w:p>
    <w:p w:rsidR="00EA157A" w:rsidRDefault="00EA157A">
      <w:pPr>
        <w:spacing w:after="0" w:line="240" w:lineRule="auto"/>
        <w:jc w:val="left"/>
        <w:rPr>
          <w:rFonts w:eastAsia="Times New Roman"/>
          <w:b/>
          <w:bCs/>
          <w:color w:val="000000"/>
          <w:sz w:val="26"/>
          <w:szCs w:val="26"/>
          <w:lang w:eastAsia="en-AU"/>
        </w:rPr>
      </w:pPr>
      <w:r>
        <w:br w:type="page"/>
      </w:r>
    </w:p>
    <w:p w:rsidR="00EA157A" w:rsidRDefault="00EA157A" w:rsidP="00EA157A">
      <w:pPr>
        <w:pStyle w:val="RegSpace"/>
      </w:pPr>
    </w:p>
    <w:p w:rsidR="001B6B5D" w:rsidRDefault="001B6B5D" w:rsidP="0001259D">
      <w:pPr>
        <w:pStyle w:val="clauseheadlevel2"/>
      </w:pPr>
      <w:r>
        <w:t>10—Variation of regulation 43—River Murray</w:t>
      </w:r>
    </w:p>
    <w:p w:rsidR="001B6B5D" w:rsidRDefault="001B6B5D" w:rsidP="0001259D">
      <w:pPr>
        <w:keepNext/>
        <w:keepLines/>
        <w:autoSpaceDE w:val="0"/>
        <w:autoSpaceDN w:val="0"/>
        <w:adjustRightInd w:val="0"/>
        <w:spacing w:before="120" w:after="0" w:line="240" w:lineRule="auto"/>
        <w:ind w:left="794"/>
        <w:jc w:val="left"/>
        <w:rPr>
          <w:color w:val="000000"/>
          <w:sz w:val="23"/>
          <w:szCs w:val="23"/>
        </w:rPr>
      </w:pPr>
      <w:r>
        <w:rPr>
          <w:color w:val="000000"/>
          <w:sz w:val="23"/>
          <w:szCs w:val="23"/>
        </w:rPr>
        <w:t>Regulation 43(2)—delete subregulation (2) and substitute:</w:t>
      </w:r>
    </w:p>
    <w:p w:rsidR="001B6B5D" w:rsidRDefault="001B6B5D" w:rsidP="0001259D">
      <w:pPr>
        <w:keepNext/>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bookmarkStart w:id="732" w:name="id3ae800f8_d5b1_4ac2_b6a6_841582c12b48_c"/>
      <w:r>
        <w:rPr>
          <w:color w:val="000000"/>
          <w:sz w:val="23"/>
          <w:szCs w:val="23"/>
        </w:rPr>
        <w:tab/>
        <w:t>(2)</w:t>
      </w:r>
      <w:r>
        <w:rPr>
          <w:color w:val="000000"/>
          <w:sz w:val="23"/>
          <w:szCs w:val="23"/>
        </w:rPr>
        <w:tab/>
        <w:t xml:space="preserve">If an application for the consent or approval of a proposed development must be referred under Schedule 9 to the Minister responsible for the administration of the </w:t>
      </w:r>
      <w:hyperlink r:id="rId61" w:history="1">
        <w:r>
          <w:rPr>
            <w:i/>
            <w:iCs/>
            <w:color w:val="000000"/>
            <w:sz w:val="23"/>
            <w:szCs w:val="23"/>
          </w:rPr>
          <w:t>River Murray Act 2003</w:t>
        </w:r>
      </w:hyperlink>
      <w:r>
        <w:rPr>
          <w:color w:val="000000"/>
          <w:sz w:val="23"/>
          <w:szCs w:val="23"/>
        </w:rPr>
        <w:t xml:space="preserve"> (the </w:t>
      </w:r>
      <w:r>
        <w:rPr>
          <w:b/>
          <w:bCs/>
          <w:i/>
          <w:iCs/>
          <w:color w:val="000000"/>
          <w:sz w:val="23"/>
          <w:szCs w:val="23"/>
        </w:rPr>
        <w:t>River Murray Minister</w:t>
      </w:r>
      <w:r>
        <w:rPr>
          <w:color w:val="000000"/>
          <w:sz w:val="23"/>
          <w:szCs w:val="23"/>
        </w:rPr>
        <w:t>), the following provisions apply:</w:t>
      </w:r>
      <w:bookmarkEnd w:id="732"/>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bookmarkStart w:id="733" w:name="id67a9fc6c_bd08_4ba8_80e1_e8684ac2a263_0"/>
      <w:r>
        <w:rPr>
          <w:color w:val="000000"/>
          <w:sz w:val="23"/>
          <w:szCs w:val="23"/>
        </w:rPr>
        <w:tab/>
        <w:t>(a)</w:t>
      </w:r>
      <w:r>
        <w:rPr>
          <w:color w:val="000000"/>
          <w:sz w:val="23"/>
          <w:szCs w:val="23"/>
        </w:rPr>
        <w:tab/>
        <w:t xml:space="preserve">subject to </w:t>
      </w:r>
      <w:hyperlink w:anchor="id59d1890d_e811_47d7_96bb_8a0942737171_e" w:history="1">
        <w:r>
          <w:rPr>
            <w:color w:val="000000"/>
            <w:sz w:val="23"/>
            <w:szCs w:val="23"/>
          </w:rPr>
          <w:t>subregulation (3)</w:t>
        </w:r>
      </w:hyperlink>
      <w:r>
        <w:rPr>
          <w:color w:val="000000"/>
          <w:sz w:val="23"/>
          <w:szCs w:val="23"/>
        </w:rPr>
        <w:t>, the River Murray Minister must, in considering the application, take into account any matter that is raised by another Minister or other authority responsible for, or involved in, the administration of a related operational Act that is provided to the River Murray Minister in response to the referral of the application by the River Murray Minister to the other Minister or authority for comment;</w:t>
      </w:r>
      <w:bookmarkEnd w:id="733"/>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(b)</w:t>
      </w:r>
      <w:r>
        <w:rPr>
          <w:color w:val="000000"/>
          <w:sz w:val="23"/>
          <w:szCs w:val="23"/>
        </w:rPr>
        <w:tab/>
        <w:t xml:space="preserve">the River Murray Minister may, in providing a response to the relevant authority under section 122 of the Act, make that response on the basis of a matter referred to in </w:t>
      </w:r>
      <w:hyperlink w:anchor="id67a9fc6c_bd08_4ba8_80e1_e8684ac2a263_0" w:history="1">
        <w:r>
          <w:rPr>
            <w:color w:val="000000"/>
            <w:sz w:val="23"/>
            <w:szCs w:val="23"/>
          </w:rPr>
          <w:t>paragraph (a)</w:t>
        </w:r>
      </w:hyperlink>
      <w:r>
        <w:rPr>
          <w:color w:val="000000"/>
          <w:sz w:val="23"/>
          <w:szCs w:val="23"/>
        </w:rPr>
        <w:t>.</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bookmarkStart w:id="734" w:name="id59d1890d_e811_47d7_96bb_8a0942737171_e"/>
      <w:r>
        <w:rPr>
          <w:color w:val="000000"/>
          <w:sz w:val="23"/>
          <w:szCs w:val="23"/>
        </w:rPr>
        <w:tab/>
        <w:t>(3)</w:t>
      </w:r>
      <w:r>
        <w:rPr>
          <w:color w:val="000000"/>
          <w:sz w:val="23"/>
          <w:szCs w:val="23"/>
        </w:rPr>
        <w:tab/>
        <w:t xml:space="preserve">A matter raised by another Minister or authority in response to the referral of an application by the River Murray Minister under </w:t>
      </w:r>
      <w:hyperlink w:anchor="id67a9fc6c_bd08_4ba8_80e1_e8684ac2a263_0" w:history="1">
        <w:r>
          <w:rPr>
            <w:color w:val="000000"/>
            <w:sz w:val="23"/>
            <w:szCs w:val="23"/>
          </w:rPr>
          <w:t>subregulation (2)(a)</w:t>
        </w:r>
      </w:hyperlink>
      <w:r>
        <w:rPr>
          <w:color w:val="000000"/>
          <w:sz w:val="23"/>
          <w:szCs w:val="23"/>
        </w:rPr>
        <w:t xml:space="preserve"> is not required to be taken into account by the River Murray Minister unless it is provided to the River Murray Minister within a period specified by the River Murray Minister.</w:t>
      </w:r>
      <w:bookmarkEnd w:id="734"/>
    </w:p>
    <w:p w:rsidR="001B6B5D" w:rsidRDefault="001B6B5D" w:rsidP="0001259D">
      <w:pPr>
        <w:pStyle w:val="clauseheadlevel2"/>
      </w:pPr>
      <w:r>
        <w:t>11—Variation of regulation 44—Appeals</w:t>
      </w:r>
    </w:p>
    <w:p w:rsidR="001B6B5D" w:rsidRDefault="001B6B5D" w:rsidP="0001259D">
      <w:pPr>
        <w:keepNext/>
        <w:keepLines/>
        <w:autoSpaceDE w:val="0"/>
        <w:autoSpaceDN w:val="0"/>
        <w:adjustRightInd w:val="0"/>
        <w:spacing w:before="120" w:after="0" w:line="240" w:lineRule="auto"/>
        <w:ind w:left="794"/>
        <w:jc w:val="left"/>
        <w:rPr>
          <w:color w:val="000000"/>
          <w:sz w:val="23"/>
          <w:szCs w:val="23"/>
        </w:rPr>
      </w:pPr>
      <w:r>
        <w:rPr>
          <w:color w:val="000000"/>
          <w:sz w:val="23"/>
          <w:szCs w:val="23"/>
        </w:rPr>
        <w:t>Regulation 44—delete "item 14" wherever occurring and substitute in each case: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item 18</w:t>
      </w:r>
    </w:p>
    <w:p w:rsidR="001B6B5D" w:rsidRDefault="001B6B5D" w:rsidP="0001259D">
      <w:pPr>
        <w:pStyle w:val="clauseheadlevel2"/>
      </w:pPr>
      <w:r>
        <w:t>12—Variation of regulation 47—Performance assessed development and restricted development</w:t>
      </w:r>
    </w:p>
    <w:p w:rsidR="001B6B5D" w:rsidRDefault="001B6B5D" w:rsidP="0001259D">
      <w:pPr>
        <w:keepNext/>
        <w:keepLines/>
        <w:autoSpaceDE w:val="0"/>
        <w:autoSpaceDN w:val="0"/>
        <w:adjustRightInd w:val="0"/>
        <w:spacing w:before="120" w:after="0" w:line="240" w:lineRule="auto"/>
        <w:ind w:left="794"/>
        <w:jc w:val="left"/>
        <w:rPr>
          <w:color w:val="000000"/>
          <w:sz w:val="23"/>
          <w:szCs w:val="23"/>
        </w:rPr>
      </w:pPr>
      <w:r>
        <w:rPr>
          <w:color w:val="000000"/>
          <w:sz w:val="23"/>
          <w:szCs w:val="23"/>
        </w:rPr>
        <w:t>Regulation 47(4)—delete subregulation (4) and substitute:</w:t>
      </w:r>
    </w:p>
    <w:p w:rsidR="001B6B5D" w:rsidRDefault="001B6B5D" w:rsidP="0001259D">
      <w:pPr>
        <w:keepNext/>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(4)</w:t>
      </w:r>
      <w:r>
        <w:rPr>
          <w:color w:val="000000"/>
          <w:sz w:val="23"/>
          <w:szCs w:val="23"/>
        </w:rPr>
        <w:tab/>
        <w:t>If—</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(a)</w:t>
      </w:r>
      <w:r>
        <w:rPr>
          <w:color w:val="000000"/>
          <w:sz w:val="23"/>
          <w:szCs w:val="23"/>
        </w:rPr>
        <w:tab/>
        <w:t>the applicant, in accordance with a procedure specified by a practice direction, requests the relevant authority to place a notice on land under subregulation (2);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(b)</w:t>
      </w:r>
      <w:r>
        <w:rPr>
          <w:color w:val="000000"/>
          <w:sz w:val="23"/>
          <w:szCs w:val="23"/>
        </w:rPr>
        <w:tab/>
        <w:t>the proposed development is to be undertaken within the area of a council;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(c)</w:t>
      </w:r>
      <w:r>
        <w:rPr>
          <w:color w:val="000000"/>
          <w:sz w:val="23"/>
          <w:szCs w:val="23"/>
        </w:rPr>
        <w:tab/>
        <w:t>the relevant authority is an assessment panel appointed or constituted under section 83 or 84 of the Act;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(d)</w:t>
      </w:r>
      <w:r>
        <w:rPr>
          <w:color w:val="000000"/>
          <w:sz w:val="23"/>
          <w:szCs w:val="23"/>
        </w:rPr>
        <w:tab/>
        <w:t>the applicant pays the fee determined by the council for the area in which the proposed development is to be undertaken as being appropriate to cover the reasonable costs of placing the notice on the land,</w:t>
      </w:r>
    </w:p>
    <w:p w:rsidR="001B6B5D" w:rsidRDefault="001B6B5D" w:rsidP="0001259D">
      <w:pPr>
        <w:keepLines/>
        <w:autoSpaceDE w:val="0"/>
        <w:autoSpaceDN w:val="0"/>
        <w:adjustRightInd w:val="0"/>
        <w:spacing w:before="120" w:after="0" w:line="240" w:lineRule="auto"/>
        <w:ind w:left="2382"/>
        <w:jc w:val="left"/>
        <w:rPr>
          <w:color w:val="000000"/>
          <w:sz w:val="23"/>
          <w:szCs w:val="23"/>
        </w:rPr>
      </w:pPr>
      <w:r>
        <w:rPr>
          <w:color w:val="000000"/>
          <w:sz w:val="23"/>
          <w:szCs w:val="23"/>
        </w:rPr>
        <w:t>the relevant authority will be responsible for placing the notice on the land.</w:t>
      </w:r>
    </w:p>
    <w:p w:rsidR="00465531" w:rsidRDefault="00465531">
      <w:pPr>
        <w:spacing w:after="0" w:line="240" w:lineRule="auto"/>
        <w:jc w:val="left"/>
        <w:rPr>
          <w:rFonts w:eastAsia="Times New Roman"/>
          <w:b/>
          <w:bCs/>
          <w:color w:val="000000"/>
          <w:sz w:val="26"/>
          <w:szCs w:val="26"/>
          <w:lang w:eastAsia="en-AU"/>
        </w:rPr>
      </w:pPr>
      <w:r>
        <w:br w:type="page"/>
      </w:r>
    </w:p>
    <w:p w:rsidR="00123670" w:rsidRDefault="00123670" w:rsidP="00123670">
      <w:pPr>
        <w:pStyle w:val="RegSpace"/>
      </w:pPr>
    </w:p>
    <w:p w:rsidR="001B6B5D" w:rsidRDefault="001B6B5D" w:rsidP="0001259D">
      <w:pPr>
        <w:pStyle w:val="clauseheadlevel2"/>
      </w:pPr>
      <w:r>
        <w:t>13—Variation of regulation 57—Notice of decision (section 126(1))</w:t>
      </w:r>
    </w:p>
    <w:p w:rsidR="001B6B5D" w:rsidRDefault="001B6B5D" w:rsidP="0001259D">
      <w:pPr>
        <w:keepNext/>
        <w:keepLines/>
        <w:autoSpaceDE w:val="0"/>
        <w:autoSpaceDN w:val="0"/>
        <w:adjustRightInd w:val="0"/>
        <w:spacing w:before="120" w:after="0" w:line="240" w:lineRule="auto"/>
        <w:ind w:left="794"/>
        <w:jc w:val="left"/>
        <w:rPr>
          <w:color w:val="000000"/>
          <w:sz w:val="23"/>
          <w:szCs w:val="23"/>
        </w:rPr>
      </w:pPr>
      <w:r>
        <w:rPr>
          <w:color w:val="000000"/>
          <w:sz w:val="23"/>
          <w:szCs w:val="23"/>
        </w:rPr>
        <w:t>Regulation 57(4)—delete subregulation (4) and substitute:</w:t>
      </w:r>
    </w:p>
    <w:p w:rsidR="001B6B5D" w:rsidRDefault="001B6B5D" w:rsidP="0001259D">
      <w:pPr>
        <w:keepNext/>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(4)</w:t>
      </w:r>
      <w:r>
        <w:rPr>
          <w:color w:val="000000"/>
          <w:sz w:val="23"/>
          <w:szCs w:val="23"/>
        </w:rPr>
        <w:tab/>
        <w:t>The relevant authority must—</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(a)</w:t>
      </w:r>
      <w:r>
        <w:rPr>
          <w:color w:val="000000"/>
          <w:sz w:val="23"/>
          <w:szCs w:val="23"/>
        </w:rPr>
        <w:tab/>
        <w:t>endorse a set of any approved plans and other relevant documentation with an appropriate form of authentication;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(b)</w:t>
      </w:r>
      <w:r>
        <w:rPr>
          <w:color w:val="000000"/>
          <w:sz w:val="23"/>
          <w:szCs w:val="23"/>
        </w:rPr>
        <w:tab/>
        <w:t>ensure that the notice provided via the SA planning portal under subregulation (2) includes the endorsed set of approved plans and other relevant documentation.</w:t>
      </w:r>
    </w:p>
    <w:p w:rsidR="001B6B5D" w:rsidRDefault="001B6B5D" w:rsidP="0001259D">
      <w:pPr>
        <w:pStyle w:val="clauseheadlevel2"/>
      </w:pPr>
      <w:r>
        <w:t>14—Variation of regulation 64—Building work affecting other land</w:t>
      </w:r>
    </w:p>
    <w:p w:rsidR="001B6B5D" w:rsidRDefault="001B6B5D" w:rsidP="0001259D">
      <w:pPr>
        <w:keepNext/>
        <w:keepLines/>
        <w:autoSpaceDE w:val="0"/>
        <w:autoSpaceDN w:val="0"/>
        <w:adjustRightInd w:val="0"/>
        <w:spacing w:before="120" w:after="0" w:line="240" w:lineRule="auto"/>
        <w:ind w:left="794"/>
        <w:jc w:val="left"/>
        <w:rPr>
          <w:color w:val="000000"/>
          <w:sz w:val="23"/>
          <w:szCs w:val="23"/>
        </w:rPr>
      </w:pPr>
      <w:r>
        <w:rPr>
          <w:color w:val="000000"/>
          <w:sz w:val="23"/>
          <w:szCs w:val="23"/>
        </w:rPr>
        <w:t>Regulation 64—after subregulation (2) insert:</w:t>
      </w:r>
    </w:p>
    <w:p w:rsidR="001B6B5D" w:rsidRDefault="001B6B5D" w:rsidP="0001259D">
      <w:pPr>
        <w:keepNext/>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(2a)</w:t>
      </w:r>
      <w:r>
        <w:rPr>
          <w:color w:val="000000"/>
          <w:sz w:val="23"/>
          <w:szCs w:val="23"/>
        </w:rPr>
        <w:tab/>
        <w:t>For the purposes of section 139(2)(a) of the Act—</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(a)</w:t>
      </w:r>
      <w:r>
        <w:rPr>
          <w:color w:val="000000"/>
          <w:sz w:val="23"/>
          <w:szCs w:val="23"/>
        </w:rPr>
        <w:tab/>
        <w:t>the form set out in Schedule 10A is prescribed;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(b)</w:t>
      </w:r>
      <w:r>
        <w:rPr>
          <w:color w:val="000000"/>
          <w:sz w:val="23"/>
          <w:szCs w:val="23"/>
        </w:rPr>
        <w:tab/>
        <w:t>the person undertaking the development must serve a completed notice on the owner of the affected site at least 20 business days before the building work is commenced.</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(2b)</w:t>
      </w:r>
      <w:r>
        <w:rPr>
          <w:color w:val="000000"/>
          <w:sz w:val="23"/>
          <w:szCs w:val="23"/>
        </w:rPr>
        <w:tab/>
        <w:t>For the purposes of section 139(2)(c) of the Act, before seeking access under section 139(2)(b) of the Act, the person undertaking the development (or a person authorised by that person) must give at least 1 business day's notice of the proposed work and the proposed time of accessing the affected site.</w:t>
      </w:r>
    </w:p>
    <w:p w:rsidR="001B6B5D" w:rsidRDefault="001B6B5D" w:rsidP="0001259D">
      <w:pPr>
        <w:pStyle w:val="clauseheadlevel2"/>
      </w:pPr>
      <w:bookmarkStart w:id="735" w:name="Elkera_Print_TOC18"/>
      <w:bookmarkStart w:id="736" w:name="Elkera_Print_BK18"/>
      <w:r>
        <w:t>15—Insertion of regulation 64A</w:t>
      </w:r>
      <w:bookmarkEnd w:id="735"/>
      <w:bookmarkEnd w:id="736"/>
    </w:p>
    <w:p w:rsidR="001B6B5D" w:rsidRDefault="001B6B5D" w:rsidP="0001259D">
      <w:pPr>
        <w:keepNext/>
        <w:keepLines/>
        <w:autoSpaceDE w:val="0"/>
        <w:autoSpaceDN w:val="0"/>
        <w:adjustRightInd w:val="0"/>
        <w:spacing w:before="120" w:after="0" w:line="240" w:lineRule="auto"/>
        <w:ind w:left="794"/>
        <w:jc w:val="left"/>
        <w:rPr>
          <w:color w:val="000000"/>
          <w:sz w:val="23"/>
          <w:szCs w:val="23"/>
        </w:rPr>
      </w:pPr>
      <w:r>
        <w:rPr>
          <w:color w:val="000000"/>
          <w:sz w:val="23"/>
          <w:szCs w:val="23"/>
        </w:rPr>
        <w:t>After regulation 64 insert:</w:t>
      </w:r>
    </w:p>
    <w:p w:rsidR="001B6B5D" w:rsidRDefault="001B6B5D" w:rsidP="0001259D">
      <w:pPr>
        <w:keepNext/>
        <w:keepLines/>
        <w:autoSpaceDE w:val="0"/>
        <w:autoSpaceDN w:val="0"/>
        <w:adjustRightInd w:val="0"/>
        <w:spacing w:before="160" w:after="0" w:line="240" w:lineRule="auto"/>
        <w:ind w:left="2155" w:hanging="567"/>
        <w:jc w:val="left"/>
        <w:rPr>
          <w:b/>
          <w:bCs/>
          <w:color w:val="000000"/>
          <w:sz w:val="26"/>
          <w:szCs w:val="26"/>
        </w:rPr>
      </w:pPr>
      <w:r>
        <w:rPr>
          <w:b/>
          <w:bCs/>
          <w:color w:val="000000"/>
          <w:sz w:val="26"/>
          <w:szCs w:val="26"/>
        </w:rPr>
        <w:t>64A—Access to neighbouring land</w:t>
      </w:r>
    </w:p>
    <w:p w:rsidR="001B6B5D" w:rsidRDefault="001B6B5D" w:rsidP="0001259D">
      <w:pPr>
        <w:keepLines/>
        <w:autoSpaceDE w:val="0"/>
        <w:autoSpaceDN w:val="0"/>
        <w:adjustRightInd w:val="0"/>
        <w:spacing w:before="120" w:after="0" w:line="240" w:lineRule="auto"/>
        <w:ind w:left="2382"/>
        <w:jc w:val="left"/>
        <w:rPr>
          <w:color w:val="000000"/>
          <w:sz w:val="23"/>
          <w:szCs w:val="23"/>
        </w:rPr>
      </w:pPr>
      <w:r>
        <w:rPr>
          <w:color w:val="000000"/>
          <w:sz w:val="23"/>
          <w:szCs w:val="23"/>
        </w:rPr>
        <w:t>For the purposes of section 140(3) of the Act, the form set out in Schedule 10B is prescribed.</w:t>
      </w:r>
    </w:p>
    <w:p w:rsidR="001B6B5D" w:rsidRDefault="001B6B5D" w:rsidP="0001259D">
      <w:pPr>
        <w:pStyle w:val="clauseheadlevel2"/>
      </w:pPr>
      <w:r>
        <w:t>16—Variation of regulation 65—Variation of authorisation (section 128)</w:t>
      </w:r>
    </w:p>
    <w:p w:rsidR="001B6B5D" w:rsidRDefault="001B6B5D" w:rsidP="0001259D">
      <w:pPr>
        <w:keepNext/>
        <w:keepLines/>
        <w:autoSpaceDE w:val="0"/>
        <w:autoSpaceDN w:val="0"/>
        <w:adjustRightInd w:val="0"/>
        <w:spacing w:before="120" w:after="0" w:line="240" w:lineRule="auto"/>
        <w:ind w:left="794"/>
        <w:jc w:val="left"/>
        <w:rPr>
          <w:color w:val="000000"/>
          <w:sz w:val="23"/>
          <w:szCs w:val="23"/>
        </w:rPr>
      </w:pPr>
      <w:r>
        <w:rPr>
          <w:color w:val="000000"/>
          <w:sz w:val="23"/>
          <w:szCs w:val="23"/>
        </w:rPr>
        <w:t>Regulation 65—after subregulation (2) insert:</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(3)</w:t>
      </w:r>
      <w:r>
        <w:rPr>
          <w:color w:val="000000"/>
          <w:sz w:val="23"/>
          <w:szCs w:val="23"/>
        </w:rPr>
        <w:tab/>
        <w:t>Subregulation (1) does not apply to a development authorisation relating to a division of land where certificates of title have been issued by the Registrar</w:t>
      </w:r>
      <w:r>
        <w:rPr>
          <w:color w:val="000000"/>
          <w:sz w:val="23"/>
          <w:szCs w:val="23"/>
        </w:rPr>
        <w:noBreakHyphen/>
        <w:t>General in respect of the land divided in accordance with the development authorisation.</w:t>
      </w:r>
    </w:p>
    <w:p w:rsidR="001B6B5D" w:rsidRDefault="001B6B5D" w:rsidP="0001259D">
      <w:pPr>
        <w:pStyle w:val="clauseheadlevel2"/>
      </w:pPr>
      <w:r>
        <w:t>17—Variation of regulation 68—Procedural matters (section 111(2))</w:t>
      </w:r>
    </w:p>
    <w:p w:rsidR="001B6B5D" w:rsidRDefault="001B6B5D" w:rsidP="0001259D">
      <w:pPr>
        <w:keepLines/>
        <w:autoSpaceDE w:val="0"/>
        <w:autoSpaceDN w:val="0"/>
        <w:adjustRightInd w:val="0"/>
        <w:spacing w:before="120" w:after="0" w:line="240" w:lineRule="auto"/>
        <w:ind w:left="794"/>
        <w:jc w:val="left"/>
        <w:rPr>
          <w:color w:val="000000"/>
          <w:sz w:val="23"/>
          <w:szCs w:val="23"/>
        </w:rPr>
      </w:pPr>
      <w:r>
        <w:rPr>
          <w:color w:val="000000"/>
          <w:sz w:val="23"/>
          <w:szCs w:val="23"/>
        </w:rPr>
        <w:t>Regulation 68(3)—delete subregulation (3)</w:t>
      </w:r>
    </w:p>
    <w:p w:rsidR="00C9565C" w:rsidRDefault="00C9565C">
      <w:pPr>
        <w:spacing w:after="0" w:line="240" w:lineRule="auto"/>
        <w:jc w:val="left"/>
        <w:rPr>
          <w:rFonts w:eastAsia="Times New Roman"/>
          <w:b/>
          <w:bCs/>
          <w:color w:val="000000"/>
          <w:sz w:val="26"/>
          <w:szCs w:val="26"/>
          <w:lang w:eastAsia="en-AU"/>
        </w:rPr>
      </w:pPr>
      <w:bookmarkStart w:id="737" w:name="Elkera_Print_TOC22"/>
      <w:bookmarkStart w:id="738" w:name="Elkera_Print_BK22"/>
      <w:r>
        <w:br w:type="page"/>
      </w:r>
    </w:p>
    <w:p w:rsidR="00C9565C" w:rsidRDefault="00C9565C" w:rsidP="00C9565C">
      <w:pPr>
        <w:pStyle w:val="RegSpace"/>
      </w:pPr>
    </w:p>
    <w:p w:rsidR="001B6B5D" w:rsidRDefault="001B6B5D" w:rsidP="0001259D">
      <w:pPr>
        <w:pStyle w:val="clauseheadlevel2"/>
      </w:pPr>
      <w:r>
        <w:t>18—Variation of regulation 93—Notifications during building work</w:t>
      </w:r>
      <w:bookmarkEnd w:id="737"/>
      <w:bookmarkEnd w:id="738"/>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Regulation 93(1)(c)—delete "or before development approval is granted"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the granting of development approval</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Regulation 93(1)(f)—before "completion" insert:</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the intended</w:t>
      </w:r>
    </w:p>
    <w:p w:rsidR="001B6B5D" w:rsidRDefault="001B6B5D" w:rsidP="0001259D">
      <w:pPr>
        <w:pStyle w:val="clauseheadlevel2"/>
      </w:pPr>
      <w:bookmarkStart w:id="739" w:name="Elkera_Print_BK23"/>
      <w:r>
        <w:t>19—Variation of regulation 94—Essential safety provisions</w:t>
      </w:r>
      <w:bookmarkEnd w:id="739"/>
    </w:p>
    <w:p w:rsidR="001B6B5D" w:rsidRDefault="001B6B5D" w:rsidP="0001259D">
      <w:pPr>
        <w:keepNext/>
        <w:keepLines/>
        <w:autoSpaceDE w:val="0"/>
        <w:autoSpaceDN w:val="0"/>
        <w:adjustRightInd w:val="0"/>
        <w:spacing w:before="120" w:after="0" w:line="240" w:lineRule="auto"/>
        <w:ind w:left="794"/>
        <w:jc w:val="left"/>
        <w:rPr>
          <w:color w:val="000000"/>
          <w:sz w:val="23"/>
          <w:szCs w:val="23"/>
        </w:rPr>
      </w:pPr>
      <w:r>
        <w:rPr>
          <w:color w:val="000000"/>
          <w:sz w:val="23"/>
          <w:szCs w:val="23"/>
        </w:rPr>
        <w:t>Regulation 94(4)(a)—delete "building rules consent"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building consent</w:t>
      </w:r>
    </w:p>
    <w:p w:rsidR="001B6B5D" w:rsidRDefault="001B6B5D" w:rsidP="0001259D">
      <w:pPr>
        <w:pStyle w:val="clauseheadlevel2"/>
      </w:pPr>
      <w:r>
        <w:t>20—Variation of regulation 99—Construction Industry Training Fund</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Regulation 99(2)—delete "building rules consent"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building consent</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Regulation 99(3)(b)—delete "building rules consent"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building consent</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Regulation 99(4)—delete "building rules consent"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building consent</w:t>
      </w:r>
    </w:p>
    <w:p w:rsidR="001B6B5D" w:rsidRDefault="001B6B5D" w:rsidP="0001259D">
      <w:pPr>
        <w:pStyle w:val="clauseheadlevel2"/>
      </w:pPr>
      <w:r>
        <w:t>21—Variation of regulation 103—Certificates of occupancy</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Regulation 103—after subregulation (6) insert:</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bookmarkStart w:id="740" w:name="id561c19cc_e0eb_41ce_8ad1_323d6ed1ad9c_4"/>
      <w:r>
        <w:rPr>
          <w:color w:val="000000"/>
          <w:sz w:val="23"/>
          <w:szCs w:val="23"/>
        </w:rPr>
        <w:tab/>
        <w:t>(6a)</w:t>
      </w:r>
      <w:r>
        <w:rPr>
          <w:color w:val="000000"/>
          <w:sz w:val="23"/>
          <w:szCs w:val="23"/>
        </w:rPr>
        <w:tab/>
        <w:t>If, on receipt of a notification of intended completion of building work under regulation 93(1)(f), a council determines that the building work will be inspected by an authorised officer, the certificate of occupancy must not be granted until the inspection has been carried out and any required building work or other action has been undertaken.</w:t>
      </w:r>
      <w:bookmarkEnd w:id="740"/>
    </w:p>
    <w:p w:rsidR="001B6B5D" w:rsidRDefault="001B6B5D" w:rsidP="0001259D">
      <w:pPr>
        <w:keepNext/>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(6b)</w:t>
      </w:r>
      <w:r>
        <w:rPr>
          <w:color w:val="000000"/>
          <w:sz w:val="23"/>
          <w:szCs w:val="23"/>
        </w:rPr>
        <w:tab/>
        <w:t>A council must provide to the relevant authority responsible for assessment of the building work against the provisions of the Building Rules (unless that relevant authority was the council)—</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(a)</w:t>
      </w:r>
      <w:r>
        <w:rPr>
          <w:color w:val="000000"/>
          <w:sz w:val="23"/>
          <w:szCs w:val="23"/>
        </w:rPr>
        <w:tab/>
        <w:t xml:space="preserve">notice of its determination to carry out an inspection of building work in accordance with </w:t>
      </w:r>
      <w:hyperlink w:anchor="id561c19cc_e0eb_41ce_8ad1_323d6ed1ad9c_4" w:history="1">
        <w:r>
          <w:rPr>
            <w:color w:val="000000"/>
            <w:sz w:val="23"/>
            <w:szCs w:val="23"/>
          </w:rPr>
          <w:t>subregulation (6a)</w:t>
        </w:r>
      </w:hyperlink>
      <w:r>
        <w:rPr>
          <w:color w:val="000000"/>
          <w:sz w:val="23"/>
          <w:szCs w:val="23"/>
        </w:rPr>
        <w:t>;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(b)</w:t>
      </w:r>
      <w:r>
        <w:rPr>
          <w:color w:val="000000"/>
          <w:sz w:val="23"/>
          <w:szCs w:val="23"/>
        </w:rPr>
        <w:tab/>
        <w:t>notice of the completion of the inspection (after any building work or other action required by the inspection has been undertaken).</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Regulation 103(7)—delete "Pursuant"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Subject to subregulation (7a), pursuant</w:t>
      </w:r>
    </w:p>
    <w:p w:rsidR="004B03D2" w:rsidRDefault="004B03D2">
      <w:pPr>
        <w:spacing w:after="0" w:line="240" w:lineRule="auto"/>
        <w:jc w:val="left"/>
        <w:rPr>
          <w:color w:val="000000"/>
          <w:sz w:val="23"/>
          <w:szCs w:val="23"/>
        </w:rPr>
      </w:pPr>
      <w:r>
        <w:rPr>
          <w:color w:val="000000"/>
          <w:sz w:val="23"/>
          <w:szCs w:val="23"/>
        </w:rPr>
        <w:br w:type="page"/>
      </w:r>
    </w:p>
    <w:p w:rsidR="004B03D2" w:rsidRDefault="004B03D2" w:rsidP="004B03D2">
      <w:pPr>
        <w:pStyle w:val="RegSpace"/>
      </w:pP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Regulation 103—after subregulation (7) insert:</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(7a)</w:t>
      </w:r>
      <w:r>
        <w:rPr>
          <w:color w:val="000000"/>
          <w:sz w:val="23"/>
          <w:szCs w:val="23"/>
        </w:rPr>
        <w:tab/>
        <w:t>If the council has determined to carry out an inspection of building work in accordance with subregulation (6a), the period under subregulation (7)(a) or (b) (within which an application for the issue of a certificate of occupancy in respect of the building must be decided) does not commence until the day after the notice of completion of the inspection under subregulation (6b)(b) is provided.</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Regulation 103(11)—after "(3)" insert:</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 (6a)</w:t>
      </w:r>
    </w:p>
    <w:p w:rsidR="001B6B5D" w:rsidRDefault="001B6B5D" w:rsidP="0001259D">
      <w:pPr>
        <w:pStyle w:val="clauseheadlevel2"/>
      </w:pPr>
      <w:r>
        <w:t>22—Variation of regulation 104—Statement of Compliance</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Regulation 104(3)—delete subregulation (3) and substitute:</w:t>
      </w:r>
    </w:p>
    <w:p w:rsidR="001B6B5D" w:rsidRDefault="001B6B5D" w:rsidP="0001259D">
      <w:pPr>
        <w:keepNext/>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(3)</w:t>
      </w:r>
      <w:r>
        <w:rPr>
          <w:color w:val="000000"/>
          <w:sz w:val="23"/>
          <w:szCs w:val="23"/>
        </w:rPr>
        <w:tab/>
        <w:t>If building work is carried out in a case where this regulation applies—</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(a)</w:t>
      </w:r>
      <w:r>
        <w:rPr>
          <w:color w:val="000000"/>
          <w:sz w:val="23"/>
          <w:szCs w:val="23"/>
        </w:rPr>
        <w:tab/>
        <w:t>the licensed building work contractor responsible for carrying out the building work; or</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(b)</w:t>
      </w:r>
      <w:r>
        <w:rPr>
          <w:color w:val="000000"/>
          <w:sz w:val="23"/>
          <w:szCs w:val="23"/>
        </w:rPr>
        <w:tab/>
        <w:t>if there is no such person, a registered building work supervisor or a building certifier,</w:t>
      </w:r>
    </w:p>
    <w:p w:rsidR="001B6B5D" w:rsidRDefault="001B6B5D" w:rsidP="0001259D">
      <w:pPr>
        <w:keepLines/>
        <w:autoSpaceDE w:val="0"/>
        <w:autoSpaceDN w:val="0"/>
        <w:adjustRightInd w:val="0"/>
        <w:spacing w:before="120" w:after="0" w:line="240" w:lineRule="auto"/>
        <w:ind w:left="2382"/>
        <w:jc w:val="left"/>
        <w:rPr>
          <w:color w:val="000000"/>
          <w:sz w:val="23"/>
          <w:szCs w:val="23"/>
        </w:rPr>
      </w:pPr>
      <w:r>
        <w:rPr>
          <w:color w:val="000000"/>
          <w:sz w:val="23"/>
          <w:szCs w:val="23"/>
        </w:rPr>
        <w:t>must, when a notice of completion with respect to the building work is given, provide to the relevant authority under subregulation (4) and the person referred to in subregulation (6)(b) via the SA planning portal a duly completed Statement of Compliance in the form determined by the Chief Executive for the purposes of this regulation (being a form published by the Chief Executive on the SA planning portal).</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Regulation 104(5)—delete "building rules consent"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building consent</w:t>
      </w:r>
    </w:p>
    <w:p w:rsidR="001B6B5D" w:rsidRDefault="001B6B5D" w:rsidP="0001259D">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Regulation 104(10)—delete subregulation (10)</w:t>
      </w:r>
    </w:p>
    <w:p w:rsidR="001B6B5D" w:rsidRDefault="001B6B5D" w:rsidP="0001259D">
      <w:pPr>
        <w:pStyle w:val="clauseheadlevel2"/>
      </w:pPr>
      <w:r>
        <w:t>23—Variation of regulation 112—Authorised officers and inspections</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Regulation 112(2)(a)—delete "section 144"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sections 144 and 156</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Regulation 112—after subregulation (2) insert:</w:t>
      </w:r>
    </w:p>
    <w:p w:rsidR="001B6B5D" w:rsidRDefault="001B6B5D" w:rsidP="0001259D">
      <w:pPr>
        <w:keepNext/>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(3)</w:t>
      </w:r>
      <w:r>
        <w:rPr>
          <w:color w:val="000000"/>
          <w:sz w:val="23"/>
          <w:szCs w:val="23"/>
        </w:rPr>
        <w:tab/>
        <w:t>For the purposes of section 155(2) of the Act, the prescribed qualifications are the qualifications that apply for the purposes of gaining accreditation as an accredited professional who is—</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(a)</w:t>
      </w:r>
      <w:r>
        <w:rPr>
          <w:color w:val="000000"/>
          <w:sz w:val="23"/>
          <w:szCs w:val="23"/>
        </w:rPr>
        <w:tab/>
        <w:t>an Accredited professional—building level 1; or</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(b)</w:t>
      </w:r>
      <w:r>
        <w:rPr>
          <w:color w:val="000000"/>
          <w:sz w:val="23"/>
          <w:szCs w:val="23"/>
        </w:rPr>
        <w:tab/>
        <w:t>an Accredited professional—building level 2.</w:t>
      </w:r>
    </w:p>
    <w:p w:rsidR="001B6B5D" w:rsidRDefault="001B6B5D" w:rsidP="0001259D">
      <w:pPr>
        <w:pStyle w:val="clauseheadlevel2"/>
      </w:pPr>
      <w:bookmarkStart w:id="741" w:name="id21ddaf9d_be9d_4620_867f_00697adbf05c_0"/>
      <w:r>
        <w:t>24—Variation of regulation 116—Rights of review and appeal</w:t>
      </w:r>
      <w:bookmarkEnd w:id="741"/>
    </w:p>
    <w:p w:rsidR="001B6B5D" w:rsidRDefault="001B6B5D" w:rsidP="0001259D">
      <w:pPr>
        <w:keepNext/>
        <w:keepLines/>
        <w:autoSpaceDE w:val="0"/>
        <w:autoSpaceDN w:val="0"/>
        <w:adjustRightInd w:val="0"/>
        <w:spacing w:before="120" w:after="0" w:line="240" w:lineRule="auto"/>
        <w:ind w:left="794"/>
        <w:jc w:val="left"/>
        <w:rPr>
          <w:color w:val="000000"/>
          <w:sz w:val="23"/>
          <w:szCs w:val="23"/>
        </w:rPr>
      </w:pPr>
      <w:r>
        <w:rPr>
          <w:color w:val="000000"/>
          <w:sz w:val="23"/>
          <w:szCs w:val="23"/>
        </w:rPr>
        <w:t>Regulation 116—delete "An"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For the purposes of section 203(1) of the Act, an</w:t>
      </w:r>
    </w:p>
    <w:p w:rsidR="001926EF" w:rsidRDefault="001926EF">
      <w:pPr>
        <w:spacing w:after="0" w:line="240" w:lineRule="auto"/>
        <w:jc w:val="left"/>
        <w:rPr>
          <w:rFonts w:eastAsia="Times New Roman"/>
          <w:b/>
          <w:bCs/>
          <w:color w:val="000000"/>
          <w:sz w:val="26"/>
          <w:szCs w:val="26"/>
          <w:lang w:eastAsia="en-AU"/>
        </w:rPr>
      </w:pPr>
      <w:r>
        <w:br w:type="page"/>
      </w:r>
    </w:p>
    <w:p w:rsidR="001926EF" w:rsidRDefault="001926EF" w:rsidP="001926EF">
      <w:pPr>
        <w:pStyle w:val="RegSpace"/>
      </w:pPr>
    </w:p>
    <w:p w:rsidR="001B6B5D" w:rsidRDefault="001B6B5D" w:rsidP="0001259D">
      <w:pPr>
        <w:pStyle w:val="clauseheadlevel2"/>
      </w:pPr>
      <w:r>
        <w:t>25—Variation of regulation 119—Application of Fund</w:t>
      </w:r>
    </w:p>
    <w:p w:rsidR="001B6B5D" w:rsidRDefault="001B6B5D" w:rsidP="0001259D">
      <w:pPr>
        <w:keepNext/>
        <w:keepLines/>
        <w:autoSpaceDE w:val="0"/>
        <w:autoSpaceDN w:val="0"/>
        <w:adjustRightInd w:val="0"/>
        <w:spacing w:before="120" w:after="0" w:line="240" w:lineRule="auto"/>
        <w:ind w:left="794"/>
        <w:jc w:val="left"/>
        <w:rPr>
          <w:color w:val="000000"/>
          <w:sz w:val="23"/>
          <w:szCs w:val="23"/>
        </w:rPr>
      </w:pPr>
      <w:r>
        <w:rPr>
          <w:color w:val="000000"/>
          <w:sz w:val="23"/>
          <w:szCs w:val="23"/>
        </w:rPr>
        <w:t>Regulation 119—delete "a public work or public purpose that promotes or complements a policy or strategy contained in a state planning policy is authorised as a purpose for which the Planning and Development Fund may be applied." and substitute:</w:t>
      </w:r>
    </w:p>
    <w:p w:rsidR="001B6B5D" w:rsidRDefault="001B6B5D" w:rsidP="0001259D">
      <w:pPr>
        <w:keepNext/>
        <w:keepLines/>
        <w:autoSpaceDE w:val="0"/>
        <w:autoSpaceDN w:val="0"/>
        <w:adjustRightInd w:val="0"/>
        <w:spacing w:before="120" w:after="0" w:line="240" w:lineRule="auto"/>
        <w:ind w:left="1588"/>
        <w:jc w:val="left"/>
        <w:rPr>
          <w:color w:val="000000"/>
          <w:sz w:val="23"/>
          <w:szCs w:val="23"/>
        </w:rPr>
      </w:pPr>
      <w:r>
        <w:rPr>
          <w:color w:val="000000"/>
          <w:sz w:val="23"/>
          <w:szCs w:val="23"/>
        </w:rPr>
        <w:t>the Planning and Development Fund may be applied for the following purposes:</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(a)</w:t>
      </w:r>
      <w:r>
        <w:rPr>
          <w:color w:val="000000"/>
          <w:sz w:val="23"/>
          <w:szCs w:val="23"/>
        </w:rPr>
        <w:tab/>
        <w:t>a public work or public purpose that promotes or complements a policy or strategy contained in a state planning policy;</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(b)</w:t>
      </w:r>
      <w:r>
        <w:rPr>
          <w:color w:val="000000"/>
          <w:sz w:val="23"/>
          <w:szCs w:val="23"/>
        </w:rPr>
        <w:tab/>
        <w:t>the establishment of projects associated with the implementation of the Act, including the establishment of—</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w:t>
      </w:r>
      <w:r>
        <w:rPr>
          <w:color w:val="000000"/>
          <w:sz w:val="23"/>
          <w:szCs w:val="23"/>
        </w:rPr>
        <w:tab/>
        <w:t>the SA planning website (the SA planning portal);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(ii)</w:t>
      </w:r>
      <w:r>
        <w:rPr>
          <w:color w:val="000000"/>
          <w:sz w:val="23"/>
          <w:szCs w:val="23"/>
        </w:rPr>
        <w:tab/>
        <w:t>the SA planning database;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(iii)</w:t>
      </w:r>
      <w:r>
        <w:rPr>
          <w:color w:val="000000"/>
          <w:sz w:val="23"/>
          <w:szCs w:val="23"/>
        </w:rPr>
        <w:tab/>
        <w:t>the online atlas and search facility;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(iv)</w:t>
      </w:r>
      <w:r>
        <w:rPr>
          <w:color w:val="000000"/>
          <w:sz w:val="23"/>
          <w:szCs w:val="23"/>
        </w:rPr>
        <w:tab/>
        <w:t>the online delivery of planning services;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(v)</w:t>
      </w:r>
      <w:r>
        <w:rPr>
          <w:color w:val="000000"/>
          <w:sz w:val="23"/>
          <w:szCs w:val="23"/>
        </w:rPr>
        <w:tab/>
        <w:t>the Planning and Design Code.</w:t>
      </w:r>
    </w:p>
    <w:p w:rsidR="001B6B5D" w:rsidRDefault="001B6B5D" w:rsidP="0001259D">
      <w:pPr>
        <w:pStyle w:val="clauseheadlevel2"/>
      </w:pPr>
      <w:bookmarkStart w:id="742" w:name="iddf978a55_2955_43d9_87db_e59686b0cb73_6"/>
      <w:r>
        <w:t>26—Variation of Schedule 3—Additions to definition of development</w:t>
      </w:r>
      <w:bookmarkEnd w:id="742"/>
    </w:p>
    <w:p w:rsidR="001B6B5D" w:rsidRDefault="001B6B5D" w:rsidP="0001259D">
      <w:pPr>
        <w:keepNext/>
        <w:keepLines/>
        <w:autoSpaceDE w:val="0"/>
        <w:autoSpaceDN w:val="0"/>
        <w:adjustRightInd w:val="0"/>
        <w:spacing w:before="120" w:after="0" w:line="240" w:lineRule="auto"/>
        <w:ind w:left="794"/>
        <w:jc w:val="left"/>
        <w:rPr>
          <w:color w:val="000000"/>
          <w:sz w:val="23"/>
          <w:szCs w:val="23"/>
        </w:rPr>
      </w:pPr>
      <w:r>
        <w:rPr>
          <w:color w:val="000000"/>
          <w:sz w:val="23"/>
          <w:szCs w:val="23"/>
        </w:rPr>
        <w:t>Schedule 3, clause 7(1)(d)—after "Flood Plain" insert:</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Protection Area</w:t>
      </w:r>
    </w:p>
    <w:p w:rsidR="001B6B5D" w:rsidRDefault="001B6B5D" w:rsidP="0001259D">
      <w:pPr>
        <w:pStyle w:val="clauseheadlevel2"/>
      </w:pPr>
      <w:r>
        <w:t>27—Variation of Schedule 4—Exclusions from definition of development—general</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Schedule 4, clause 4(1)—after paragraph (a) insert:</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(ab)</w:t>
      </w:r>
      <w:r>
        <w:rPr>
          <w:color w:val="000000"/>
          <w:sz w:val="23"/>
          <w:szCs w:val="23"/>
        </w:rPr>
        <w:tab/>
        <w:t>a temporary structure on land on which a building, or part of a building, has been destroyed or significantly damaged by a bushfire if—</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w:t>
      </w:r>
      <w:r>
        <w:rPr>
          <w:color w:val="000000"/>
          <w:sz w:val="23"/>
          <w:szCs w:val="23"/>
        </w:rPr>
        <w:tab/>
        <w:t>the structure is for the use of the owner of the land for the storage of goods or materials required to assist in the recovery and redevelopment of an area affected by the bushfire;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(ii)</w:t>
      </w:r>
      <w:r>
        <w:rPr>
          <w:color w:val="000000"/>
          <w:sz w:val="23"/>
          <w:szCs w:val="23"/>
        </w:rPr>
        <w:tab/>
        <w:t>the structure—</w:t>
      </w:r>
    </w:p>
    <w:p w:rsidR="001B6B5D" w:rsidRDefault="001B6B5D" w:rsidP="0001259D">
      <w:pPr>
        <w:keepLines/>
        <w:tabs>
          <w:tab w:val="center" w:pos="3573"/>
          <w:tab w:val="left" w:pos="3970"/>
        </w:tabs>
        <w:autoSpaceDE w:val="0"/>
        <w:autoSpaceDN w:val="0"/>
        <w:adjustRightInd w:val="0"/>
        <w:spacing w:before="120" w:after="0" w:line="240" w:lineRule="auto"/>
        <w:ind w:left="3970" w:hanging="794"/>
        <w:jc w:val="left"/>
        <w:rPr>
          <w:color w:val="000000"/>
          <w:sz w:val="23"/>
          <w:szCs w:val="23"/>
        </w:rPr>
      </w:pPr>
      <w:r>
        <w:rPr>
          <w:color w:val="000000"/>
          <w:sz w:val="23"/>
          <w:szCs w:val="23"/>
        </w:rPr>
        <w:tab/>
        <w:t>(A)</w:t>
      </w:r>
      <w:r>
        <w:rPr>
          <w:color w:val="000000"/>
          <w:sz w:val="23"/>
          <w:szCs w:val="23"/>
        </w:rPr>
        <w:tab/>
        <w:t>does not exceed 3 m in height (measured from ground level); and</w:t>
      </w:r>
    </w:p>
    <w:p w:rsidR="001B6B5D" w:rsidRDefault="001B6B5D" w:rsidP="0001259D">
      <w:pPr>
        <w:keepLines/>
        <w:tabs>
          <w:tab w:val="center" w:pos="3573"/>
          <w:tab w:val="left" w:pos="3970"/>
        </w:tabs>
        <w:autoSpaceDE w:val="0"/>
        <w:autoSpaceDN w:val="0"/>
        <w:adjustRightInd w:val="0"/>
        <w:spacing w:before="120" w:after="0" w:line="240" w:lineRule="auto"/>
        <w:ind w:left="3970" w:hanging="794"/>
        <w:jc w:val="left"/>
        <w:rPr>
          <w:color w:val="000000"/>
          <w:sz w:val="23"/>
          <w:szCs w:val="23"/>
        </w:rPr>
      </w:pPr>
      <w:r>
        <w:rPr>
          <w:color w:val="000000"/>
          <w:sz w:val="23"/>
          <w:szCs w:val="23"/>
        </w:rPr>
        <w:tab/>
        <w:t>(B)</w:t>
      </w:r>
      <w:r>
        <w:rPr>
          <w:color w:val="000000"/>
          <w:sz w:val="23"/>
          <w:szCs w:val="23"/>
        </w:rPr>
        <w:tab/>
        <w:t>does not exceed 12.5 m in length; and</w:t>
      </w:r>
    </w:p>
    <w:p w:rsidR="001B6B5D" w:rsidRDefault="001B6B5D" w:rsidP="0001259D">
      <w:pPr>
        <w:keepLines/>
        <w:tabs>
          <w:tab w:val="center" w:pos="3573"/>
          <w:tab w:val="left" w:pos="3970"/>
        </w:tabs>
        <w:autoSpaceDE w:val="0"/>
        <w:autoSpaceDN w:val="0"/>
        <w:adjustRightInd w:val="0"/>
        <w:spacing w:before="120" w:after="0" w:line="240" w:lineRule="auto"/>
        <w:ind w:left="3970" w:hanging="794"/>
        <w:jc w:val="left"/>
        <w:rPr>
          <w:color w:val="000000"/>
          <w:sz w:val="23"/>
          <w:szCs w:val="23"/>
        </w:rPr>
      </w:pPr>
      <w:r>
        <w:rPr>
          <w:color w:val="000000"/>
          <w:sz w:val="23"/>
          <w:szCs w:val="23"/>
        </w:rPr>
        <w:tab/>
        <w:t>(C)</w:t>
      </w:r>
      <w:r>
        <w:rPr>
          <w:color w:val="000000"/>
          <w:sz w:val="23"/>
          <w:szCs w:val="23"/>
        </w:rPr>
        <w:tab/>
        <w:t>does not exceed 2.5 m in width;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(iii)</w:t>
      </w:r>
      <w:r>
        <w:rPr>
          <w:color w:val="000000"/>
          <w:sz w:val="23"/>
          <w:szCs w:val="23"/>
        </w:rPr>
        <w:tab/>
        <w:t>the structure does not remain on the land for a period exceeding 2 years;</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Schedule 4, clause 4(1)(b)—delete paragraph (b) and substitute:</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(b)</w:t>
      </w:r>
      <w:r>
        <w:rPr>
          <w:color w:val="000000"/>
          <w:sz w:val="23"/>
          <w:szCs w:val="23"/>
        </w:rPr>
        <w:tab/>
        <w:t>a windmill or a flagpole that—</w:t>
      </w:r>
    </w:p>
    <w:p w:rsidR="00C7218A" w:rsidRDefault="00C7218A">
      <w:pPr>
        <w:spacing w:after="0" w:line="240" w:lineRule="auto"/>
        <w:jc w:val="left"/>
        <w:rPr>
          <w:color w:val="000000"/>
          <w:sz w:val="23"/>
          <w:szCs w:val="23"/>
        </w:rPr>
      </w:pPr>
      <w:r>
        <w:rPr>
          <w:color w:val="000000"/>
          <w:sz w:val="23"/>
          <w:szCs w:val="23"/>
        </w:rPr>
        <w:br w:type="page"/>
      </w:r>
    </w:p>
    <w:p w:rsidR="00C7218A" w:rsidRDefault="00C7218A" w:rsidP="00C7218A">
      <w:pPr>
        <w:pStyle w:val="RegSpace"/>
      </w:pP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w:t>
      </w:r>
      <w:r>
        <w:rPr>
          <w:color w:val="000000"/>
          <w:sz w:val="23"/>
          <w:szCs w:val="23"/>
        </w:rPr>
        <w:tab/>
        <w:t>is not attached to a building and is not more than 10 m in height; or</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(ii)</w:t>
      </w:r>
      <w:r>
        <w:rPr>
          <w:color w:val="000000"/>
          <w:sz w:val="23"/>
          <w:szCs w:val="23"/>
        </w:rPr>
        <w:tab/>
        <w:t>is attached to a building and is not more than 4 m in height above the topmost point of attachment to the building, exclusive of guy wires,</w:t>
      </w:r>
    </w:p>
    <w:p w:rsidR="001B6B5D" w:rsidRDefault="001B6B5D" w:rsidP="0001259D">
      <w:pPr>
        <w:keepLines/>
        <w:autoSpaceDE w:val="0"/>
        <w:autoSpaceDN w:val="0"/>
        <w:adjustRightInd w:val="0"/>
        <w:spacing w:before="120" w:after="0" w:line="240" w:lineRule="auto"/>
        <w:ind w:left="2382"/>
        <w:jc w:val="left"/>
        <w:rPr>
          <w:color w:val="000000"/>
          <w:sz w:val="23"/>
          <w:szCs w:val="23"/>
        </w:rPr>
      </w:pPr>
      <w:r>
        <w:rPr>
          <w:color w:val="000000"/>
          <w:sz w:val="23"/>
          <w:szCs w:val="23"/>
        </w:rPr>
        <w:t>and, if in a designated airport building heights area, is not more than the height restriction under the Planning and Design Code relating to structures in the location of the proposed development;</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Schedule 4, clause 4(1)(d)(i)(A)—after "overlay" insert:</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identified under the Planning and Design Code for the purposes of this subsubparagraph</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Schedule 4, clause 4(1)(d)(i)(B)—delete "subparagraph"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subsubparagraph</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(5)</w:t>
      </w:r>
      <w:r>
        <w:rPr>
          <w:color w:val="000000"/>
          <w:sz w:val="23"/>
          <w:szCs w:val="23"/>
        </w:rPr>
        <w:tab/>
        <w:t>Schedule 4, clause 4(1)(d)(ii)—delete "Local Heritage Area Overlay"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Historic Area Overlay</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(6)</w:t>
      </w:r>
      <w:r>
        <w:rPr>
          <w:color w:val="000000"/>
          <w:sz w:val="23"/>
          <w:szCs w:val="23"/>
        </w:rPr>
        <w:tab/>
        <w:t>Schedule 4, clause 4(1)(e)—after "overlay" insert:</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identified under the Planning and Design Code for the purposes of this paragraph</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(7)</w:t>
      </w:r>
      <w:r>
        <w:rPr>
          <w:color w:val="000000"/>
          <w:sz w:val="23"/>
          <w:szCs w:val="23"/>
        </w:rPr>
        <w:tab/>
        <w:t>Schedule 4, clause 4(1)(g)(ii)(A)—delete "Hazards (Bushfire Protection) Overlay"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Hazards (Bushfire—Outback) Overlay, Hazards (Bushfire—Regional) Overlay, Hazards (Bushfire—General Risk) Overlay, Hazards (Bushfire—Medium Risk) Overlay, Hazards (Bushfire—High Risk) Overlay or Hazards (Bushfire—Urban Interface) Overlay or any other zone or area in which the word "Bushfire" appears in the title of the zone or area</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(8)</w:t>
      </w:r>
      <w:r>
        <w:rPr>
          <w:color w:val="000000"/>
          <w:sz w:val="23"/>
          <w:szCs w:val="23"/>
        </w:rPr>
        <w:tab/>
        <w:t>Schedule 4, clause 4(1)(i)—delete "Local Heritage Area Overlay"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Historic Area Overlay</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(9)</w:t>
      </w:r>
      <w:r>
        <w:rPr>
          <w:color w:val="000000"/>
          <w:sz w:val="23"/>
          <w:szCs w:val="23"/>
        </w:rPr>
        <w:tab/>
        <w:t>Schedule 4, clause 4(2)—delete "Local Heritage Area Overlay"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Historic Area Overlay</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(10)</w:t>
      </w:r>
      <w:r>
        <w:rPr>
          <w:color w:val="000000"/>
          <w:sz w:val="23"/>
          <w:szCs w:val="23"/>
        </w:rPr>
        <w:tab/>
        <w:t>Schedule 4, clause 4(3)—delete "Local Heritage Area Overlay"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Historic Area Overlay</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(11)</w:t>
      </w:r>
      <w:r>
        <w:rPr>
          <w:color w:val="000000"/>
          <w:sz w:val="23"/>
          <w:szCs w:val="23"/>
        </w:rPr>
        <w:tab/>
        <w:t>Schedule 4, clause 5(2)—after paragraph (f) insert:</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(fa)</w:t>
      </w:r>
      <w:r>
        <w:rPr>
          <w:color w:val="000000"/>
          <w:sz w:val="23"/>
          <w:szCs w:val="23"/>
        </w:rPr>
        <w:tab/>
        <w:t>the parking of a caravan or other vehicle of any weight on land on which a dwelling, or part of a dwelling, has been destroyed or significantly damaged by a bushfire if the vehicle is to be used as accommodation by the owner of the land—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w:t>
      </w:r>
      <w:r>
        <w:rPr>
          <w:color w:val="000000"/>
          <w:sz w:val="23"/>
          <w:szCs w:val="23"/>
        </w:rPr>
        <w:tab/>
        <w:t>for a period not exceeding 2 years; or</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(ii)</w:t>
      </w:r>
      <w:r>
        <w:rPr>
          <w:color w:val="000000"/>
          <w:sz w:val="23"/>
          <w:szCs w:val="23"/>
        </w:rPr>
        <w:tab/>
        <w:t>until a Class 1a building on the land is able to be occupied in accordance with regulation 103,</w:t>
      </w:r>
    </w:p>
    <w:p w:rsidR="001B6B5D" w:rsidRDefault="001B6B5D" w:rsidP="0001259D">
      <w:pPr>
        <w:keepLines/>
        <w:autoSpaceDE w:val="0"/>
        <w:autoSpaceDN w:val="0"/>
        <w:adjustRightInd w:val="0"/>
        <w:spacing w:before="120" w:after="0" w:line="240" w:lineRule="auto"/>
        <w:ind w:left="2382"/>
        <w:jc w:val="left"/>
        <w:rPr>
          <w:color w:val="000000"/>
          <w:sz w:val="23"/>
          <w:szCs w:val="23"/>
        </w:rPr>
      </w:pPr>
      <w:r>
        <w:rPr>
          <w:color w:val="000000"/>
          <w:sz w:val="23"/>
          <w:szCs w:val="23"/>
        </w:rPr>
        <w:t>whichever occurs first;</w:t>
      </w:r>
    </w:p>
    <w:p w:rsidR="000E60F7" w:rsidRDefault="000E60F7">
      <w:pPr>
        <w:spacing w:after="0" w:line="240" w:lineRule="auto"/>
        <w:jc w:val="left"/>
        <w:rPr>
          <w:color w:val="000000"/>
          <w:sz w:val="23"/>
          <w:szCs w:val="23"/>
        </w:rPr>
      </w:pPr>
      <w:r>
        <w:rPr>
          <w:color w:val="000000"/>
          <w:sz w:val="23"/>
          <w:szCs w:val="23"/>
        </w:rPr>
        <w:br w:type="page"/>
      </w:r>
    </w:p>
    <w:p w:rsidR="000E60F7" w:rsidRDefault="000E60F7" w:rsidP="000E60F7">
      <w:pPr>
        <w:pStyle w:val="RegSpace"/>
      </w:pP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(fb)</w:t>
      </w:r>
      <w:r>
        <w:rPr>
          <w:color w:val="000000"/>
          <w:sz w:val="23"/>
          <w:szCs w:val="23"/>
        </w:rPr>
        <w:tab/>
        <w:t>the storage of goods or materials for a period not exceeding 2 years on land on which a building, or part of a building, has been destroyed or significantly damaged by a bushfire if the storage is for the use of the owner of the land to assist in the recovery and redevelopment of an area affected by the bushfire;</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(12)</w:t>
      </w:r>
      <w:r>
        <w:rPr>
          <w:color w:val="000000"/>
          <w:sz w:val="23"/>
          <w:szCs w:val="23"/>
        </w:rPr>
        <w:tab/>
        <w:t>Schedule 4, clause 9(a)—delete "Local Infrastructure (Airfield) Zone, Settlement Zone"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Infrastructure (Airfield) Zone, Rural Settlement Zone</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(13)</w:t>
      </w:r>
      <w:r>
        <w:rPr>
          <w:color w:val="000000"/>
          <w:sz w:val="23"/>
          <w:szCs w:val="23"/>
        </w:rPr>
        <w:tab/>
        <w:t>Schedule 4, clause 9(a)—after "Flood Plain" insert:</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Protection Area</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(14)</w:t>
      </w:r>
      <w:r>
        <w:rPr>
          <w:color w:val="000000"/>
          <w:sz w:val="23"/>
          <w:szCs w:val="23"/>
        </w:rPr>
        <w:tab/>
        <w:t>Schedule 4, clause 9(a)—delete "Specific Use (Tourism Development) Zone"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Tourism Development Zone</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(15)</w:t>
      </w:r>
      <w:r>
        <w:rPr>
          <w:color w:val="000000"/>
          <w:sz w:val="23"/>
          <w:szCs w:val="23"/>
        </w:rPr>
        <w:tab/>
        <w:t>Schedule 4, clause 9(d)—delete "Settlement Zone or Specific Use (Tourism Development) Zone"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Rural Settlement Zone or Tourism Development Zone</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(16)</w:t>
      </w:r>
      <w:r>
        <w:rPr>
          <w:color w:val="000000"/>
          <w:sz w:val="23"/>
          <w:szCs w:val="23"/>
        </w:rPr>
        <w:tab/>
        <w:t>Schedule 4, clause 10—after its present contents (now to be designated as subclause (1)) insert:</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(2)</w:t>
      </w:r>
      <w:r>
        <w:rPr>
          <w:color w:val="000000"/>
          <w:sz w:val="23"/>
          <w:szCs w:val="23"/>
        </w:rPr>
        <w:tab/>
        <w:t>The partial or total demolition of a building and associated structures if the building, or part of the building, has been destroyed or significantly damaged by a bushfire, other than in respect of a local heritage place or Historic Area Overlay in the Planning and Design Code.</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(17)</w:t>
      </w:r>
      <w:r>
        <w:rPr>
          <w:color w:val="000000"/>
          <w:sz w:val="23"/>
          <w:szCs w:val="23"/>
        </w:rPr>
        <w:tab/>
        <w:t>Schedule 4, clause 11(c)(i)—after "overlay" insert:</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identified under the Planning and Design Code for the purposes of this subparagraph</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(18)</w:t>
      </w:r>
      <w:r>
        <w:rPr>
          <w:color w:val="000000"/>
          <w:sz w:val="23"/>
          <w:szCs w:val="23"/>
        </w:rPr>
        <w:tab/>
        <w:t>Schedule 4, clause 13(1)(b)(i)—delete "Local Heritage Area Overlay"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Historic Area Overlay</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(19)</w:t>
      </w:r>
      <w:r>
        <w:rPr>
          <w:color w:val="000000"/>
          <w:sz w:val="23"/>
          <w:szCs w:val="23"/>
        </w:rPr>
        <w:tab/>
        <w:t>Schedule 4, clause 13(3)(a)—delete "Local Infrastructure (Airfield) Zone, Settlement Zone"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Infrastructure (Airfield) Zone, Rural Settlement Zone</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(20)</w:t>
      </w:r>
      <w:r>
        <w:rPr>
          <w:color w:val="000000"/>
          <w:sz w:val="23"/>
          <w:szCs w:val="23"/>
        </w:rPr>
        <w:tab/>
        <w:t>Schedule 4, clause 13(3)(a)—after "Flood Plain" insert:</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Protection Area</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(21)</w:t>
      </w:r>
      <w:r>
        <w:rPr>
          <w:color w:val="000000"/>
          <w:sz w:val="23"/>
          <w:szCs w:val="23"/>
        </w:rPr>
        <w:tab/>
        <w:t>Schedule 4, clause 13(3)(a)—delete "Specific Use (Tourism Development) Zone"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Tourism Development Zone</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(22)</w:t>
      </w:r>
      <w:r>
        <w:rPr>
          <w:color w:val="000000"/>
          <w:sz w:val="23"/>
          <w:szCs w:val="23"/>
        </w:rPr>
        <w:tab/>
        <w:t>Schedule 4, clause 13(3)(d)—delete "Settlement Zone or Specific Use (Tourism Development) Zone"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Rural Settlement Zone or Tourism Development Zone</w:t>
      </w:r>
    </w:p>
    <w:p w:rsidR="00B028E2" w:rsidRDefault="00B028E2">
      <w:pPr>
        <w:spacing w:after="0" w:line="240" w:lineRule="auto"/>
        <w:jc w:val="left"/>
        <w:rPr>
          <w:color w:val="000000"/>
          <w:sz w:val="23"/>
          <w:szCs w:val="23"/>
        </w:rPr>
      </w:pPr>
      <w:r>
        <w:rPr>
          <w:color w:val="000000"/>
          <w:sz w:val="23"/>
          <w:szCs w:val="23"/>
        </w:rPr>
        <w:br w:type="page"/>
      </w:r>
    </w:p>
    <w:p w:rsidR="00B028E2" w:rsidRDefault="00B028E2" w:rsidP="00B028E2">
      <w:pPr>
        <w:pStyle w:val="RegSpace"/>
      </w:pP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(23)</w:t>
      </w:r>
      <w:r>
        <w:rPr>
          <w:color w:val="000000"/>
          <w:sz w:val="23"/>
          <w:szCs w:val="23"/>
        </w:rPr>
        <w:tab/>
        <w:t>Schedule 4, clause 14—after subclause (5) insert:</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(5a)</w:t>
      </w:r>
      <w:r>
        <w:rPr>
          <w:color w:val="000000"/>
          <w:sz w:val="23"/>
          <w:szCs w:val="23"/>
        </w:rPr>
        <w:tab/>
        <w:t>Subclauses (1) and (5) do not apply in relation to the construction of a new railway station.</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(24)</w:t>
      </w:r>
      <w:r>
        <w:rPr>
          <w:color w:val="000000"/>
          <w:sz w:val="23"/>
          <w:szCs w:val="23"/>
        </w:rPr>
        <w:tab/>
        <w:t xml:space="preserve">Schedule 4, clause 14(7), definition of </w:t>
      </w:r>
      <w:r>
        <w:rPr>
          <w:b/>
          <w:bCs/>
          <w:i/>
          <w:iCs/>
          <w:color w:val="000000"/>
          <w:sz w:val="23"/>
          <w:szCs w:val="23"/>
        </w:rPr>
        <w:t>infrastructure</w:t>
      </w:r>
      <w:r>
        <w:rPr>
          <w:color w:val="000000"/>
          <w:sz w:val="23"/>
          <w:szCs w:val="23"/>
        </w:rPr>
        <w:t>, (d)—delete "buildings heights area"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building heights area where the work exceeds the height restriction under the Planning and Design Code relating to structures in the location of the work</w:t>
      </w:r>
    </w:p>
    <w:p w:rsidR="001B6B5D" w:rsidRDefault="001B6B5D" w:rsidP="0001259D">
      <w:pPr>
        <w:pStyle w:val="clauseheadlevel2"/>
      </w:pPr>
      <w:r>
        <w:t>28—Variation of Schedule 5—Exclusions from definition of development—State heritage areas</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Schedule 5, clause 4(1)(c)—after "swimming pool" insert:</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or spa pool (other than in a designated flood zone, subzone or overlay or in any other zone, subzone or overlay identified under the Planning and Design Code for the purposes of this paragraph) which is</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Schedule 5, clause 4(1)(c)—after subparagraph (iii) insert:</w:t>
      </w:r>
    </w:p>
    <w:p w:rsidR="001B6B5D" w:rsidRDefault="001B6B5D" w:rsidP="0001259D">
      <w:pPr>
        <w:keepLines/>
        <w:tabs>
          <w:tab w:val="center" w:pos="2382"/>
          <w:tab w:val="left" w:pos="2779"/>
        </w:tabs>
        <w:autoSpaceDE w:val="0"/>
        <w:autoSpaceDN w:val="0"/>
        <w:adjustRightInd w:val="0"/>
        <w:spacing w:before="120" w:after="0" w:line="240" w:lineRule="auto"/>
        <w:ind w:left="2779" w:hanging="794"/>
        <w:jc w:val="left"/>
        <w:rPr>
          <w:color w:val="000000"/>
          <w:sz w:val="23"/>
          <w:szCs w:val="23"/>
        </w:rPr>
      </w:pPr>
      <w:r>
        <w:rPr>
          <w:color w:val="000000"/>
          <w:sz w:val="23"/>
          <w:szCs w:val="23"/>
        </w:rPr>
        <w:tab/>
      </w:r>
      <w:r>
        <w:rPr>
          <w:color w:val="000000"/>
          <w:sz w:val="23"/>
          <w:szCs w:val="23"/>
        </w:rPr>
        <w:tab/>
        <w:t>and</w:t>
      </w:r>
    </w:p>
    <w:p w:rsidR="001B6B5D" w:rsidRDefault="001B6B5D" w:rsidP="0001259D">
      <w:pPr>
        <w:keepLines/>
        <w:tabs>
          <w:tab w:val="center" w:pos="2382"/>
          <w:tab w:val="left" w:pos="2779"/>
        </w:tabs>
        <w:autoSpaceDE w:val="0"/>
        <w:autoSpaceDN w:val="0"/>
        <w:adjustRightInd w:val="0"/>
        <w:spacing w:before="120" w:after="0" w:line="240" w:lineRule="auto"/>
        <w:ind w:left="2779" w:hanging="794"/>
        <w:jc w:val="left"/>
        <w:rPr>
          <w:color w:val="000000"/>
          <w:sz w:val="23"/>
          <w:szCs w:val="23"/>
        </w:rPr>
      </w:pPr>
      <w:r>
        <w:rPr>
          <w:color w:val="000000"/>
          <w:sz w:val="23"/>
          <w:szCs w:val="23"/>
        </w:rPr>
        <w:tab/>
        <w:t>(iv)</w:t>
      </w:r>
      <w:r>
        <w:rPr>
          <w:color w:val="000000"/>
          <w:sz w:val="23"/>
          <w:szCs w:val="23"/>
        </w:rPr>
        <w:tab/>
        <w:t>in the case of an aboveground or inflatable swimming pool or spa pool, does not incorporate a filtration system;</w:t>
      </w:r>
    </w:p>
    <w:p w:rsidR="001B6B5D" w:rsidRDefault="001B6B5D" w:rsidP="0001259D">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Schedule 5, clause 4(1)(d) and (e)—delete paragraphs (d) and (e)</w:t>
      </w:r>
    </w:p>
    <w:p w:rsidR="001B6B5D" w:rsidRDefault="001B6B5D" w:rsidP="0001259D">
      <w:pPr>
        <w:pStyle w:val="clauseheadlevel2"/>
      </w:pPr>
      <w:bookmarkStart w:id="743" w:name="Elkera_Print_BK35"/>
      <w:r>
        <w:t>29—Variation of Schedule 6—Relevant authority—Commission</w:t>
      </w:r>
      <w:bookmarkEnd w:id="743"/>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Schedule 6, clause 1(1)(a)—after "South Australian Housing Trust" insert:</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 xml:space="preserve">, either individually or jointly with other persons or bodies, or by a provider registered under the </w:t>
      </w:r>
      <w:hyperlink r:id="rId62" w:history="1">
        <w:r>
          <w:rPr>
            <w:i/>
            <w:iCs/>
            <w:color w:val="000000"/>
            <w:sz w:val="23"/>
            <w:szCs w:val="23"/>
          </w:rPr>
          <w:t>Community Housing National Law</w:t>
        </w:r>
      </w:hyperlink>
      <w:r>
        <w:rPr>
          <w:color w:val="000000"/>
          <w:sz w:val="23"/>
          <w:szCs w:val="23"/>
        </w:rPr>
        <w:t xml:space="preserve"> participating in a program relating to the renewal of housing endorsed by the South Australian Housing Trust</w:t>
      </w:r>
    </w:p>
    <w:p w:rsidR="001B6B5D" w:rsidRDefault="001B6B5D" w:rsidP="0001259D">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Schedule 6, clause 1(1)(a)(iii) and (iv)—delete subparagraphs (iii) and (iv)</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Schedule 6, clause 1(1)(a)(v)—after "regulated tree" insert:</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that is not associated with an application for building work on the relevant land</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Schedule 6, clause 1(1)(a)(vi)—delete subparagraph (vi) and substitute:</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(vi)</w:t>
      </w:r>
      <w:r>
        <w:rPr>
          <w:color w:val="000000"/>
          <w:sz w:val="23"/>
          <w:szCs w:val="23"/>
        </w:rPr>
        <w:tab/>
        <w:t>development which is classified as deemed</w:t>
      </w:r>
      <w:r>
        <w:rPr>
          <w:color w:val="000000"/>
          <w:sz w:val="23"/>
          <w:szCs w:val="23"/>
        </w:rPr>
        <w:noBreakHyphen/>
        <w:t>to</w:t>
      </w:r>
      <w:r>
        <w:rPr>
          <w:color w:val="000000"/>
          <w:sz w:val="23"/>
          <w:szCs w:val="23"/>
        </w:rPr>
        <w:noBreakHyphen/>
        <w:t>satisfy under section 106 of the Act.</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(5)</w:t>
      </w:r>
      <w:r>
        <w:rPr>
          <w:color w:val="000000"/>
          <w:sz w:val="23"/>
          <w:szCs w:val="23"/>
        </w:rPr>
        <w:tab/>
        <w:t>Schedule 6—after clause 4 insert:</w:t>
      </w:r>
    </w:p>
    <w:p w:rsidR="001B6B5D" w:rsidRDefault="001B6B5D" w:rsidP="0001259D">
      <w:pPr>
        <w:keepNext/>
        <w:keepLines/>
        <w:autoSpaceDE w:val="0"/>
        <w:autoSpaceDN w:val="0"/>
        <w:adjustRightInd w:val="0"/>
        <w:spacing w:before="160" w:after="0" w:line="240" w:lineRule="auto"/>
        <w:ind w:left="2155" w:hanging="567"/>
        <w:jc w:val="left"/>
        <w:rPr>
          <w:b/>
          <w:bCs/>
          <w:color w:val="000000"/>
          <w:sz w:val="26"/>
          <w:szCs w:val="26"/>
        </w:rPr>
      </w:pPr>
      <w:r>
        <w:rPr>
          <w:b/>
          <w:bCs/>
          <w:color w:val="000000"/>
          <w:sz w:val="26"/>
          <w:szCs w:val="26"/>
        </w:rPr>
        <w:t>4A—Morphettville and Camden Park—buildings exceeding 4 storeys</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(1)</w:t>
      </w:r>
      <w:r>
        <w:rPr>
          <w:color w:val="000000"/>
          <w:sz w:val="23"/>
          <w:szCs w:val="23"/>
        </w:rPr>
        <w:tab/>
        <w:t>Development that involves the erection or construction of a building that exceeds 4 storeys in height in an Urban Neighbourhood Zone under the Planning and Design Code in the suburb of Morphettville or Camden Park.</w:t>
      </w:r>
    </w:p>
    <w:p w:rsidR="00D00990" w:rsidRDefault="00D00990">
      <w:pPr>
        <w:spacing w:after="0" w:line="240" w:lineRule="auto"/>
        <w:jc w:val="left"/>
        <w:rPr>
          <w:color w:val="000000"/>
          <w:sz w:val="23"/>
          <w:szCs w:val="23"/>
        </w:rPr>
      </w:pPr>
      <w:bookmarkStart w:id="744" w:name="id160000c8_8d0f_4f0e_b3c8_2af71ef891ef_f"/>
      <w:r>
        <w:rPr>
          <w:color w:val="000000"/>
          <w:sz w:val="23"/>
          <w:szCs w:val="23"/>
        </w:rPr>
        <w:br w:type="page"/>
      </w:r>
    </w:p>
    <w:p w:rsidR="00D00990" w:rsidRDefault="00D00990" w:rsidP="00D00990">
      <w:pPr>
        <w:pStyle w:val="RegSpace"/>
      </w:pPr>
    </w:p>
    <w:p w:rsidR="001B6B5D" w:rsidRDefault="001B6B5D" w:rsidP="0001259D">
      <w:pPr>
        <w:keepNext/>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(2)</w:t>
      </w:r>
      <w:r>
        <w:rPr>
          <w:color w:val="000000"/>
          <w:sz w:val="23"/>
          <w:szCs w:val="23"/>
        </w:rPr>
        <w:tab/>
        <w:t xml:space="preserve">Subject to </w:t>
      </w:r>
      <w:hyperlink w:anchor="ida041728d_f6d4_4fec_bc21_6f9deadadfd2_f" w:history="1">
        <w:r>
          <w:rPr>
            <w:color w:val="000000"/>
            <w:sz w:val="23"/>
            <w:szCs w:val="23"/>
          </w:rPr>
          <w:t>subclause (3)</w:t>
        </w:r>
      </w:hyperlink>
      <w:r>
        <w:rPr>
          <w:color w:val="000000"/>
          <w:sz w:val="23"/>
          <w:szCs w:val="23"/>
        </w:rPr>
        <w:t>, development—</w:t>
      </w:r>
      <w:bookmarkEnd w:id="744"/>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(a)</w:t>
      </w:r>
      <w:r>
        <w:rPr>
          <w:color w:val="000000"/>
          <w:sz w:val="23"/>
          <w:szCs w:val="23"/>
        </w:rPr>
        <w:tab/>
        <w:t>under an application to vary a development authorisation given by the Commission under this clause; or</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(b)</w:t>
      </w:r>
      <w:r>
        <w:rPr>
          <w:color w:val="000000"/>
          <w:sz w:val="23"/>
          <w:szCs w:val="23"/>
        </w:rPr>
        <w:tab/>
        <w:t>which, in the opinion of the Commission, is ancillary to or in association with a development the subject of an authorisation given by the Commission under this clause.</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bookmarkStart w:id="745" w:name="ida041728d_f6d4_4fec_bc21_6f9deadadfd2_f"/>
      <w:r>
        <w:rPr>
          <w:color w:val="000000"/>
          <w:sz w:val="23"/>
          <w:szCs w:val="23"/>
        </w:rPr>
        <w:tab/>
        <w:t>(3)</w:t>
      </w:r>
      <w:r>
        <w:rPr>
          <w:color w:val="000000"/>
          <w:sz w:val="23"/>
          <w:szCs w:val="23"/>
        </w:rPr>
        <w:tab/>
      </w:r>
      <w:hyperlink w:anchor="id160000c8_8d0f_4f0e_b3c8_2af71ef891ef_f" w:history="1">
        <w:r>
          <w:rPr>
            <w:color w:val="000000"/>
            <w:sz w:val="23"/>
            <w:szCs w:val="23"/>
          </w:rPr>
          <w:t>Subclause (2)</w:t>
        </w:r>
      </w:hyperlink>
      <w:r>
        <w:rPr>
          <w:color w:val="000000"/>
          <w:sz w:val="23"/>
          <w:szCs w:val="23"/>
        </w:rPr>
        <w:t xml:space="preserve"> does not apply to development involving a building in relation to which a certificate of occupancy has been issued.</w:t>
      </w:r>
      <w:bookmarkEnd w:id="745"/>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(6)</w:t>
      </w:r>
      <w:r>
        <w:rPr>
          <w:color w:val="000000"/>
          <w:sz w:val="23"/>
          <w:szCs w:val="23"/>
        </w:rPr>
        <w:tab/>
        <w:t>Schedule 6, clause 12—delete "identified as coastal or coastal conservation zones, subzones or overlays under the Planning and Design Code for the purposes of this clause"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within the Conservation Zone under the Planning and Design Code</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(7)</w:t>
      </w:r>
      <w:r>
        <w:rPr>
          <w:color w:val="000000"/>
          <w:sz w:val="23"/>
          <w:szCs w:val="23"/>
        </w:rPr>
        <w:tab/>
        <w:t>Schedule 6—after clause 12 insert:</w:t>
      </w:r>
    </w:p>
    <w:p w:rsidR="001B6B5D" w:rsidRDefault="001B6B5D" w:rsidP="0001259D">
      <w:pPr>
        <w:keepNext/>
        <w:keepLines/>
        <w:autoSpaceDE w:val="0"/>
        <w:autoSpaceDN w:val="0"/>
        <w:adjustRightInd w:val="0"/>
        <w:spacing w:before="160" w:after="0" w:line="240" w:lineRule="auto"/>
        <w:ind w:left="2155" w:hanging="567"/>
        <w:jc w:val="left"/>
        <w:rPr>
          <w:b/>
          <w:bCs/>
          <w:color w:val="000000"/>
          <w:sz w:val="26"/>
          <w:szCs w:val="26"/>
        </w:rPr>
      </w:pPr>
      <w:r>
        <w:rPr>
          <w:b/>
          <w:bCs/>
          <w:color w:val="000000"/>
          <w:sz w:val="26"/>
          <w:szCs w:val="26"/>
        </w:rPr>
        <w:t>12A—Tourist accommodation in reserves</w:t>
      </w:r>
    </w:p>
    <w:p w:rsidR="001B6B5D" w:rsidRDefault="001B6B5D" w:rsidP="0001259D">
      <w:pPr>
        <w:keepLines/>
        <w:autoSpaceDE w:val="0"/>
        <w:autoSpaceDN w:val="0"/>
        <w:adjustRightInd w:val="0"/>
        <w:spacing w:before="120" w:after="0" w:line="240" w:lineRule="auto"/>
        <w:ind w:left="2382"/>
        <w:jc w:val="left"/>
        <w:rPr>
          <w:color w:val="000000"/>
          <w:sz w:val="23"/>
          <w:szCs w:val="23"/>
        </w:rPr>
      </w:pPr>
      <w:r>
        <w:rPr>
          <w:color w:val="000000"/>
          <w:sz w:val="23"/>
          <w:szCs w:val="23"/>
        </w:rPr>
        <w:t xml:space="preserve">Development for the purposes of tourist accommodation in a reserve constituted under the </w:t>
      </w:r>
      <w:hyperlink r:id="rId63" w:history="1">
        <w:r>
          <w:rPr>
            <w:i/>
            <w:iCs/>
            <w:color w:val="000000"/>
            <w:sz w:val="23"/>
            <w:szCs w:val="23"/>
          </w:rPr>
          <w:t>National Parks and Wildlife Act 1972</w:t>
        </w:r>
      </w:hyperlink>
      <w:r>
        <w:rPr>
          <w:color w:val="000000"/>
          <w:sz w:val="23"/>
          <w:szCs w:val="23"/>
        </w:rPr>
        <w:t>.</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(8)</w:t>
      </w:r>
      <w:r>
        <w:rPr>
          <w:color w:val="000000"/>
          <w:sz w:val="23"/>
          <w:szCs w:val="23"/>
        </w:rPr>
        <w:tab/>
        <w:t>Schedule 6—after clause 13 insert:</w:t>
      </w:r>
    </w:p>
    <w:p w:rsidR="001B6B5D" w:rsidRDefault="001B6B5D" w:rsidP="0001259D">
      <w:pPr>
        <w:keepNext/>
        <w:keepLines/>
        <w:autoSpaceDE w:val="0"/>
        <w:autoSpaceDN w:val="0"/>
        <w:adjustRightInd w:val="0"/>
        <w:spacing w:before="160" w:after="0" w:line="240" w:lineRule="auto"/>
        <w:ind w:left="2155" w:hanging="567"/>
        <w:jc w:val="left"/>
        <w:rPr>
          <w:b/>
          <w:bCs/>
          <w:color w:val="000000"/>
          <w:sz w:val="26"/>
          <w:szCs w:val="26"/>
        </w:rPr>
      </w:pPr>
      <w:r>
        <w:rPr>
          <w:b/>
          <w:bCs/>
          <w:color w:val="000000"/>
          <w:sz w:val="26"/>
          <w:szCs w:val="26"/>
        </w:rPr>
        <w:t>14—Osborne maritime area</w:t>
      </w:r>
    </w:p>
    <w:p w:rsidR="001B6B5D" w:rsidRDefault="001B6B5D" w:rsidP="0001259D">
      <w:pPr>
        <w:keepLines/>
        <w:autoSpaceDE w:val="0"/>
        <w:autoSpaceDN w:val="0"/>
        <w:adjustRightInd w:val="0"/>
        <w:spacing w:before="120" w:after="0" w:line="240" w:lineRule="auto"/>
        <w:ind w:left="2382"/>
        <w:jc w:val="left"/>
        <w:rPr>
          <w:color w:val="000000"/>
          <w:sz w:val="23"/>
          <w:szCs w:val="23"/>
        </w:rPr>
      </w:pPr>
      <w:r>
        <w:rPr>
          <w:color w:val="000000"/>
          <w:sz w:val="23"/>
          <w:szCs w:val="23"/>
        </w:rPr>
        <w:t>Development in any part of the area identified as the Osborne Maritime Policy Area by the Development Plan relating to the City of Port Adelaide Enfield, as that Development Plan existed on 1 April 2020.</w:t>
      </w:r>
    </w:p>
    <w:p w:rsidR="001B6B5D" w:rsidRDefault="001B6B5D" w:rsidP="0001259D">
      <w:pPr>
        <w:pStyle w:val="clauseheadlevel2"/>
      </w:pPr>
      <w:r>
        <w:t>30—Variation of Schedule 7—Complying building work</w:t>
      </w:r>
    </w:p>
    <w:p w:rsidR="001B6B5D" w:rsidRDefault="001B6B5D" w:rsidP="0001259D">
      <w:pPr>
        <w:keepNext/>
        <w:keepLines/>
        <w:autoSpaceDE w:val="0"/>
        <w:autoSpaceDN w:val="0"/>
        <w:adjustRightInd w:val="0"/>
        <w:spacing w:before="120" w:after="0" w:line="240" w:lineRule="auto"/>
        <w:ind w:left="794"/>
        <w:jc w:val="left"/>
        <w:rPr>
          <w:color w:val="000000"/>
          <w:sz w:val="23"/>
          <w:szCs w:val="23"/>
        </w:rPr>
      </w:pPr>
      <w:r>
        <w:rPr>
          <w:color w:val="000000"/>
          <w:sz w:val="23"/>
          <w:szCs w:val="23"/>
        </w:rPr>
        <w:t>Schedule 7—after clause 11 insert:</w:t>
      </w:r>
    </w:p>
    <w:p w:rsidR="001B6B5D" w:rsidRDefault="001B6B5D" w:rsidP="0001259D">
      <w:pPr>
        <w:keepNext/>
        <w:keepLines/>
        <w:autoSpaceDE w:val="0"/>
        <w:autoSpaceDN w:val="0"/>
        <w:adjustRightInd w:val="0"/>
        <w:spacing w:before="160" w:after="0" w:line="240" w:lineRule="auto"/>
        <w:ind w:left="2155" w:hanging="567"/>
        <w:jc w:val="left"/>
        <w:rPr>
          <w:b/>
          <w:bCs/>
          <w:color w:val="000000"/>
          <w:sz w:val="26"/>
          <w:szCs w:val="26"/>
        </w:rPr>
      </w:pPr>
      <w:r>
        <w:rPr>
          <w:b/>
          <w:bCs/>
          <w:color w:val="000000"/>
          <w:sz w:val="26"/>
          <w:szCs w:val="26"/>
        </w:rPr>
        <w:t>12—Temporary accommodation in area affected by bushfire</w:t>
      </w:r>
    </w:p>
    <w:p w:rsidR="001B6B5D" w:rsidRDefault="001B6B5D" w:rsidP="0001259D">
      <w:pPr>
        <w:keepNext/>
        <w:keepLines/>
        <w:autoSpaceDE w:val="0"/>
        <w:autoSpaceDN w:val="0"/>
        <w:adjustRightInd w:val="0"/>
        <w:spacing w:before="120" w:after="0" w:line="240" w:lineRule="auto"/>
        <w:ind w:left="2382"/>
        <w:jc w:val="left"/>
        <w:rPr>
          <w:color w:val="000000"/>
          <w:sz w:val="23"/>
          <w:szCs w:val="23"/>
        </w:rPr>
      </w:pPr>
      <w:r>
        <w:rPr>
          <w:color w:val="000000"/>
          <w:sz w:val="23"/>
          <w:szCs w:val="23"/>
        </w:rPr>
        <w:t>The construction or placement of a building or structure on land on which a dwelling, or part of a dwelling, has been destroyed or significantly damaged by a bushfire if—</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(a)</w:t>
      </w:r>
      <w:r>
        <w:rPr>
          <w:color w:val="000000"/>
          <w:sz w:val="23"/>
          <w:szCs w:val="23"/>
        </w:rPr>
        <w:tab/>
        <w:t>the building or structure is to be used as accommodation by the owner of the land;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(b)</w:t>
      </w:r>
      <w:r>
        <w:rPr>
          <w:color w:val="000000"/>
          <w:sz w:val="23"/>
          <w:szCs w:val="23"/>
        </w:rPr>
        <w:tab/>
        <w:t>the building or structure is a minimum of 20 m from any remaining or regenerating cluster of vegetation (whether that vegetation is on the land or on adjoining land);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(c)</w:t>
      </w:r>
      <w:r>
        <w:rPr>
          <w:color w:val="000000"/>
          <w:sz w:val="23"/>
          <w:szCs w:val="23"/>
        </w:rPr>
        <w:tab/>
        <w:t>the owner of the land complies with any requirements of the South Australian Country Fire Service relating to the maintenance of a clearance area between the temporary accommodation and any remaining or regenerating cluster of vegetation;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(d)</w:t>
      </w:r>
      <w:r>
        <w:rPr>
          <w:color w:val="000000"/>
          <w:sz w:val="23"/>
          <w:szCs w:val="23"/>
        </w:rPr>
        <w:tab/>
        <w:t>the building or structure is to be used as accommodation—</w:t>
      </w:r>
    </w:p>
    <w:p w:rsidR="001B6B5D" w:rsidRDefault="001B6B5D" w:rsidP="0001259D">
      <w:pPr>
        <w:keepLines/>
        <w:tabs>
          <w:tab w:val="center" w:pos="3573"/>
          <w:tab w:val="left" w:pos="3970"/>
        </w:tabs>
        <w:autoSpaceDE w:val="0"/>
        <w:autoSpaceDN w:val="0"/>
        <w:adjustRightInd w:val="0"/>
        <w:spacing w:before="120" w:after="0" w:line="240" w:lineRule="auto"/>
        <w:ind w:left="3970" w:hanging="794"/>
        <w:jc w:val="left"/>
        <w:rPr>
          <w:color w:val="000000"/>
          <w:sz w:val="23"/>
          <w:szCs w:val="23"/>
        </w:rPr>
      </w:pPr>
      <w:r>
        <w:rPr>
          <w:color w:val="000000"/>
          <w:sz w:val="23"/>
          <w:szCs w:val="23"/>
        </w:rPr>
        <w:tab/>
        <w:t>(i)</w:t>
      </w:r>
      <w:r>
        <w:rPr>
          <w:color w:val="000000"/>
          <w:sz w:val="23"/>
          <w:szCs w:val="23"/>
        </w:rPr>
        <w:tab/>
        <w:t>for a period not exceeding 2 years; or</w:t>
      </w:r>
    </w:p>
    <w:p w:rsidR="00B4422E" w:rsidRDefault="00B4422E">
      <w:pPr>
        <w:spacing w:after="0" w:line="240" w:lineRule="auto"/>
        <w:jc w:val="left"/>
        <w:rPr>
          <w:color w:val="000000"/>
          <w:sz w:val="23"/>
          <w:szCs w:val="23"/>
        </w:rPr>
      </w:pPr>
      <w:r>
        <w:rPr>
          <w:color w:val="000000"/>
          <w:sz w:val="23"/>
          <w:szCs w:val="23"/>
        </w:rPr>
        <w:br w:type="page"/>
      </w:r>
    </w:p>
    <w:p w:rsidR="00B4422E" w:rsidRDefault="00B4422E" w:rsidP="00B4422E">
      <w:pPr>
        <w:pStyle w:val="RegSpace"/>
      </w:pPr>
    </w:p>
    <w:p w:rsidR="001B6B5D" w:rsidRDefault="001B6B5D" w:rsidP="0001259D">
      <w:pPr>
        <w:keepLines/>
        <w:tabs>
          <w:tab w:val="center" w:pos="3573"/>
          <w:tab w:val="left" w:pos="3970"/>
        </w:tabs>
        <w:autoSpaceDE w:val="0"/>
        <w:autoSpaceDN w:val="0"/>
        <w:adjustRightInd w:val="0"/>
        <w:spacing w:before="120" w:after="0" w:line="240" w:lineRule="auto"/>
        <w:ind w:left="3970" w:hanging="794"/>
        <w:jc w:val="left"/>
        <w:rPr>
          <w:color w:val="000000"/>
          <w:sz w:val="23"/>
          <w:szCs w:val="23"/>
        </w:rPr>
      </w:pPr>
      <w:r>
        <w:rPr>
          <w:color w:val="000000"/>
          <w:sz w:val="23"/>
          <w:szCs w:val="23"/>
        </w:rPr>
        <w:tab/>
        <w:t>(ii)</w:t>
      </w:r>
      <w:r>
        <w:rPr>
          <w:color w:val="000000"/>
          <w:sz w:val="23"/>
          <w:szCs w:val="23"/>
        </w:rPr>
        <w:tab/>
        <w:t>until a Class 1a building on the land is able to be occupied in accordance with regulation 103,</w:t>
      </w:r>
    </w:p>
    <w:p w:rsidR="001B6B5D" w:rsidRDefault="001B6B5D" w:rsidP="0001259D">
      <w:pPr>
        <w:keepLines/>
        <w:autoSpaceDE w:val="0"/>
        <w:autoSpaceDN w:val="0"/>
        <w:adjustRightInd w:val="0"/>
        <w:spacing w:before="120" w:after="0" w:line="240" w:lineRule="auto"/>
        <w:ind w:left="3176"/>
        <w:jc w:val="left"/>
        <w:rPr>
          <w:color w:val="000000"/>
          <w:sz w:val="23"/>
          <w:szCs w:val="23"/>
        </w:rPr>
      </w:pPr>
      <w:r>
        <w:rPr>
          <w:color w:val="000000"/>
          <w:sz w:val="23"/>
          <w:szCs w:val="23"/>
        </w:rPr>
        <w:t>whichever occurs first;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(e)</w:t>
      </w:r>
      <w:r>
        <w:rPr>
          <w:color w:val="000000"/>
          <w:sz w:val="23"/>
          <w:szCs w:val="23"/>
        </w:rPr>
        <w:tab/>
        <w:t>the building or structure complies with the following requirements:</w:t>
      </w:r>
    </w:p>
    <w:p w:rsidR="001B6B5D" w:rsidRDefault="001B6B5D" w:rsidP="0001259D">
      <w:pPr>
        <w:keepLines/>
        <w:tabs>
          <w:tab w:val="center" w:pos="3573"/>
          <w:tab w:val="left" w:pos="3970"/>
        </w:tabs>
        <w:autoSpaceDE w:val="0"/>
        <w:autoSpaceDN w:val="0"/>
        <w:adjustRightInd w:val="0"/>
        <w:spacing w:before="120" w:after="0" w:line="240" w:lineRule="auto"/>
        <w:ind w:left="3970" w:hanging="794"/>
        <w:jc w:val="left"/>
        <w:rPr>
          <w:color w:val="000000"/>
          <w:sz w:val="23"/>
          <w:szCs w:val="23"/>
        </w:rPr>
      </w:pPr>
      <w:r>
        <w:rPr>
          <w:color w:val="000000"/>
          <w:sz w:val="23"/>
          <w:szCs w:val="23"/>
        </w:rPr>
        <w:tab/>
        <w:t>(i)</w:t>
      </w:r>
      <w:r>
        <w:rPr>
          <w:color w:val="000000"/>
          <w:sz w:val="23"/>
          <w:szCs w:val="23"/>
        </w:rPr>
        <w:tab/>
        <w:t>the requirements in—</w:t>
      </w:r>
    </w:p>
    <w:p w:rsidR="001B6B5D" w:rsidRDefault="001B6B5D" w:rsidP="0001259D">
      <w:pPr>
        <w:keepLines/>
        <w:tabs>
          <w:tab w:val="center" w:pos="4367"/>
          <w:tab w:val="left" w:pos="4764"/>
        </w:tabs>
        <w:autoSpaceDE w:val="0"/>
        <w:autoSpaceDN w:val="0"/>
        <w:adjustRightInd w:val="0"/>
        <w:spacing w:before="120" w:after="0" w:line="240" w:lineRule="auto"/>
        <w:ind w:left="4764" w:hanging="794"/>
        <w:jc w:val="left"/>
        <w:rPr>
          <w:color w:val="000000"/>
          <w:sz w:val="23"/>
          <w:szCs w:val="23"/>
        </w:rPr>
      </w:pPr>
      <w:r>
        <w:rPr>
          <w:color w:val="000000"/>
          <w:sz w:val="23"/>
          <w:szCs w:val="23"/>
        </w:rPr>
        <w:tab/>
        <w:t>(A)</w:t>
      </w:r>
      <w:r>
        <w:rPr>
          <w:color w:val="000000"/>
          <w:sz w:val="23"/>
          <w:szCs w:val="23"/>
        </w:rPr>
        <w:tab/>
        <w:t>the relevant clauses of Part 2.1 of the Housing Provisions of the National Construction Code; and</w:t>
      </w:r>
    </w:p>
    <w:p w:rsidR="001B6B5D" w:rsidRDefault="001B6B5D" w:rsidP="0001259D">
      <w:pPr>
        <w:keepLines/>
        <w:tabs>
          <w:tab w:val="center" w:pos="4367"/>
          <w:tab w:val="left" w:pos="4764"/>
        </w:tabs>
        <w:autoSpaceDE w:val="0"/>
        <w:autoSpaceDN w:val="0"/>
        <w:adjustRightInd w:val="0"/>
        <w:spacing w:before="120" w:after="0" w:line="240" w:lineRule="auto"/>
        <w:ind w:left="4764" w:hanging="794"/>
        <w:jc w:val="left"/>
        <w:rPr>
          <w:color w:val="000000"/>
          <w:sz w:val="23"/>
          <w:szCs w:val="23"/>
        </w:rPr>
      </w:pPr>
      <w:r>
        <w:rPr>
          <w:color w:val="000000"/>
          <w:sz w:val="23"/>
          <w:szCs w:val="23"/>
        </w:rPr>
        <w:tab/>
        <w:t>(B)</w:t>
      </w:r>
      <w:r>
        <w:rPr>
          <w:color w:val="000000"/>
          <w:sz w:val="23"/>
          <w:szCs w:val="23"/>
        </w:rPr>
        <w:tab/>
        <w:t>clause P2.2.2 of the Housing Provisions of the National Construction Code; and</w:t>
      </w:r>
    </w:p>
    <w:p w:rsidR="001B6B5D" w:rsidRDefault="001B6B5D" w:rsidP="0001259D">
      <w:pPr>
        <w:keepLines/>
        <w:tabs>
          <w:tab w:val="center" w:pos="4367"/>
          <w:tab w:val="left" w:pos="4764"/>
        </w:tabs>
        <w:autoSpaceDE w:val="0"/>
        <w:autoSpaceDN w:val="0"/>
        <w:adjustRightInd w:val="0"/>
        <w:spacing w:before="120" w:after="0" w:line="240" w:lineRule="auto"/>
        <w:ind w:left="4764" w:hanging="794"/>
        <w:jc w:val="left"/>
        <w:rPr>
          <w:color w:val="000000"/>
          <w:sz w:val="23"/>
          <w:szCs w:val="23"/>
        </w:rPr>
      </w:pPr>
      <w:r>
        <w:rPr>
          <w:color w:val="000000"/>
          <w:sz w:val="23"/>
          <w:szCs w:val="23"/>
        </w:rPr>
        <w:tab/>
        <w:t>(C)</w:t>
      </w:r>
      <w:r>
        <w:rPr>
          <w:color w:val="000000"/>
          <w:sz w:val="23"/>
          <w:szCs w:val="23"/>
        </w:rPr>
        <w:tab/>
        <w:t>clause P2.4.3 of the Housing Provisions of the National Construction Code;</w:t>
      </w:r>
    </w:p>
    <w:p w:rsidR="001B6B5D" w:rsidRDefault="001B6B5D" w:rsidP="0001259D">
      <w:pPr>
        <w:keepLines/>
        <w:tabs>
          <w:tab w:val="center" w:pos="3573"/>
          <w:tab w:val="left" w:pos="3970"/>
        </w:tabs>
        <w:autoSpaceDE w:val="0"/>
        <w:autoSpaceDN w:val="0"/>
        <w:adjustRightInd w:val="0"/>
        <w:spacing w:before="120" w:after="0" w:line="240" w:lineRule="auto"/>
        <w:ind w:left="3970" w:hanging="794"/>
        <w:jc w:val="left"/>
        <w:rPr>
          <w:color w:val="000000"/>
          <w:sz w:val="23"/>
          <w:szCs w:val="23"/>
        </w:rPr>
      </w:pPr>
      <w:r>
        <w:rPr>
          <w:color w:val="000000"/>
          <w:sz w:val="23"/>
          <w:szCs w:val="23"/>
        </w:rPr>
        <w:tab/>
        <w:t>(ii)</w:t>
      </w:r>
      <w:r>
        <w:rPr>
          <w:color w:val="000000"/>
          <w:sz w:val="23"/>
          <w:szCs w:val="23"/>
        </w:rPr>
        <w:tab/>
        <w:t>—</w:t>
      </w:r>
    </w:p>
    <w:p w:rsidR="001B6B5D" w:rsidRDefault="001B6B5D" w:rsidP="0001259D">
      <w:pPr>
        <w:keepLines/>
        <w:tabs>
          <w:tab w:val="center" w:pos="4367"/>
          <w:tab w:val="left" w:pos="4764"/>
        </w:tabs>
        <w:autoSpaceDE w:val="0"/>
        <w:autoSpaceDN w:val="0"/>
        <w:adjustRightInd w:val="0"/>
        <w:spacing w:before="120" w:after="0" w:line="240" w:lineRule="auto"/>
        <w:ind w:left="4764" w:hanging="794"/>
        <w:jc w:val="left"/>
        <w:rPr>
          <w:color w:val="000000"/>
          <w:sz w:val="23"/>
          <w:szCs w:val="23"/>
        </w:rPr>
      </w:pPr>
      <w:r>
        <w:rPr>
          <w:color w:val="000000"/>
          <w:sz w:val="23"/>
          <w:szCs w:val="23"/>
        </w:rPr>
        <w:tab/>
        <w:t>(A)</w:t>
      </w:r>
      <w:r>
        <w:rPr>
          <w:color w:val="000000"/>
          <w:sz w:val="23"/>
          <w:szCs w:val="23"/>
        </w:rPr>
        <w:tab/>
        <w:t>if the site is connected to mains water—the land on which the building or structure is constructed or placed has a 2 000 L dedicated fire fighting water supply with a tap; or</w:t>
      </w:r>
    </w:p>
    <w:p w:rsidR="001B6B5D" w:rsidRDefault="001B6B5D" w:rsidP="0001259D">
      <w:pPr>
        <w:keepLines/>
        <w:tabs>
          <w:tab w:val="center" w:pos="4367"/>
          <w:tab w:val="left" w:pos="4764"/>
        </w:tabs>
        <w:autoSpaceDE w:val="0"/>
        <w:autoSpaceDN w:val="0"/>
        <w:adjustRightInd w:val="0"/>
        <w:spacing w:before="120" w:after="0" w:line="240" w:lineRule="auto"/>
        <w:ind w:left="4764" w:hanging="794"/>
        <w:jc w:val="left"/>
        <w:rPr>
          <w:color w:val="000000"/>
          <w:sz w:val="23"/>
          <w:szCs w:val="23"/>
        </w:rPr>
      </w:pPr>
      <w:r>
        <w:rPr>
          <w:color w:val="000000"/>
          <w:sz w:val="23"/>
          <w:szCs w:val="23"/>
        </w:rPr>
        <w:tab/>
        <w:t>(B)</w:t>
      </w:r>
      <w:r>
        <w:rPr>
          <w:color w:val="000000"/>
          <w:sz w:val="23"/>
          <w:szCs w:val="23"/>
        </w:rPr>
        <w:tab/>
        <w:t>if the site is not connected to mains water—the land on which the building or structure is constructed or placed has a 5 000 L dedicated fire fighting water supply with a tap;</w:t>
      </w:r>
    </w:p>
    <w:p w:rsidR="001B6B5D" w:rsidRDefault="001B6B5D" w:rsidP="0001259D">
      <w:pPr>
        <w:keepLines/>
        <w:tabs>
          <w:tab w:val="center" w:pos="3573"/>
          <w:tab w:val="left" w:pos="3970"/>
        </w:tabs>
        <w:autoSpaceDE w:val="0"/>
        <w:autoSpaceDN w:val="0"/>
        <w:adjustRightInd w:val="0"/>
        <w:spacing w:before="120" w:after="0" w:line="240" w:lineRule="auto"/>
        <w:ind w:left="3970" w:hanging="794"/>
        <w:jc w:val="left"/>
        <w:rPr>
          <w:color w:val="000000"/>
          <w:sz w:val="23"/>
          <w:szCs w:val="23"/>
        </w:rPr>
      </w:pPr>
      <w:r>
        <w:rPr>
          <w:color w:val="000000"/>
          <w:sz w:val="23"/>
          <w:szCs w:val="23"/>
        </w:rPr>
        <w:tab/>
        <w:t>(iii)</w:t>
      </w:r>
      <w:r>
        <w:rPr>
          <w:color w:val="000000"/>
          <w:sz w:val="23"/>
          <w:szCs w:val="23"/>
        </w:rPr>
        <w:tab/>
        <w:t>waste water is disposed of through, or connected to, an approved wastewater system, SA Water sewer or council community wastewater system;</w:t>
      </w:r>
    </w:p>
    <w:p w:rsidR="001B6B5D" w:rsidRDefault="001B6B5D" w:rsidP="0001259D">
      <w:pPr>
        <w:keepLines/>
        <w:tabs>
          <w:tab w:val="center" w:pos="3573"/>
          <w:tab w:val="left" w:pos="3970"/>
        </w:tabs>
        <w:autoSpaceDE w:val="0"/>
        <w:autoSpaceDN w:val="0"/>
        <w:adjustRightInd w:val="0"/>
        <w:spacing w:before="120" w:after="0" w:line="240" w:lineRule="auto"/>
        <w:ind w:left="3970" w:hanging="794"/>
        <w:jc w:val="left"/>
        <w:rPr>
          <w:color w:val="000000"/>
          <w:sz w:val="23"/>
          <w:szCs w:val="23"/>
        </w:rPr>
      </w:pPr>
      <w:r>
        <w:rPr>
          <w:color w:val="000000"/>
          <w:sz w:val="23"/>
          <w:szCs w:val="23"/>
        </w:rPr>
        <w:tab/>
        <w:t>(iv)</w:t>
      </w:r>
      <w:r>
        <w:rPr>
          <w:color w:val="000000"/>
          <w:sz w:val="23"/>
          <w:szCs w:val="23"/>
        </w:rPr>
        <w:tab/>
        <w:t>all smoke alarms required under clause P2.3.2 of the Housing Provisions of the National Construction Code are installed and tested;</w:t>
      </w:r>
    </w:p>
    <w:p w:rsidR="001B6B5D" w:rsidRDefault="001B6B5D" w:rsidP="0001259D">
      <w:pPr>
        <w:keepLines/>
        <w:tabs>
          <w:tab w:val="center" w:pos="3573"/>
          <w:tab w:val="left" w:pos="3970"/>
        </w:tabs>
        <w:autoSpaceDE w:val="0"/>
        <w:autoSpaceDN w:val="0"/>
        <w:adjustRightInd w:val="0"/>
        <w:spacing w:before="120" w:after="0" w:line="240" w:lineRule="auto"/>
        <w:ind w:left="3970" w:hanging="794"/>
        <w:jc w:val="left"/>
        <w:rPr>
          <w:color w:val="000000"/>
          <w:sz w:val="23"/>
          <w:szCs w:val="23"/>
        </w:rPr>
      </w:pPr>
      <w:r>
        <w:rPr>
          <w:color w:val="000000"/>
          <w:sz w:val="23"/>
          <w:szCs w:val="23"/>
        </w:rPr>
        <w:tab/>
        <w:t>(v)</w:t>
      </w:r>
      <w:r>
        <w:rPr>
          <w:color w:val="000000"/>
          <w:sz w:val="23"/>
          <w:szCs w:val="23"/>
        </w:rPr>
        <w:tab/>
        <w:t>the building or structure is fitted with a fire extinguisher.</w:t>
      </w:r>
    </w:p>
    <w:p w:rsidR="001B6B5D" w:rsidRDefault="001B6B5D" w:rsidP="0001259D">
      <w:pPr>
        <w:pStyle w:val="clauseheadlevel2"/>
      </w:pPr>
      <w:r>
        <w:t>31—Variation of Schedule 8—Plans</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Schedule 8, clause 1—delete "or pergola"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 deck, fence, retaining wall or pergola (or any other development ancillary to a dwelling not within the ambit of clause 3)</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Schedule 8, clause 2—delete "relates to 1 or more proposed dwellings, or the alteration of or addition to an existing dwelling,"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proposes building work not within the ambit Schedule 8 clause 1 or 3</w:t>
      </w:r>
    </w:p>
    <w:p w:rsidR="002467A5" w:rsidRDefault="002467A5">
      <w:pPr>
        <w:spacing w:after="0" w:line="240" w:lineRule="auto"/>
        <w:jc w:val="left"/>
        <w:rPr>
          <w:color w:val="000000"/>
          <w:sz w:val="23"/>
          <w:szCs w:val="23"/>
        </w:rPr>
      </w:pPr>
      <w:r>
        <w:rPr>
          <w:color w:val="000000"/>
          <w:sz w:val="23"/>
          <w:szCs w:val="23"/>
        </w:rPr>
        <w:br w:type="page"/>
      </w:r>
    </w:p>
    <w:p w:rsidR="002467A5" w:rsidRDefault="002467A5" w:rsidP="002467A5">
      <w:pPr>
        <w:pStyle w:val="RegSpace"/>
      </w:pP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Schedule 8, clause 2(a)—after subparagraph (i) insert:</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(ia)</w:t>
      </w:r>
      <w:r>
        <w:rPr>
          <w:color w:val="000000"/>
          <w:sz w:val="23"/>
          <w:szCs w:val="23"/>
        </w:rPr>
        <w:tab/>
        <w:t>the boundaries and dimensions of any proposed sites (after completion of the proposed development) and, if the application provides for an area of common or community land, the boundaries of such land; and</w:t>
      </w:r>
    </w:p>
    <w:p w:rsidR="001B6B5D" w:rsidRDefault="001B6B5D" w:rsidP="0001259D">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Schedule 8, clause 2(a)(ii)—delete "the minimum front and side setbacks of"</w:t>
      </w:r>
    </w:p>
    <w:p w:rsidR="001B6B5D" w:rsidRDefault="001B6B5D" w:rsidP="0001259D">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(5)</w:t>
      </w:r>
      <w:r>
        <w:rPr>
          <w:color w:val="000000"/>
          <w:sz w:val="23"/>
          <w:szCs w:val="23"/>
        </w:rPr>
        <w:tab/>
        <w:t>Schedule 8, clause 2(a)(vi)—delete "that are not fully enclosed or covered"</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(6)</w:t>
      </w:r>
      <w:r>
        <w:rPr>
          <w:color w:val="000000"/>
          <w:sz w:val="23"/>
          <w:szCs w:val="23"/>
        </w:rPr>
        <w:tab/>
        <w:t>Schedule 8, clause 2(a)—after subparagraph (ix) insert:</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(x)</w:t>
      </w:r>
      <w:r>
        <w:rPr>
          <w:color w:val="000000"/>
          <w:sz w:val="23"/>
          <w:szCs w:val="23"/>
        </w:rPr>
        <w:tab/>
        <w:t>the amount and location of private open space that will exist on the site after completion of the development, including details of any fencing around areas of private open space; and</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(xi)</w:t>
      </w:r>
      <w:r>
        <w:rPr>
          <w:color w:val="000000"/>
          <w:sz w:val="23"/>
          <w:szCs w:val="23"/>
        </w:rPr>
        <w:tab/>
        <w:t>the location and capacity of any proposed water tank and connection type; and</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(xii)</w:t>
      </w:r>
      <w:r>
        <w:rPr>
          <w:color w:val="000000"/>
          <w:sz w:val="23"/>
          <w:szCs w:val="23"/>
        </w:rPr>
        <w:tab/>
        <w:t>if a new or modified driveway or access point is proposed, the width of the vehicle crossover, the driveway width at the front boundary and the minimum and maximum driveway widths.</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(7)</w:t>
      </w:r>
      <w:r>
        <w:rPr>
          <w:color w:val="000000"/>
          <w:sz w:val="23"/>
          <w:szCs w:val="23"/>
        </w:rPr>
        <w:tab/>
        <w:t>Schedule 8, clause 2(b)—delete "the location and purpose of rooms and other areas at the completion of the development; and" and substitute:</w:t>
      </w:r>
    </w:p>
    <w:p w:rsidR="001B6B5D" w:rsidRDefault="001B6B5D" w:rsidP="0001259D">
      <w:pPr>
        <w:keepNext/>
        <w:keepLines/>
        <w:autoSpaceDE w:val="0"/>
        <w:autoSpaceDN w:val="0"/>
        <w:adjustRightInd w:val="0"/>
        <w:spacing w:before="120" w:after="0" w:line="240" w:lineRule="auto"/>
        <w:ind w:left="1588"/>
        <w:jc w:val="left"/>
        <w:rPr>
          <w:color w:val="000000"/>
          <w:sz w:val="23"/>
          <w:szCs w:val="23"/>
        </w:rPr>
      </w:pPr>
      <w:r>
        <w:rPr>
          <w:color w:val="000000"/>
          <w:sz w:val="23"/>
          <w:szCs w:val="23"/>
        </w:rPr>
        <w:t>—</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w:t>
      </w:r>
      <w:r>
        <w:rPr>
          <w:color w:val="000000"/>
          <w:sz w:val="23"/>
          <w:szCs w:val="23"/>
        </w:rPr>
        <w:tab/>
        <w:t>the location and purpose of rooms and other areas at the completion of the development; and</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w:t>
      </w:r>
      <w:r>
        <w:rPr>
          <w:color w:val="000000"/>
          <w:sz w:val="23"/>
          <w:szCs w:val="23"/>
        </w:rPr>
        <w:tab/>
        <w:t>the internal dimensions of any proposed carport or garage; and</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(iii)</w:t>
      </w:r>
      <w:r>
        <w:rPr>
          <w:color w:val="000000"/>
          <w:sz w:val="23"/>
          <w:szCs w:val="23"/>
        </w:rPr>
        <w:tab/>
        <w:t>the roof area, including any eaves and verandahs; and</w:t>
      </w:r>
    </w:p>
    <w:p w:rsidR="001B6B5D" w:rsidRDefault="001B6B5D" w:rsidP="0001259D">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(8)</w:t>
      </w:r>
      <w:r>
        <w:rPr>
          <w:color w:val="000000"/>
          <w:sz w:val="23"/>
          <w:szCs w:val="23"/>
        </w:rPr>
        <w:tab/>
        <w:t>Schedule 8, clause 2(c)(v)(C)—delete subsubparagraph (C)</w:t>
      </w:r>
    </w:p>
    <w:p w:rsidR="001B6B5D" w:rsidRDefault="001B6B5D" w:rsidP="0001259D">
      <w:pPr>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(9)</w:t>
      </w:r>
      <w:r>
        <w:rPr>
          <w:color w:val="000000"/>
          <w:sz w:val="23"/>
          <w:szCs w:val="23"/>
        </w:rPr>
        <w:tab/>
        <w:t>Schedule 8, clause 2(c)(viii)—delete subparagraph (viii)</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(10)</w:t>
      </w:r>
      <w:r>
        <w:rPr>
          <w:color w:val="000000"/>
          <w:sz w:val="23"/>
          <w:szCs w:val="23"/>
        </w:rPr>
        <w:tab/>
        <w:t>Schedule 8, clause 2(d)—after "new dwellings" insert:</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where the previous use or activity on the allotment was not for residential purposes</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(11)</w:t>
      </w:r>
      <w:r>
        <w:rPr>
          <w:color w:val="000000"/>
          <w:sz w:val="23"/>
          <w:szCs w:val="23"/>
        </w:rPr>
        <w:tab/>
        <w:t>Schedule 8, clause 2—after paragraph (d) insert:</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r>
      <w:r>
        <w:rPr>
          <w:color w:val="000000"/>
          <w:sz w:val="23"/>
          <w:szCs w:val="23"/>
        </w:rPr>
        <w:tab/>
        <w:t>and</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(e)</w:t>
      </w:r>
      <w:r>
        <w:rPr>
          <w:color w:val="000000"/>
          <w:sz w:val="23"/>
          <w:szCs w:val="23"/>
        </w:rPr>
        <w:tab/>
        <w:t>in the case of an application proposing development located in a designated bushfire prone area—a site plan, drawn to scale, including appropriate bar and ratio scales, showing—</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w:t>
      </w:r>
      <w:r>
        <w:rPr>
          <w:color w:val="000000"/>
          <w:sz w:val="23"/>
          <w:szCs w:val="23"/>
        </w:rPr>
        <w:tab/>
        <w:t>the location of an existing or proposed asset protection zone;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(ii)</w:t>
      </w:r>
      <w:r>
        <w:rPr>
          <w:color w:val="000000"/>
          <w:sz w:val="23"/>
          <w:szCs w:val="23"/>
        </w:rPr>
        <w:tab/>
        <w:t>the surface materials of any existing or proposed driveway;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(iii)</w:t>
      </w:r>
      <w:r>
        <w:rPr>
          <w:color w:val="000000"/>
          <w:sz w:val="23"/>
          <w:szCs w:val="23"/>
        </w:rPr>
        <w:tab/>
        <w:t>the gradient of the transition area between the public road and any existing or proposed driveway, the gradients of the driveway, and the cross fall of the driveway; and</w:t>
      </w:r>
    </w:p>
    <w:p w:rsidR="00E83298" w:rsidRDefault="001B6B5D" w:rsidP="00E83298">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(f)</w:t>
      </w:r>
      <w:r>
        <w:rPr>
          <w:color w:val="000000"/>
          <w:sz w:val="23"/>
          <w:szCs w:val="23"/>
        </w:rPr>
        <w:tab/>
        <w:t>in the case of an application proposing a deemed</w:t>
      </w:r>
      <w:r>
        <w:rPr>
          <w:color w:val="000000"/>
          <w:sz w:val="23"/>
          <w:szCs w:val="23"/>
        </w:rPr>
        <w:noBreakHyphen/>
        <w:t>to</w:t>
      </w:r>
      <w:r>
        <w:rPr>
          <w:color w:val="000000"/>
          <w:sz w:val="23"/>
          <w:szCs w:val="23"/>
        </w:rPr>
        <w:noBreakHyphen/>
        <w:t>satisfy development for a new dwelling that is not connected to an approved common waste water disposal service but which is serviced by an on</w:t>
      </w:r>
      <w:r>
        <w:rPr>
          <w:color w:val="000000"/>
          <w:sz w:val="23"/>
          <w:szCs w:val="23"/>
        </w:rPr>
        <w:noBreakHyphen/>
        <w:t xml:space="preserve">site wastewater treatment system—evidence that the wastewater treatment system has been granted a wastewater works approval under the </w:t>
      </w:r>
      <w:hyperlink r:id="rId64" w:history="1">
        <w:r>
          <w:rPr>
            <w:i/>
            <w:iCs/>
            <w:color w:val="000000"/>
            <w:sz w:val="23"/>
            <w:szCs w:val="23"/>
          </w:rPr>
          <w:t>South Australian Public Health (Wastewater) Regulations 2013</w:t>
        </w:r>
      </w:hyperlink>
      <w:r>
        <w:rPr>
          <w:color w:val="000000"/>
          <w:sz w:val="23"/>
          <w:szCs w:val="23"/>
        </w:rPr>
        <w:t>; and</w:t>
      </w:r>
      <w:r w:rsidR="00E83298">
        <w:rPr>
          <w:color w:val="000000"/>
          <w:sz w:val="23"/>
          <w:szCs w:val="23"/>
        </w:rPr>
        <w:br w:type="page"/>
      </w:r>
    </w:p>
    <w:p w:rsidR="00E83298" w:rsidRDefault="00E83298" w:rsidP="00E83298">
      <w:pPr>
        <w:pStyle w:val="RegSpace"/>
      </w:pP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(g)</w:t>
      </w:r>
      <w:r>
        <w:rPr>
          <w:color w:val="000000"/>
          <w:sz w:val="23"/>
          <w:szCs w:val="23"/>
        </w:rPr>
        <w:tab/>
        <w:t>in the case of an application proposing development located in the Native Vegetation Overlay or State Significant Native Vegetation Overlay in the Planning and Design Code—</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w:t>
      </w:r>
      <w:r>
        <w:rPr>
          <w:color w:val="000000"/>
          <w:sz w:val="23"/>
          <w:szCs w:val="23"/>
        </w:rPr>
        <w:tab/>
        <w:t xml:space="preserve">if native vegetation is proposed to be cleared—a report prepared in accordance with regulation 18(2)(a) of the </w:t>
      </w:r>
      <w:hyperlink r:id="rId65" w:history="1">
        <w:r>
          <w:rPr>
            <w:i/>
            <w:iCs/>
            <w:color w:val="000000"/>
            <w:sz w:val="23"/>
            <w:szCs w:val="23"/>
          </w:rPr>
          <w:t>Native Vegetation Regulations 2017</w:t>
        </w:r>
      </w:hyperlink>
      <w:r>
        <w:rPr>
          <w:color w:val="000000"/>
          <w:sz w:val="23"/>
          <w:szCs w:val="23"/>
        </w:rPr>
        <w:t xml:space="preserve"> that establishes that the clearance is categorised as Level 1 clearance in accordance with guidelines established by the Native Vegetation Council for the purposes of applications to clear native vegetation under the </w:t>
      </w:r>
      <w:hyperlink r:id="rId66" w:history="1">
        <w:r>
          <w:rPr>
            <w:i/>
            <w:iCs/>
            <w:color w:val="000000"/>
            <w:sz w:val="23"/>
            <w:szCs w:val="23"/>
          </w:rPr>
          <w:t>Native Vegetation Act 1991</w:t>
        </w:r>
      </w:hyperlink>
      <w:r>
        <w:rPr>
          <w:color w:val="000000"/>
          <w:sz w:val="23"/>
          <w:szCs w:val="23"/>
        </w:rPr>
        <w:t>; or</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(ii)</w:t>
      </w:r>
      <w:r>
        <w:rPr>
          <w:color w:val="000000"/>
          <w:sz w:val="23"/>
          <w:szCs w:val="23"/>
        </w:rPr>
        <w:tab/>
        <w:t xml:space="preserve">in any other case—a declaration stating that the proposal will not involve clearance of native vegetation under the </w:t>
      </w:r>
      <w:hyperlink r:id="rId67" w:history="1">
        <w:r>
          <w:rPr>
            <w:i/>
            <w:iCs/>
            <w:color w:val="000000"/>
            <w:sz w:val="23"/>
            <w:szCs w:val="23"/>
          </w:rPr>
          <w:t>Native Vegetation Act 1991</w:t>
        </w:r>
      </w:hyperlink>
      <w:r>
        <w:rPr>
          <w:color w:val="000000"/>
          <w:sz w:val="23"/>
          <w:szCs w:val="23"/>
        </w:rPr>
        <w:t>; and</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(h)</w:t>
      </w:r>
      <w:r>
        <w:rPr>
          <w:color w:val="000000"/>
          <w:sz w:val="23"/>
          <w:szCs w:val="23"/>
        </w:rPr>
        <w:tab/>
        <w:t>in the case of an application proposing development which uses an existing or proposed access point from a road affected by the Key Outback and Rural Routes Overlay, Major Urban Transport Routes Overlay or Urban Transport Routes Overlay under the Planning and Design Code, or within 25 m of such a road—a site plan, drawn to scale, including appropriate bar and ratio scales, showing—</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w:t>
      </w:r>
      <w:r>
        <w:rPr>
          <w:color w:val="000000"/>
          <w:sz w:val="23"/>
          <w:szCs w:val="23"/>
        </w:rPr>
        <w:tab/>
        <w:t>the location and dimensions of all access points (noting whether an access point is located on a section of road affected by double barrier lines between edges of the access points);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(ii)</w:t>
      </w:r>
      <w:r>
        <w:rPr>
          <w:color w:val="000000"/>
          <w:sz w:val="23"/>
          <w:szCs w:val="23"/>
        </w:rPr>
        <w:tab/>
        <w:t>the expected number of vehicle movements per day;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(iii)</w:t>
      </w:r>
      <w:r>
        <w:rPr>
          <w:color w:val="000000"/>
          <w:sz w:val="23"/>
          <w:szCs w:val="23"/>
        </w:rPr>
        <w:tab/>
        <w:t>the expected maximum vehicle length for vehicles expected to access the site;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(iv)</w:t>
      </w:r>
      <w:r>
        <w:rPr>
          <w:color w:val="000000"/>
          <w:sz w:val="23"/>
          <w:szCs w:val="23"/>
        </w:rPr>
        <w:tab/>
        <w:t>in respect of the largest vehicle expected to access the site—</w:t>
      </w:r>
    </w:p>
    <w:p w:rsidR="001B6B5D" w:rsidRDefault="001B6B5D" w:rsidP="0001259D">
      <w:pPr>
        <w:keepLines/>
        <w:tabs>
          <w:tab w:val="center" w:pos="3573"/>
          <w:tab w:val="left" w:pos="3970"/>
        </w:tabs>
        <w:autoSpaceDE w:val="0"/>
        <w:autoSpaceDN w:val="0"/>
        <w:adjustRightInd w:val="0"/>
        <w:spacing w:before="120" w:after="0" w:line="240" w:lineRule="auto"/>
        <w:ind w:left="3970" w:hanging="794"/>
        <w:jc w:val="left"/>
        <w:rPr>
          <w:color w:val="000000"/>
          <w:sz w:val="23"/>
          <w:szCs w:val="23"/>
        </w:rPr>
      </w:pPr>
      <w:r>
        <w:rPr>
          <w:color w:val="000000"/>
          <w:sz w:val="23"/>
          <w:szCs w:val="23"/>
        </w:rPr>
        <w:tab/>
        <w:t>(A)</w:t>
      </w:r>
      <w:r>
        <w:rPr>
          <w:color w:val="000000"/>
          <w:sz w:val="23"/>
          <w:szCs w:val="23"/>
        </w:rPr>
        <w:tab/>
        <w:t>vehicle turning profiles demonstrating entry and exit movements and on</w:t>
      </w:r>
      <w:r>
        <w:rPr>
          <w:color w:val="000000"/>
          <w:sz w:val="23"/>
          <w:szCs w:val="23"/>
        </w:rPr>
        <w:noBreakHyphen/>
        <w:t>site circulation (if required); and</w:t>
      </w:r>
    </w:p>
    <w:p w:rsidR="001B6B5D" w:rsidRDefault="001B6B5D" w:rsidP="0001259D">
      <w:pPr>
        <w:keepLines/>
        <w:tabs>
          <w:tab w:val="center" w:pos="3573"/>
          <w:tab w:val="left" w:pos="3970"/>
        </w:tabs>
        <w:autoSpaceDE w:val="0"/>
        <w:autoSpaceDN w:val="0"/>
        <w:adjustRightInd w:val="0"/>
        <w:spacing w:before="120" w:after="0" w:line="240" w:lineRule="auto"/>
        <w:ind w:left="3970" w:hanging="794"/>
        <w:jc w:val="left"/>
        <w:rPr>
          <w:color w:val="000000"/>
          <w:sz w:val="23"/>
          <w:szCs w:val="23"/>
        </w:rPr>
      </w:pPr>
      <w:r>
        <w:rPr>
          <w:color w:val="000000"/>
          <w:sz w:val="23"/>
          <w:szCs w:val="23"/>
        </w:rPr>
        <w:tab/>
        <w:t>(B)</w:t>
      </w:r>
      <w:r>
        <w:rPr>
          <w:color w:val="000000"/>
          <w:sz w:val="23"/>
          <w:szCs w:val="23"/>
        </w:rPr>
        <w:tab/>
        <w:t>the angle of vehicle access crossing the property boundary;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(v)</w:t>
      </w:r>
      <w:r>
        <w:rPr>
          <w:color w:val="000000"/>
          <w:sz w:val="23"/>
          <w:szCs w:val="23"/>
        </w:rPr>
        <w:tab/>
        <w:t>the distance of unobstructed line of sight to and from any new access point for vehicles entering and exiting the access point; and</w:t>
      </w:r>
    </w:p>
    <w:p w:rsidR="001B6B5D" w:rsidRDefault="001B6B5D" w:rsidP="0001259D">
      <w:pPr>
        <w:keepLines/>
        <w:tabs>
          <w:tab w:val="center" w:pos="2779"/>
          <w:tab w:val="left" w:pos="3176"/>
        </w:tabs>
        <w:autoSpaceDE w:val="0"/>
        <w:autoSpaceDN w:val="0"/>
        <w:adjustRightInd w:val="0"/>
        <w:spacing w:before="120" w:after="0" w:line="240" w:lineRule="auto"/>
        <w:ind w:left="3176" w:hanging="794"/>
        <w:jc w:val="left"/>
        <w:rPr>
          <w:color w:val="000000"/>
          <w:sz w:val="23"/>
          <w:szCs w:val="23"/>
        </w:rPr>
      </w:pPr>
      <w:r>
        <w:rPr>
          <w:color w:val="000000"/>
          <w:sz w:val="23"/>
          <w:szCs w:val="23"/>
        </w:rPr>
        <w:tab/>
        <w:t>(vi)</w:t>
      </w:r>
      <w:r>
        <w:rPr>
          <w:color w:val="000000"/>
          <w:sz w:val="23"/>
          <w:szCs w:val="23"/>
        </w:rPr>
        <w:tab/>
        <w:t>the distance between each access point and the nearest—</w:t>
      </w:r>
    </w:p>
    <w:p w:rsidR="001B6B5D" w:rsidRDefault="001B6B5D" w:rsidP="0001259D">
      <w:pPr>
        <w:keepLines/>
        <w:tabs>
          <w:tab w:val="center" w:pos="3573"/>
          <w:tab w:val="left" w:pos="3970"/>
        </w:tabs>
        <w:autoSpaceDE w:val="0"/>
        <w:autoSpaceDN w:val="0"/>
        <w:adjustRightInd w:val="0"/>
        <w:spacing w:before="120" w:after="0" w:line="240" w:lineRule="auto"/>
        <w:ind w:left="3970" w:hanging="794"/>
        <w:jc w:val="left"/>
        <w:rPr>
          <w:color w:val="000000"/>
          <w:sz w:val="23"/>
          <w:szCs w:val="23"/>
        </w:rPr>
      </w:pPr>
      <w:r>
        <w:rPr>
          <w:color w:val="000000"/>
          <w:sz w:val="23"/>
          <w:szCs w:val="23"/>
        </w:rPr>
        <w:tab/>
        <w:t>(A)</w:t>
      </w:r>
      <w:r>
        <w:rPr>
          <w:color w:val="000000"/>
          <w:sz w:val="23"/>
          <w:szCs w:val="23"/>
        </w:rPr>
        <w:tab/>
        <w:t>public road junction or terminating or merging lane on a public road; and</w:t>
      </w:r>
    </w:p>
    <w:p w:rsidR="001B6B5D" w:rsidRDefault="001B6B5D" w:rsidP="0001259D">
      <w:pPr>
        <w:keepLines/>
        <w:tabs>
          <w:tab w:val="center" w:pos="3573"/>
          <w:tab w:val="left" w:pos="3970"/>
        </w:tabs>
        <w:autoSpaceDE w:val="0"/>
        <w:autoSpaceDN w:val="0"/>
        <w:adjustRightInd w:val="0"/>
        <w:spacing w:before="120" w:after="0" w:line="240" w:lineRule="auto"/>
        <w:ind w:left="3970" w:hanging="794"/>
        <w:jc w:val="left"/>
        <w:rPr>
          <w:color w:val="000000"/>
          <w:sz w:val="23"/>
          <w:szCs w:val="23"/>
        </w:rPr>
      </w:pPr>
      <w:r>
        <w:rPr>
          <w:color w:val="000000"/>
          <w:sz w:val="23"/>
          <w:szCs w:val="23"/>
        </w:rPr>
        <w:tab/>
        <w:t>(B)</w:t>
      </w:r>
      <w:r>
        <w:rPr>
          <w:color w:val="000000"/>
          <w:sz w:val="23"/>
          <w:szCs w:val="23"/>
        </w:rPr>
        <w:tab/>
        <w:t>access point to or from a private road; and</w:t>
      </w:r>
    </w:p>
    <w:p w:rsidR="001B6B5D" w:rsidRDefault="001B6B5D" w:rsidP="0001259D">
      <w:pPr>
        <w:keepLines/>
        <w:tabs>
          <w:tab w:val="center" w:pos="3573"/>
          <w:tab w:val="left" w:pos="3970"/>
        </w:tabs>
        <w:autoSpaceDE w:val="0"/>
        <w:autoSpaceDN w:val="0"/>
        <w:adjustRightInd w:val="0"/>
        <w:spacing w:before="120" w:after="0" w:line="240" w:lineRule="auto"/>
        <w:ind w:left="3970" w:hanging="794"/>
        <w:jc w:val="left"/>
        <w:rPr>
          <w:color w:val="000000"/>
          <w:sz w:val="23"/>
          <w:szCs w:val="23"/>
        </w:rPr>
      </w:pPr>
      <w:r>
        <w:rPr>
          <w:color w:val="000000"/>
          <w:sz w:val="23"/>
          <w:szCs w:val="23"/>
        </w:rPr>
        <w:tab/>
        <w:t>(C)</w:t>
      </w:r>
      <w:r>
        <w:rPr>
          <w:color w:val="000000"/>
          <w:sz w:val="23"/>
          <w:szCs w:val="23"/>
        </w:rPr>
        <w:tab/>
        <w:t>internal (on</w:t>
      </w:r>
      <w:r>
        <w:rPr>
          <w:color w:val="000000"/>
          <w:sz w:val="23"/>
          <w:szCs w:val="23"/>
        </w:rPr>
        <w:noBreakHyphen/>
        <w:t>site) driveway, intersection, car parking space, gate or other internal obstruction to vehicle movement; and</w:t>
      </w:r>
    </w:p>
    <w:p w:rsidR="001B6B5D" w:rsidRDefault="001B6B5D" w:rsidP="0001259D">
      <w:pPr>
        <w:keepLines/>
        <w:tabs>
          <w:tab w:val="center" w:pos="3573"/>
          <w:tab w:val="left" w:pos="3970"/>
        </w:tabs>
        <w:autoSpaceDE w:val="0"/>
        <w:autoSpaceDN w:val="0"/>
        <w:adjustRightInd w:val="0"/>
        <w:spacing w:before="120" w:after="0" w:line="240" w:lineRule="auto"/>
        <w:ind w:left="3970" w:hanging="794"/>
        <w:jc w:val="left"/>
        <w:rPr>
          <w:color w:val="000000"/>
          <w:sz w:val="23"/>
          <w:szCs w:val="23"/>
        </w:rPr>
      </w:pPr>
      <w:r>
        <w:rPr>
          <w:color w:val="000000"/>
          <w:sz w:val="23"/>
          <w:szCs w:val="23"/>
        </w:rPr>
        <w:tab/>
        <w:t>(D)</w:t>
      </w:r>
      <w:r>
        <w:rPr>
          <w:color w:val="000000"/>
          <w:sz w:val="23"/>
          <w:szCs w:val="23"/>
        </w:rPr>
        <w:tab/>
        <w:t>roadside infrastructure or tree.</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(12)</w:t>
      </w:r>
      <w:r>
        <w:rPr>
          <w:color w:val="000000"/>
          <w:sz w:val="23"/>
          <w:szCs w:val="23"/>
        </w:rPr>
        <w:tab/>
        <w:t>Schedule 8, clause 10(1)—delete "item 16"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item 9</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(13)</w:t>
      </w:r>
      <w:r>
        <w:rPr>
          <w:color w:val="000000"/>
          <w:sz w:val="23"/>
          <w:szCs w:val="23"/>
        </w:rPr>
        <w:tab/>
        <w:t>Schedule 8, clause 11(1)—delete "</w:t>
      </w:r>
      <w:hyperlink r:id="rId68" w:history="1">
        <w:r>
          <w:rPr>
            <w:i/>
            <w:iCs/>
            <w:color w:val="000000"/>
            <w:sz w:val="23"/>
            <w:szCs w:val="23"/>
          </w:rPr>
          <w:t>Natural Resources Management Act 2004</w:t>
        </w:r>
      </w:hyperlink>
      <w:r>
        <w:rPr>
          <w:color w:val="000000"/>
          <w:sz w:val="23"/>
          <w:szCs w:val="23"/>
        </w:rPr>
        <w:t xml:space="preserve"> under item 7" and substitute:</w:t>
      </w:r>
    </w:p>
    <w:p w:rsidR="00E83298" w:rsidRDefault="00123FDA" w:rsidP="00E83298">
      <w:pPr>
        <w:keepLines/>
        <w:autoSpaceDE w:val="0"/>
        <w:autoSpaceDN w:val="0"/>
        <w:adjustRightInd w:val="0"/>
        <w:spacing w:before="120" w:after="0" w:line="240" w:lineRule="auto"/>
        <w:ind w:left="1588"/>
        <w:jc w:val="left"/>
        <w:rPr>
          <w:color w:val="000000"/>
          <w:sz w:val="23"/>
          <w:szCs w:val="23"/>
        </w:rPr>
      </w:pPr>
      <w:hyperlink r:id="rId69" w:history="1">
        <w:r w:rsidR="001B6B5D">
          <w:rPr>
            <w:i/>
            <w:iCs/>
            <w:color w:val="000000"/>
            <w:sz w:val="23"/>
            <w:szCs w:val="23"/>
          </w:rPr>
          <w:t>Landscape South Australia Act 2019</w:t>
        </w:r>
      </w:hyperlink>
      <w:r w:rsidR="001B6B5D">
        <w:rPr>
          <w:color w:val="000000"/>
          <w:sz w:val="23"/>
          <w:szCs w:val="23"/>
        </w:rPr>
        <w:t xml:space="preserve"> under item 13</w:t>
      </w:r>
      <w:r w:rsidR="00E83298">
        <w:rPr>
          <w:color w:val="000000"/>
          <w:sz w:val="23"/>
          <w:szCs w:val="23"/>
        </w:rPr>
        <w:br w:type="page"/>
      </w:r>
    </w:p>
    <w:p w:rsidR="00A5632A" w:rsidRDefault="00A5632A" w:rsidP="00A5632A">
      <w:pPr>
        <w:pStyle w:val="RegSpace"/>
      </w:pP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(14)</w:t>
      </w:r>
      <w:r>
        <w:rPr>
          <w:color w:val="000000"/>
          <w:sz w:val="23"/>
          <w:szCs w:val="23"/>
        </w:rPr>
        <w:tab/>
        <w:t>Schedule 8, clause 12(1)—delete "item 9 or 10"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item 15 or 16</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(15)</w:t>
      </w:r>
      <w:r>
        <w:rPr>
          <w:color w:val="000000"/>
          <w:sz w:val="23"/>
          <w:szCs w:val="23"/>
        </w:rPr>
        <w:tab/>
        <w:t>Schedule 8, clause 13(1)—delete "item 11"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item 10</w:t>
      </w:r>
    </w:p>
    <w:p w:rsidR="001B6B5D" w:rsidRDefault="001B6B5D" w:rsidP="0001259D">
      <w:pPr>
        <w:keepNext/>
        <w:keepLines/>
        <w:autoSpaceDE w:val="0"/>
        <w:autoSpaceDN w:val="0"/>
        <w:adjustRightInd w:val="0"/>
        <w:spacing w:before="120" w:after="0" w:line="240" w:lineRule="auto"/>
        <w:ind w:left="794" w:hanging="567"/>
        <w:jc w:val="left"/>
        <w:rPr>
          <w:b/>
          <w:bCs/>
          <w:color w:val="000000"/>
          <w:sz w:val="20"/>
          <w:szCs w:val="20"/>
        </w:rPr>
      </w:pPr>
      <w:r>
        <w:rPr>
          <w:b/>
          <w:bCs/>
          <w:color w:val="000000"/>
          <w:sz w:val="20"/>
          <w:szCs w:val="20"/>
        </w:rPr>
        <w:t>Note—</w:t>
      </w:r>
    </w:p>
    <w:p w:rsidR="001B6B5D" w:rsidRDefault="001B6B5D" w:rsidP="0001259D">
      <w:pPr>
        <w:keepLines/>
        <w:autoSpaceDE w:val="0"/>
        <w:autoSpaceDN w:val="0"/>
        <w:adjustRightInd w:val="0"/>
        <w:spacing w:before="120" w:after="0" w:line="240" w:lineRule="auto"/>
        <w:ind w:left="794"/>
        <w:jc w:val="left"/>
        <w:rPr>
          <w:color w:val="000000"/>
          <w:sz w:val="20"/>
          <w:szCs w:val="20"/>
        </w:rPr>
      </w:pPr>
      <w:r>
        <w:rPr>
          <w:color w:val="000000"/>
          <w:sz w:val="20"/>
          <w:szCs w:val="20"/>
        </w:rPr>
        <w:t>The heading to Schedule 8 clause 1 will be varied to "Plans for development ancillary to dwellings" when this regulation comes into operation.</w:t>
      </w:r>
    </w:p>
    <w:p w:rsidR="001B6B5D" w:rsidRDefault="001B6B5D" w:rsidP="0001259D">
      <w:pPr>
        <w:keepLines/>
        <w:autoSpaceDE w:val="0"/>
        <w:autoSpaceDN w:val="0"/>
        <w:adjustRightInd w:val="0"/>
        <w:spacing w:before="120" w:after="0" w:line="240" w:lineRule="auto"/>
        <w:ind w:left="794"/>
        <w:jc w:val="left"/>
        <w:rPr>
          <w:color w:val="000000"/>
          <w:sz w:val="20"/>
          <w:szCs w:val="20"/>
        </w:rPr>
      </w:pPr>
      <w:r>
        <w:rPr>
          <w:color w:val="000000"/>
          <w:sz w:val="20"/>
          <w:szCs w:val="20"/>
        </w:rPr>
        <w:t>The heading to Schedule 8 clause 2 will be varied to "Plans for applications seeking planning consent for new buildings or structures or extensions to existing buildings" when this regulation comes into operation.</w:t>
      </w:r>
    </w:p>
    <w:p w:rsidR="001B6B5D" w:rsidRDefault="001B6B5D" w:rsidP="0001259D">
      <w:pPr>
        <w:keepLines/>
        <w:autoSpaceDE w:val="0"/>
        <w:autoSpaceDN w:val="0"/>
        <w:adjustRightInd w:val="0"/>
        <w:spacing w:before="120" w:after="0" w:line="240" w:lineRule="auto"/>
        <w:ind w:left="794"/>
        <w:jc w:val="left"/>
        <w:rPr>
          <w:color w:val="000000"/>
          <w:sz w:val="20"/>
          <w:szCs w:val="20"/>
        </w:rPr>
      </w:pPr>
      <w:r>
        <w:rPr>
          <w:color w:val="000000"/>
          <w:sz w:val="20"/>
          <w:szCs w:val="20"/>
        </w:rPr>
        <w:t>The heading to Schedule 8 clause 9 will be varied to "Land division certificates or deemed</w:t>
      </w:r>
      <w:r>
        <w:rPr>
          <w:color w:val="000000"/>
          <w:sz w:val="20"/>
          <w:szCs w:val="20"/>
        </w:rPr>
        <w:noBreakHyphen/>
        <w:t>to</w:t>
      </w:r>
      <w:r>
        <w:rPr>
          <w:color w:val="000000"/>
          <w:sz w:val="20"/>
          <w:szCs w:val="20"/>
        </w:rPr>
        <w:noBreakHyphen/>
        <w:t>satisfy land division" when this regulation comes into operation.</w:t>
      </w:r>
    </w:p>
    <w:p w:rsidR="001B6B5D" w:rsidRDefault="001B6B5D" w:rsidP="0001259D">
      <w:pPr>
        <w:pStyle w:val="clauseheadlevel2"/>
      </w:pPr>
      <w:bookmarkStart w:id="746" w:name="Elkera_Print_BK39"/>
      <w:r>
        <w:t>32—Variation of Schedule 9—Referrals</w:t>
      </w:r>
      <w:bookmarkEnd w:id="746"/>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(1)</w:t>
      </w:r>
      <w:r>
        <w:rPr>
          <w:color w:val="000000"/>
          <w:sz w:val="23"/>
          <w:szCs w:val="23"/>
        </w:rPr>
        <w:tab/>
        <w:t>Schedule 9, clause 1(1)(a)—after "column 1" insert:</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 other than such development that is classified as deemed</w:t>
      </w:r>
      <w:r>
        <w:rPr>
          <w:color w:val="000000"/>
          <w:sz w:val="23"/>
          <w:szCs w:val="23"/>
        </w:rPr>
        <w:noBreakHyphen/>
        <w:t>to</w:t>
      </w:r>
      <w:r>
        <w:rPr>
          <w:color w:val="000000"/>
          <w:sz w:val="23"/>
          <w:szCs w:val="23"/>
        </w:rPr>
        <w:noBreakHyphen/>
        <w:t>satisfy development,</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(2)</w:t>
      </w:r>
      <w:r>
        <w:rPr>
          <w:color w:val="000000"/>
          <w:sz w:val="23"/>
          <w:szCs w:val="23"/>
        </w:rPr>
        <w:tab/>
        <w:t>Schedule 9, clause 1(1)(c)—after "column 3" insert:</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in Part A of the table</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(3)</w:t>
      </w:r>
      <w:r>
        <w:rPr>
          <w:color w:val="000000"/>
          <w:sz w:val="23"/>
          <w:szCs w:val="23"/>
        </w:rPr>
        <w:tab/>
        <w:t>Schedule 9, clause 1(1)—after paragraph (c) insert:</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(ca)</w:t>
      </w:r>
      <w:r>
        <w:rPr>
          <w:color w:val="000000"/>
          <w:sz w:val="23"/>
          <w:szCs w:val="23"/>
        </w:rPr>
        <w:tab/>
        <w:t xml:space="preserve">the term </w:t>
      </w:r>
      <w:r>
        <w:rPr>
          <w:b/>
          <w:bCs/>
          <w:i/>
          <w:iCs/>
          <w:color w:val="000000"/>
          <w:sz w:val="23"/>
          <w:szCs w:val="23"/>
        </w:rPr>
        <w:t>Direction to impose conditions</w:t>
      </w:r>
      <w:r>
        <w:rPr>
          <w:color w:val="000000"/>
          <w:sz w:val="23"/>
          <w:szCs w:val="23"/>
        </w:rPr>
        <w:t xml:space="preserve"> specified in column 3 in Part A of the table means that the prescribed body may, if the relevant authority decides to consent to or approve the development, direct the relevant authority to impose such conditions as the prescribed body thinks fit (subject to any qualification referred to in the relevant item and any specific limitation under another Act as to the conditions that may be imposed by the prescribed body) and that the relevant authority must comply with any such direction; and</w:t>
      </w:r>
    </w:p>
    <w:p w:rsidR="001B6B5D" w:rsidRDefault="001B6B5D" w:rsidP="0001259D">
      <w:pPr>
        <w:keepLines/>
        <w:tabs>
          <w:tab w:val="center" w:pos="1985"/>
          <w:tab w:val="left" w:pos="2382"/>
        </w:tabs>
        <w:autoSpaceDE w:val="0"/>
        <w:autoSpaceDN w:val="0"/>
        <w:adjustRightInd w:val="0"/>
        <w:spacing w:before="120" w:after="0" w:line="240" w:lineRule="auto"/>
        <w:ind w:left="2382" w:hanging="794"/>
        <w:jc w:val="left"/>
        <w:rPr>
          <w:color w:val="000000"/>
          <w:sz w:val="23"/>
          <w:szCs w:val="23"/>
        </w:rPr>
      </w:pPr>
      <w:r>
        <w:rPr>
          <w:color w:val="000000"/>
          <w:sz w:val="23"/>
          <w:szCs w:val="23"/>
        </w:rPr>
        <w:tab/>
        <w:t>(cb)</w:t>
      </w:r>
      <w:r>
        <w:rPr>
          <w:color w:val="000000"/>
          <w:sz w:val="23"/>
          <w:szCs w:val="23"/>
        </w:rPr>
        <w:tab/>
        <w:t xml:space="preserve">the term </w:t>
      </w:r>
      <w:r>
        <w:rPr>
          <w:b/>
          <w:bCs/>
          <w:i/>
          <w:iCs/>
          <w:color w:val="000000"/>
          <w:sz w:val="23"/>
          <w:szCs w:val="23"/>
        </w:rPr>
        <w:t>Advice</w:t>
      </w:r>
      <w:r>
        <w:rPr>
          <w:color w:val="000000"/>
          <w:sz w:val="23"/>
          <w:szCs w:val="23"/>
        </w:rPr>
        <w:t xml:space="preserve"> specified in column 3 in Part B of the table means that the relevant authority must not make its decision until it has received a response from the prescribed body in relation to the matter or matters for which the referral was made (provided that the prescribed body complies with section 122 of the Act in relation to the provision of its response); and</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(4)</w:t>
      </w:r>
      <w:r>
        <w:rPr>
          <w:color w:val="000000"/>
          <w:sz w:val="23"/>
          <w:szCs w:val="23"/>
        </w:rPr>
        <w:tab/>
        <w:t>Schedule 9, clause 1(2)—delete "items 9 and 10"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items 15 and 16</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(5)</w:t>
      </w:r>
      <w:r>
        <w:rPr>
          <w:color w:val="000000"/>
          <w:sz w:val="23"/>
          <w:szCs w:val="23"/>
        </w:rPr>
        <w:tab/>
        <w:t>Schedule 9, clause 2(a)—delete "item 14" and substitute:</w:t>
      </w:r>
    </w:p>
    <w:p w:rsidR="001B6B5D" w:rsidRDefault="001B6B5D" w:rsidP="0001259D">
      <w:pPr>
        <w:keepLines/>
        <w:autoSpaceDE w:val="0"/>
        <w:autoSpaceDN w:val="0"/>
        <w:adjustRightInd w:val="0"/>
        <w:spacing w:before="120" w:after="0" w:line="240" w:lineRule="auto"/>
        <w:ind w:left="1588"/>
        <w:jc w:val="left"/>
        <w:rPr>
          <w:color w:val="000000"/>
          <w:sz w:val="23"/>
          <w:szCs w:val="23"/>
        </w:rPr>
      </w:pPr>
      <w:r>
        <w:rPr>
          <w:color w:val="000000"/>
          <w:sz w:val="23"/>
          <w:szCs w:val="23"/>
        </w:rPr>
        <w:t>item 18</w:t>
      </w:r>
    </w:p>
    <w:p w:rsidR="001B6B5D" w:rsidRDefault="001B6B5D" w:rsidP="0001259D">
      <w:pPr>
        <w:keepNext/>
        <w:keepLines/>
        <w:tabs>
          <w:tab w:val="center" w:pos="397"/>
          <w:tab w:val="left" w:pos="794"/>
        </w:tabs>
        <w:autoSpaceDE w:val="0"/>
        <w:autoSpaceDN w:val="0"/>
        <w:adjustRightInd w:val="0"/>
        <w:spacing w:before="120" w:after="0" w:line="240" w:lineRule="auto"/>
        <w:ind w:left="794" w:hanging="794"/>
        <w:jc w:val="left"/>
        <w:rPr>
          <w:color w:val="000000"/>
          <w:sz w:val="23"/>
          <w:szCs w:val="23"/>
        </w:rPr>
      </w:pPr>
      <w:r>
        <w:rPr>
          <w:color w:val="000000"/>
          <w:sz w:val="23"/>
          <w:szCs w:val="23"/>
        </w:rPr>
        <w:tab/>
        <w:t>(6)</w:t>
      </w:r>
      <w:r>
        <w:rPr>
          <w:color w:val="000000"/>
          <w:sz w:val="23"/>
          <w:szCs w:val="23"/>
        </w:rPr>
        <w:tab/>
        <w:t>Schedule 9, clause 3—delete clause 3 and substitute:</w:t>
      </w:r>
    </w:p>
    <w:p w:rsidR="00033D51" w:rsidRDefault="001B6B5D" w:rsidP="0001259D">
      <w:pPr>
        <w:keepNext/>
        <w:keepLines/>
        <w:autoSpaceDE w:val="0"/>
        <w:autoSpaceDN w:val="0"/>
        <w:adjustRightInd w:val="0"/>
        <w:spacing w:before="160" w:after="0" w:line="240" w:lineRule="auto"/>
        <w:ind w:left="2155" w:hanging="567"/>
        <w:jc w:val="left"/>
        <w:rPr>
          <w:b/>
          <w:bCs/>
          <w:color w:val="000000"/>
          <w:sz w:val="26"/>
          <w:szCs w:val="26"/>
        </w:rPr>
      </w:pPr>
      <w:r>
        <w:rPr>
          <w:b/>
          <w:bCs/>
          <w:color w:val="000000"/>
          <w:sz w:val="26"/>
          <w:szCs w:val="26"/>
        </w:rPr>
        <w:t>3—Table</w:t>
      </w:r>
    </w:p>
    <w:p w:rsidR="00033D51" w:rsidRDefault="00033D51">
      <w:pPr>
        <w:spacing w:after="0" w:line="240" w:lineRule="auto"/>
        <w:jc w:val="left"/>
        <w:rPr>
          <w:b/>
          <w:bCs/>
          <w:color w:val="000000"/>
          <w:sz w:val="26"/>
          <w:szCs w:val="26"/>
        </w:rPr>
      </w:pPr>
      <w:r>
        <w:rPr>
          <w:b/>
          <w:bCs/>
          <w:color w:val="000000"/>
          <w:sz w:val="26"/>
          <w:szCs w:val="26"/>
        </w:rPr>
        <w:br w:type="page"/>
      </w:r>
    </w:p>
    <w:p w:rsidR="00E970BA" w:rsidRDefault="00123FDA">
      <w:pPr>
        <w:spacing w:after="0" w:line="240" w:lineRule="auto"/>
        <w:jc w:val="left"/>
        <w:rPr>
          <w:b/>
          <w:bCs/>
          <w:noProof/>
          <w:color w:val="000000"/>
          <w:sz w:val="26"/>
          <w:szCs w:val="26"/>
          <w:lang w:eastAsia="en-A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05pt;height:689.6pt;mso-position-horizontal:center;mso-position-horizontal-relative:margin;mso-position-vertical:top;mso-position-vertical-relative:margin;mso-width-relative:page;mso-height-relative:page" wrapcoords="-35 0 -35 21575 21600 21575 21600 0 -35 0">
            <v:imagedata r:id="rId70" o:title="Reg 241_Page_16" croptop="5128f" cropbottom="6090f" cropleft="8275f" cropright="11585f"/>
          </v:shape>
        </w:pict>
      </w:r>
    </w:p>
    <w:p w:rsidR="000042EE" w:rsidRDefault="00123FDA">
      <w:pPr>
        <w:spacing w:after="0" w:line="240" w:lineRule="auto"/>
        <w:jc w:val="left"/>
      </w:pPr>
      <w:r>
        <w:pict>
          <v:shape id="_x0000_i1026" type="#_x0000_t75" style="width:404.4pt;height:682.6pt;mso-position-horizontal:center;mso-position-horizontal-relative:text;mso-position-vertical:absolute;mso-position-vertical-relative:text;mso-width-relative:page;mso-height-relative:page">
            <v:imagedata r:id="rId71" o:title="Reg 241_Page_17" croptop="5428f" cropbottom="6774f" cropleft="8175f" cropright="12606f"/>
          </v:shape>
        </w:pict>
      </w:r>
    </w:p>
    <w:p w:rsidR="00AF236F" w:rsidRDefault="00033D51">
      <w:pPr>
        <w:spacing w:after="0" w:line="240" w:lineRule="auto"/>
        <w:jc w:val="left"/>
        <w:rPr>
          <w:b/>
          <w:bCs/>
          <w:color w:val="000000"/>
          <w:sz w:val="26"/>
          <w:szCs w:val="26"/>
        </w:rPr>
      </w:pPr>
      <w:r>
        <w:rPr>
          <w:b/>
          <w:bCs/>
          <w:color w:val="000000"/>
          <w:sz w:val="26"/>
          <w:szCs w:val="26"/>
        </w:rPr>
        <w:br w:type="page"/>
      </w:r>
    </w:p>
    <w:p w:rsidR="00024202" w:rsidRDefault="00024202">
      <w:pPr>
        <w:spacing w:after="0" w:line="240" w:lineRule="auto"/>
        <w:jc w:val="left"/>
        <w:rPr>
          <w:b/>
          <w:bCs/>
          <w:color w:val="000000"/>
          <w:sz w:val="26"/>
          <w:szCs w:val="26"/>
        </w:rPr>
      </w:pPr>
      <w:r>
        <w:rPr>
          <w:noProof/>
          <w:lang w:eastAsia="en-AU"/>
        </w:rPr>
        <w:drawing>
          <wp:inline distT="0" distB="0" distL="0" distR="0">
            <wp:extent cx="4848225" cy="8667750"/>
            <wp:effectExtent l="0" t="0" r="9525" b="0"/>
            <wp:docPr id="7" name="Picture 7" descr="Reg 241_Page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g 241_Page_18"/>
                    <pic:cNvPicPr>
                      <a:picLocks noChangeAspect="1" noChangeArrowheads="1"/>
                    </pic:cNvPicPr>
                  </pic:nvPicPr>
                  <pic:blipFill>
                    <a:blip r:embed="rId72">
                      <a:extLst>
                        <a:ext uri="{28A0092B-C50C-407E-A947-70E740481C1C}">
                          <a14:useLocalDpi xmlns:a14="http://schemas.microsoft.com/office/drawing/2010/main" val="0"/>
                        </a:ext>
                      </a:extLst>
                    </a:blip>
                    <a:srcRect l="13379" t="8955" r="22282" b="9663"/>
                    <a:stretch>
                      <a:fillRect/>
                    </a:stretch>
                  </pic:blipFill>
                  <pic:spPr bwMode="auto">
                    <a:xfrm>
                      <a:off x="0" y="0"/>
                      <a:ext cx="4848225" cy="8667750"/>
                    </a:xfrm>
                    <a:prstGeom prst="rect">
                      <a:avLst/>
                    </a:prstGeom>
                    <a:noFill/>
                    <a:ln>
                      <a:noFill/>
                    </a:ln>
                  </pic:spPr>
                </pic:pic>
              </a:graphicData>
            </a:graphic>
          </wp:inline>
        </w:drawing>
      </w:r>
    </w:p>
    <w:p w:rsidR="00E970BA" w:rsidRDefault="00E970BA">
      <w:pPr>
        <w:spacing w:after="0" w:line="240" w:lineRule="auto"/>
        <w:jc w:val="left"/>
        <w:rPr>
          <w:b/>
          <w:bCs/>
          <w:color w:val="000000"/>
          <w:sz w:val="26"/>
          <w:szCs w:val="26"/>
        </w:rPr>
      </w:pPr>
      <w:r>
        <w:rPr>
          <w:b/>
          <w:bCs/>
          <w:color w:val="000000"/>
          <w:sz w:val="26"/>
          <w:szCs w:val="26"/>
        </w:rPr>
        <w:br w:type="page"/>
      </w:r>
    </w:p>
    <w:p w:rsidR="00AF236F" w:rsidRDefault="00123FDA">
      <w:pPr>
        <w:spacing w:after="0" w:line="240" w:lineRule="auto"/>
        <w:jc w:val="left"/>
        <w:rPr>
          <w:b/>
          <w:bCs/>
          <w:color w:val="000000"/>
          <w:sz w:val="26"/>
          <w:szCs w:val="26"/>
        </w:rPr>
      </w:pPr>
      <w:r>
        <w:pict>
          <v:shape id="_x0000_i1027" type="#_x0000_t75" style="width:392.25pt;height:677.9pt;mso-position-horizontal-relative:text;mso-position-vertical-relative:text;mso-width-relative:page;mso-height-relative:page">
            <v:imagedata r:id="rId73" o:title="Reg 241_Page_19" croptop="5825f" cropbottom="6818f" cropleft="8144f" cropright="14041f"/>
          </v:shape>
        </w:pict>
      </w:r>
    </w:p>
    <w:p w:rsidR="00AF236F" w:rsidRDefault="00123FDA">
      <w:pPr>
        <w:spacing w:after="0" w:line="240" w:lineRule="auto"/>
        <w:jc w:val="left"/>
        <w:rPr>
          <w:b/>
          <w:bCs/>
          <w:color w:val="000000"/>
          <w:sz w:val="26"/>
          <w:szCs w:val="26"/>
        </w:rPr>
      </w:pPr>
      <w:r>
        <w:pict>
          <v:shape id="_x0000_i1028" type="#_x0000_t75" style="width:455.85pt;height:672.8pt;mso-position-horizontal:center;mso-position-horizontal-relative:text;mso-position-vertical:absolute;mso-position-vertical-relative:text;mso-width-relative:page;mso-height-relative:page">
            <v:imagedata r:id="rId74" o:title="Reg 241_Page_20" croptop="5958f" cropbottom="6995f" cropleft="8331f" cropright="6802f"/>
          </v:shape>
        </w:pict>
      </w:r>
    </w:p>
    <w:p w:rsidR="00AF236F" w:rsidRDefault="00AF236F">
      <w:pPr>
        <w:spacing w:after="0" w:line="240" w:lineRule="auto"/>
        <w:jc w:val="left"/>
        <w:rPr>
          <w:b/>
          <w:bCs/>
          <w:color w:val="000000"/>
          <w:sz w:val="26"/>
          <w:szCs w:val="26"/>
        </w:rPr>
      </w:pPr>
    </w:p>
    <w:p w:rsidR="0063111A" w:rsidRDefault="00123FDA">
      <w:pPr>
        <w:spacing w:after="0" w:line="240" w:lineRule="auto"/>
        <w:jc w:val="left"/>
      </w:pPr>
      <w:r>
        <w:pict>
          <v:shape id="_x0000_i1029" type="#_x0000_t75" style="width:419.85pt;height:678.4pt;mso-position-horizontal-relative:text;mso-position-vertical-relative:text;mso-width-relative:page;mso-height-relative:page">
            <v:imagedata r:id="rId75" o:title="Reg 241_Page_21" croptop="5715f" cropbottom="6840f" cropleft="8456f" cropright="10703f"/>
          </v:shape>
        </w:pict>
      </w:r>
    </w:p>
    <w:p w:rsidR="00AF236F" w:rsidRDefault="00AF236F">
      <w:pPr>
        <w:spacing w:after="0" w:line="240" w:lineRule="auto"/>
        <w:jc w:val="left"/>
        <w:rPr>
          <w:b/>
          <w:bCs/>
          <w:color w:val="000000"/>
          <w:sz w:val="26"/>
          <w:szCs w:val="26"/>
        </w:rPr>
      </w:pPr>
      <w:r>
        <w:rPr>
          <w:b/>
          <w:bCs/>
          <w:color w:val="000000"/>
          <w:sz w:val="26"/>
          <w:szCs w:val="26"/>
        </w:rPr>
        <w:br w:type="page"/>
      </w:r>
    </w:p>
    <w:p w:rsidR="001B6B5D" w:rsidRDefault="001B6B5D" w:rsidP="001B6B5D">
      <w:pPr>
        <w:keepNext/>
        <w:keepLines/>
        <w:autoSpaceDE w:val="0"/>
        <w:autoSpaceDN w:val="0"/>
        <w:adjustRightInd w:val="0"/>
        <w:spacing w:before="120" w:after="0" w:line="240" w:lineRule="auto"/>
        <w:ind w:left="1588"/>
        <w:rPr>
          <w:color w:val="000000"/>
          <w:sz w:val="2"/>
          <w:szCs w:val="2"/>
        </w:rPr>
      </w:pPr>
    </w:p>
    <w:p w:rsidR="001B6B5D" w:rsidRDefault="001B6B5D" w:rsidP="001B6B5D">
      <w:pPr>
        <w:pStyle w:val="clauseheadlevel2"/>
      </w:pPr>
      <w:bookmarkStart w:id="747" w:name="Elkera_Print_TOC41"/>
      <w:bookmarkStart w:id="748" w:name="id384d93a3_30cc_4475_b78e_25c9846588a1_7"/>
      <w:r>
        <w:t>33—Insertion of Schedules 10A and 10B</w:t>
      </w:r>
      <w:bookmarkEnd w:id="747"/>
      <w:bookmarkEnd w:id="748"/>
    </w:p>
    <w:p w:rsidR="001B6B5D" w:rsidRDefault="001B6B5D" w:rsidP="001B6B5D">
      <w:pPr>
        <w:keepNext/>
        <w:keepLines/>
        <w:autoSpaceDE w:val="0"/>
        <w:autoSpaceDN w:val="0"/>
        <w:adjustRightInd w:val="0"/>
        <w:spacing w:before="120" w:after="0" w:line="240" w:lineRule="auto"/>
        <w:ind w:left="794"/>
        <w:rPr>
          <w:color w:val="000000"/>
          <w:sz w:val="23"/>
          <w:szCs w:val="23"/>
        </w:rPr>
      </w:pPr>
      <w:r>
        <w:rPr>
          <w:color w:val="000000"/>
          <w:sz w:val="23"/>
          <w:szCs w:val="23"/>
        </w:rPr>
        <w:t>After Schedule 10 insert:</w:t>
      </w:r>
    </w:p>
    <w:p w:rsidR="001B6B5D" w:rsidRDefault="001B6B5D" w:rsidP="00282AEB">
      <w:pPr>
        <w:keepNext/>
        <w:keepLines/>
        <w:autoSpaceDE w:val="0"/>
        <w:autoSpaceDN w:val="0"/>
        <w:adjustRightInd w:val="0"/>
        <w:spacing w:before="120" w:after="0" w:line="240" w:lineRule="auto"/>
        <w:ind w:left="2155" w:hanging="567"/>
        <w:jc w:val="left"/>
        <w:rPr>
          <w:b/>
          <w:bCs/>
          <w:color w:val="000000"/>
          <w:sz w:val="32"/>
          <w:szCs w:val="32"/>
        </w:rPr>
      </w:pPr>
      <w:r>
        <w:rPr>
          <w:b/>
          <w:bCs/>
          <w:color w:val="000000"/>
          <w:sz w:val="32"/>
          <w:szCs w:val="32"/>
        </w:rPr>
        <w:t>Schedule 10A—Building work affecting stability—prescribed form</w:t>
      </w:r>
    </w:p>
    <w:p w:rsidR="001B6B5D" w:rsidRDefault="001B6B5D" w:rsidP="001B6B5D">
      <w:pPr>
        <w:keepNext/>
        <w:keepLines/>
        <w:autoSpaceDE w:val="0"/>
        <w:autoSpaceDN w:val="0"/>
        <w:adjustRightInd w:val="0"/>
        <w:spacing w:before="240" w:after="0" w:line="240" w:lineRule="auto"/>
        <w:ind w:left="1588"/>
        <w:rPr>
          <w:b/>
          <w:bCs/>
          <w:color w:val="000000"/>
          <w:sz w:val="23"/>
          <w:szCs w:val="23"/>
        </w:rPr>
      </w:pPr>
      <w:r>
        <w:rPr>
          <w:b/>
          <w:bCs/>
          <w:color w:val="000000"/>
          <w:sz w:val="26"/>
          <w:szCs w:val="26"/>
        </w:rPr>
        <w:t>Form 1—Initial notice to owner of affected site</w:t>
      </w:r>
    </w:p>
    <w:p w:rsidR="001B6B5D" w:rsidRDefault="00123FDA" w:rsidP="001B6B5D">
      <w:pPr>
        <w:keepLines/>
        <w:autoSpaceDE w:val="0"/>
        <w:autoSpaceDN w:val="0"/>
        <w:adjustRightInd w:val="0"/>
        <w:spacing w:before="120" w:after="0" w:line="240" w:lineRule="auto"/>
        <w:ind w:left="1588"/>
        <w:rPr>
          <w:color w:val="000000"/>
          <w:sz w:val="23"/>
          <w:szCs w:val="23"/>
        </w:rPr>
      </w:pPr>
      <w:hyperlink r:id="rId76" w:history="1">
        <w:r w:rsidR="001B6B5D">
          <w:rPr>
            <w:i/>
            <w:iCs/>
            <w:color w:val="000000"/>
            <w:sz w:val="23"/>
            <w:szCs w:val="23"/>
          </w:rPr>
          <w:t>Planning, Development and Infrastructure Act 2016</w:t>
        </w:r>
      </w:hyperlink>
      <w:r w:rsidR="001B6B5D">
        <w:rPr>
          <w:color w:val="000000"/>
          <w:sz w:val="23"/>
          <w:szCs w:val="23"/>
        </w:rPr>
        <w:t>—section 139(2)(a)</w:t>
      </w:r>
    </w:p>
    <w:p w:rsidR="001B6B5D" w:rsidRDefault="001B6B5D" w:rsidP="001B6B5D">
      <w:pPr>
        <w:keepLines/>
        <w:autoSpaceDE w:val="0"/>
        <w:autoSpaceDN w:val="0"/>
        <w:adjustRightInd w:val="0"/>
        <w:spacing w:before="120" w:after="0" w:line="240" w:lineRule="auto"/>
        <w:ind w:left="1588"/>
        <w:rPr>
          <w:color w:val="000000"/>
          <w:sz w:val="23"/>
          <w:szCs w:val="23"/>
        </w:rPr>
      </w:pPr>
      <w:r>
        <w:rPr>
          <w:color w:val="000000"/>
          <w:sz w:val="23"/>
          <w:szCs w:val="23"/>
        </w:rPr>
        <w:t xml:space="preserve">To: </w:t>
      </w:r>
      <w:r>
        <w:rPr>
          <w:i/>
          <w:iCs/>
          <w:color w:val="000000"/>
          <w:sz w:val="23"/>
          <w:szCs w:val="23"/>
        </w:rPr>
        <w:t>[Insert details of owner]</w:t>
      </w:r>
    </w:p>
    <w:p w:rsidR="001B6B5D" w:rsidRDefault="001B6B5D" w:rsidP="001B6B5D">
      <w:pPr>
        <w:keepLines/>
        <w:autoSpaceDE w:val="0"/>
        <w:autoSpaceDN w:val="0"/>
        <w:adjustRightInd w:val="0"/>
        <w:spacing w:before="120" w:after="0" w:line="240" w:lineRule="auto"/>
        <w:ind w:left="1588"/>
        <w:rPr>
          <w:color w:val="000000"/>
          <w:sz w:val="23"/>
          <w:szCs w:val="23"/>
        </w:rPr>
      </w:pPr>
      <w:r>
        <w:rPr>
          <w:color w:val="000000"/>
          <w:sz w:val="23"/>
          <w:szCs w:val="23"/>
        </w:rPr>
        <w:t xml:space="preserve">The following building work will be to performed on the affected site: </w:t>
      </w:r>
      <w:r>
        <w:rPr>
          <w:i/>
          <w:iCs/>
          <w:color w:val="000000"/>
          <w:sz w:val="23"/>
          <w:szCs w:val="23"/>
        </w:rPr>
        <w:t>[Insert details of building work, including description of the nature of the building work]</w:t>
      </w:r>
    </w:p>
    <w:p w:rsidR="001B6B5D" w:rsidRDefault="001B6B5D" w:rsidP="001B6B5D">
      <w:pPr>
        <w:keepLines/>
        <w:autoSpaceDE w:val="0"/>
        <w:autoSpaceDN w:val="0"/>
        <w:adjustRightInd w:val="0"/>
        <w:spacing w:before="120" w:after="0" w:line="240" w:lineRule="auto"/>
        <w:ind w:left="1588"/>
        <w:rPr>
          <w:color w:val="000000"/>
          <w:sz w:val="23"/>
          <w:szCs w:val="23"/>
        </w:rPr>
      </w:pPr>
      <w:r>
        <w:rPr>
          <w:color w:val="000000"/>
          <w:sz w:val="23"/>
          <w:szCs w:val="23"/>
        </w:rPr>
        <w:t xml:space="preserve">The building work is intended to commence on: </w:t>
      </w:r>
      <w:r>
        <w:rPr>
          <w:i/>
          <w:iCs/>
          <w:color w:val="000000"/>
          <w:sz w:val="23"/>
          <w:szCs w:val="23"/>
        </w:rPr>
        <w:t>[Insert date of commencement]</w:t>
      </w:r>
    </w:p>
    <w:p w:rsidR="001B6B5D" w:rsidRDefault="001B6B5D" w:rsidP="001B6B5D">
      <w:pPr>
        <w:keepLines/>
        <w:autoSpaceDE w:val="0"/>
        <w:autoSpaceDN w:val="0"/>
        <w:adjustRightInd w:val="0"/>
        <w:spacing w:before="120" w:after="0" w:line="240" w:lineRule="auto"/>
        <w:ind w:left="1588"/>
        <w:rPr>
          <w:color w:val="000000"/>
          <w:sz w:val="23"/>
          <w:szCs w:val="23"/>
        </w:rPr>
      </w:pPr>
      <w:r>
        <w:rPr>
          <w:color w:val="000000"/>
          <w:sz w:val="23"/>
          <w:szCs w:val="23"/>
        </w:rPr>
        <w:t xml:space="preserve">The building work is intended to be completed on: </w:t>
      </w:r>
      <w:r>
        <w:rPr>
          <w:i/>
          <w:iCs/>
          <w:color w:val="000000"/>
          <w:sz w:val="23"/>
          <w:szCs w:val="23"/>
        </w:rPr>
        <w:t>[Insert date of completion]</w:t>
      </w:r>
    </w:p>
    <w:p w:rsidR="001B6B5D" w:rsidRDefault="001B6B5D" w:rsidP="001B6B5D">
      <w:pPr>
        <w:keepLines/>
        <w:autoSpaceDE w:val="0"/>
        <w:autoSpaceDN w:val="0"/>
        <w:adjustRightInd w:val="0"/>
        <w:spacing w:before="120" w:after="0" w:line="240" w:lineRule="auto"/>
        <w:ind w:left="1588"/>
        <w:rPr>
          <w:color w:val="000000"/>
          <w:sz w:val="23"/>
          <w:szCs w:val="23"/>
        </w:rPr>
      </w:pPr>
      <w:r>
        <w:rPr>
          <w:color w:val="000000"/>
          <w:sz w:val="23"/>
          <w:szCs w:val="23"/>
        </w:rPr>
        <w:t xml:space="preserve">TAKE NOTICE that access to the affected site may be required in accordance with section 139(2) and (3) of the </w:t>
      </w:r>
      <w:hyperlink r:id="rId77" w:history="1">
        <w:r>
          <w:rPr>
            <w:i/>
            <w:iCs/>
            <w:color w:val="000000"/>
            <w:sz w:val="23"/>
            <w:szCs w:val="23"/>
          </w:rPr>
          <w:t>Planning, Development and Infrastructure Act 2016</w:t>
        </w:r>
      </w:hyperlink>
      <w:r>
        <w:rPr>
          <w:color w:val="000000"/>
          <w:sz w:val="23"/>
          <w:szCs w:val="23"/>
        </w:rPr>
        <w:t xml:space="preserve"> [</w:t>
      </w:r>
      <w:r>
        <w:rPr>
          <w:i/>
          <w:iCs/>
          <w:color w:val="000000"/>
          <w:sz w:val="23"/>
          <w:szCs w:val="23"/>
        </w:rPr>
        <w:t>Insert details of section 139(2) and (3)</w:t>
      </w:r>
      <w:r>
        <w:rPr>
          <w:color w:val="000000"/>
          <w:sz w:val="23"/>
          <w:szCs w:val="23"/>
        </w:rPr>
        <w:t>]</w:t>
      </w:r>
    </w:p>
    <w:p w:rsidR="001B6B5D" w:rsidRDefault="001B6B5D" w:rsidP="001B6B5D">
      <w:pPr>
        <w:keepLines/>
        <w:autoSpaceDE w:val="0"/>
        <w:autoSpaceDN w:val="0"/>
        <w:adjustRightInd w:val="0"/>
        <w:spacing w:before="120" w:after="0" w:line="240" w:lineRule="auto"/>
        <w:ind w:left="1588"/>
        <w:rPr>
          <w:color w:val="000000"/>
          <w:sz w:val="23"/>
          <w:szCs w:val="23"/>
        </w:rPr>
      </w:pPr>
      <w:r>
        <w:rPr>
          <w:color w:val="000000"/>
          <w:sz w:val="23"/>
          <w:szCs w:val="23"/>
        </w:rPr>
        <w:t>Signed:</w:t>
      </w:r>
    </w:p>
    <w:p w:rsidR="001B6B5D" w:rsidRDefault="001B6B5D" w:rsidP="001B6B5D">
      <w:pPr>
        <w:keepLines/>
        <w:autoSpaceDE w:val="0"/>
        <w:autoSpaceDN w:val="0"/>
        <w:adjustRightInd w:val="0"/>
        <w:spacing w:before="120" w:after="0" w:line="240" w:lineRule="auto"/>
        <w:ind w:left="1588"/>
        <w:rPr>
          <w:color w:val="000000"/>
          <w:sz w:val="23"/>
          <w:szCs w:val="23"/>
        </w:rPr>
      </w:pPr>
      <w:r>
        <w:rPr>
          <w:color w:val="000000"/>
          <w:sz w:val="23"/>
          <w:szCs w:val="23"/>
        </w:rPr>
        <w:t>Date:</w:t>
      </w:r>
    </w:p>
    <w:p w:rsidR="001B6B5D" w:rsidRDefault="001B6B5D" w:rsidP="001B6B5D">
      <w:pPr>
        <w:keepNext/>
        <w:keepLines/>
        <w:autoSpaceDE w:val="0"/>
        <w:autoSpaceDN w:val="0"/>
        <w:adjustRightInd w:val="0"/>
        <w:spacing w:before="120" w:after="0" w:line="240" w:lineRule="auto"/>
        <w:ind w:left="2155" w:hanging="567"/>
        <w:rPr>
          <w:b/>
          <w:bCs/>
          <w:color w:val="000000"/>
          <w:sz w:val="32"/>
          <w:szCs w:val="32"/>
        </w:rPr>
      </w:pPr>
      <w:r>
        <w:rPr>
          <w:b/>
          <w:bCs/>
          <w:color w:val="000000"/>
          <w:sz w:val="32"/>
          <w:szCs w:val="32"/>
        </w:rPr>
        <w:t>Schedule 10B—Access to neighbouring land—prescribed form</w:t>
      </w:r>
    </w:p>
    <w:p w:rsidR="001B6B5D" w:rsidRDefault="001B6B5D" w:rsidP="001B6B5D">
      <w:pPr>
        <w:keepNext/>
        <w:keepLines/>
        <w:autoSpaceDE w:val="0"/>
        <w:autoSpaceDN w:val="0"/>
        <w:adjustRightInd w:val="0"/>
        <w:spacing w:before="240" w:after="0" w:line="240" w:lineRule="auto"/>
        <w:ind w:left="1588"/>
        <w:rPr>
          <w:b/>
          <w:bCs/>
          <w:color w:val="000000"/>
          <w:sz w:val="23"/>
          <w:szCs w:val="23"/>
        </w:rPr>
      </w:pPr>
      <w:r>
        <w:rPr>
          <w:b/>
          <w:bCs/>
          <w:color w:val="000000"/>
          <w:sz w:val="26"/>
          <w:szCs w:val="26"/>
        </w:rPr>
        <w:t>Form 1—Access to neighbouring land</w:t>
      </w:r>
    </w:p>
    <w:p w:rsidR="001B6B5D" w:rsidRDefault="00123FDA" w:rsidP="001B6B5D">
      <w:pPr>
        <w:keepLines/>
        <w:autoSpaceDE w:val="0"/>
        <w:autoSpaceDN w:val="0"/>
        <w:adjustRightInd w:val="0"/>
        <w:spacing w:before="120" w:after="0" w:line="240" w:lineRule="auto"/>
        <w:ind w:left="1588"/>
        <w:rPr>
          <w:color w:val="000000"/>
          <w:sz w:val="23"/>
          <w:szCs w:val="23"/>
        </w:rPr>
      </w:pPr>
      <w:hyperlink r:id="rId78" w:history="1">
        <w:r w:rsidR="001B6B5D">
          <w:rPr>
            <w:i/>
            <w:iCs/>
            <w:color w:val="000000"/>
            <w:sz w:val="23"/>
            <w:szCs w:val="23"/>
          </w:rPr>
          <w:t>Planning, Development and Infrastructure Act 2016</w:t>
        </w:r>
      </w:hyperlink>
      <w:r w:rsidR="001B6B5D">
        <w:rPr>
          <w:color w:val="000000"/>
          <w:sz w:val="23"/>
          <w:szCs w:val="23"/>
        </w:rPr>
        <w:t>—section 140(3)</w:t>
      </w:r>
    </w:p>
    <w:p w:rsidR="001B6B5D" w:rsidRDefault="001B6B5D" w:rsidP="001B6B5D">
      <w:pPr>
        <w:keepLines/>
        <w:autoSpaceDE w:val="0"/>
        <w:autoSpaceDN w:val="0"/>
        <w:adjustRightInd w:val="0"/>
        <w:spacing w:before="120" w:after="0" w:line="240" w:lineRule="auto"/>
        <w:ind w:left="1588"/>
        <w:rPr>
          <w:color w:val="000000"/>
          <w:sz w:val="23"/>
          <w:szCs w:val="23"/>
        </w:rPr>
      </w:pPr>
      <w:r>
        <w:rPr>
          <w:color w:val="000000"/>
          <w:sz w:val="23"/>
          <w:szCs w:val="23"/>
        </w:rPr>
        <w:t xml:space="preserve">To: </w:t>
      </w:r>
      <w:r>
        <w:rPr>
          <w:i/>
          <w:iCs/>
          <w:color w:val="000000"/>
          <w:sz w:val="23"/>
          <w:szCs w:val="23"/>
        </w:rPr>
        <w:t>[Insert details of owner of adjoining allotment]</w:t>
      </w:r>
    </w:p>
    <w:p w:rsidR="001B6B5D" w:rsidRDefault="001B6B5D" w:rsidP="001B6B5D">
      <w:pPr>
        <w:keepLines/>
        <w:autoSpaceDE w:val="0"/>
        <w:autoSpaceDN w:val="0"/>
        <w:adjustRightInd w:val="0"/>
        <w:spacing w:before="120" w:after="0" w:line="240" w:lineRule="auto"/>
        <w:ind w:left="1588"/>
        <w:rPr>
          <w:color w:val="000000"/>
          <w:sz w:val="23"/>
          <w:szCs w:val="23"/>
        </w:rPr>
      </w:pPr>
      <w:r>
        <w:rPr>
          <w:color w:val="000000"/>
          <w:sz w:val="23"/>
          <w:szCs w:val="23"/>
        </w:rPr>
        <w:t>Request for access to adjoining allotment [</w:t>
      </w:r>
      <w:r>
        <w:rPr>
          <w:i/>
          <w:iCs/>
          <w:color w:val="000000"/>
          <w:sz w:val="23"/>
          <w:szCs w:val="23"/>
        </w:rPr>
        <w:t xml:space="preserve">Insert details required under section 140(3) of the </w:t>
      </w:r>
      <w:hyperlink r:id="rId79" w:history="1">
        <w:r>
          <w:rPr>
            <w:i/>
            <w:iCs/>
            <w:color w:val="000000"/>
            <w:sz w:val="23"/>
            <w:szCs w:val="23"/>
          </w:rPr>
          <w:t>Planning, Development and Infrastructure Act 2016</w:t>
        </w:r>
      </w:hyperlink>
      <w:r>
        <w:rPr>
          <w:color w:val="000000"/>
          <w:sz w:val="23"/>
          <w:szCs w:val="23"/>
        </w:rPr>
        <w:t>]</w:t>
      </w:r>
    </w:p>
    <w:p w:rsidR="001B6B5D" w:rsidRDefault="001B6B5D" w:rsidP="001B6B5D">
      <w:pPr>
        <w:keepLines/>
        <w:autoSpaceDE w:val="0"/>
        <w:autoSpaceDN w:val="0"/>
        <w:adjustRightInd w:val="0"/>
        <w:spacing w:before="120" w:after="0" w:line="240" w:lineRule="auto"/>
        <w:ind w:left="1588"/>
        <w:rPr>
          <w:color w:val="000000"/>
          <w:sz w:val="23"/>
          <w:szCs w:val="23"/>
        </w:rPr>
      </w:pPr>
      <w:r>
        <w:rPr>
          <w:color w:val="000000"/>
          <w:sz w:val="23"/>
          <w:szCs w:val="23"/>
        </w:rPr>
        <w:t>Reason for which access is sought:</w:t>
      </w:r>
    </w:p>
    <w:p w:rsidR="001B6B5D" w:rsidRDefault="001B6B5D" w:rsidP="001B6B5D">
      <w:pPr>
        <w:keepLines/>
        <w:autoSpaceDE w:val="0"/>
        <w:autoSpaceDN w:val="0"/>
        <w:adjustRightInd w:val="0"/>
        <w:spacing w:before="120" w:after="0" w:line="240" w:lineRule="auto"/>
        <w:ind w:left="1588"/>
        <w:rPr>
          <w:color w:val="000000"/>
          <w:sz w:val="23"/>
          <w:szCs w:val="23"/>
        </w:rPr>
      </w:pPr>
      <w:r>
        <w:rPr>
          <w:color w:val="000000"/>
          <w:sz w:val="23"/>
          <w:szCs w:val="23"/>
        </w:rPr>
        <w:t>Time at which, or period for which, access is sought:</w:t>
      </w:r>
    </w:p>
    <w:p w:rsidR="001B6B5D" w:rsidRDefault="001B6B5D" w:rsidP="001B6B5D">
      <w:pPr>
        <w:keepNext/>
        <w:keepLines/>
        <w:autoSpaceDE w:val="0"/>
        <w:autoSpaceDN w:val="0"/>
        <w:adjustRightInd w:val="0"/>
        <w:spacing w:before="120" w:after="0" w:line="240" w:lineRule="auto"/>
        <w:ind w:left="1588"/>
        <w:rPr>
          <w:color w:val="000000"/>
          <w:sz w:val="23"/>
          <w:szCs w:val="23"/>
        </w:rPr>
      </w:pPr>
      <w:r>
        <w:rPr>
          <w:color w:val="000000"/>
          <w:sz w:val="23"/>
          <w:szCs w:val="23"/>
        </w:rPr>
        <w:t>Details of—</w:t>
      </w:r>
    </w:p>
    <w:p w:rsidR="001B6B5D" w:rsidRDefault="001B6B5D" w:rsidP="001B6B5D">
      <w:pPr>
        <w:keepLines/>
        <w:tabs>
          <w:tab w:val="center" w:pos="1985"/>
          <w:tab w:val="left" w:pos="2382"/>
        </w:tabs>
        <w:autoSpaceDE w:val="0"/>
        <w:autoSpaceDN w:val="0"/>
        <w:adjustRightInd w:val="0"/>
        <w:spacing w:before="120" w:after="0" w:line="240" w:lineRule="auto"/>
        <w:ind w:left="2382" w:hanging="794"/>
        <w:rPr>
          <w:color w:val="000000"/>
          <w:sz w:val="23"/>
          <w:szCs w:val="23"/>
        </w:rPr>
      </w:pPr>
      <w:r>
        <w:rPr>
          <w:color w:val="000000"/>
          <w:sz w:val="23"/>
          <w:szCs w:val="23"/>
        </w:rPr>
        <w:tab/>
        <w:t>(a)</w:t>
      </w:r>
      <w:r>
        <w:rPr>
          <w:color w:val="000000"/>
          <w:sz w:val="23"/>
          <w:szCs w:val="23"/>
        </w:rPr>
        <w:tab/>
        <w:t>person proposed to be entering:</w:t>
      </w:r>
    </w:p>
    <w:p w:rsidR="001B6B5D" w:rsidRDefault="001B6B5D" w:rsidP="001B6B5D">
      <w:pPr>
        <w:keepLines/>
        <w:tabs>
          <w:tab w:val="center" w:pos="1985"/>
          <w:tab w:val="left" w:pos="2382"/>
        </w:tabs>
        <w:autoSpaceDE w:val="0"/>
        <w:autoSpaceDN w:val="0"/>
        <w:adjustRightInd w:val="0"/>
        <w:spacing w:before="120" w:after="0" w:line="240" w:lineRule="auto"/>
        <w:ind w:left="2382" w:hanging="794"/>
        <w:rPr>
          <w:color w:val="000000"/>
          <w:sz w:val="23"/>
          <w:szCs w:val="23"/>
        </w:rPr>
      </w:pPr>
      <w:r>
        <w:rPr>
          <w:color w:val="000000"/>
          <w:sz w:val="23"/>
          <w:szCs w:val="23"/>
        </w:rPr>
        <w:tab/>
        <w:t>(b)</w:t>
      </w:r>
      <w:r>
        <w:rPr>
          <w:color w:val="000000"/>
          <w:sz w:val="23"/>
          <w:szCs w:val="23"/>
        </w:rPr>
        <w:tab/>
        <w:t>what they would bring with them:</w:t>
      </w:r>
    </w:p>
    <w:p w:rsidR="001B6B5D" w:rsidRDefault="001B6B5D" w:rsidP="001B6B5D">
      <w:pPr>
        <w:keepLines/>
        <w:tabs>
          <w:tab w:val="center" w:pos="1985"/>
          <w:tab w:val="left" w:pos="2382"/>
        </w:tabs>
        <w:autoSpaceDE w:val="0"/>
        <w:autoSpaceDN w:val="0"/>
        <w:adjustRightInd w:val="0"/>
        <w:spacing w:before="120" w:after="0" w:line="240" w:lineRule="auto"/>
        <w:ind w:left="2382" w:hanging="794"/>
        <w:rPr>
          <w:color w:val="000000"/>
          <w:sz w:val="23"/>
          <w:szCs w:val="23"/>
        </w:rPr>
      </w:pPr>
      <w:r>
        <w:rPr>
          <w:color w:val="000000"/>
          <w:sz w:val="23"/>
          <w:szCs w:val="23"/>
        </w:rPr>
        <w:tab/>
        <w:t>(c)</w:t>
      </w:r>
      <w:r>
        <w:rPr>
          <w:color w:val="000000"/>
          <w:sz w:val="23"/>
          <w:szCs w:val="23"/>
        </w:rPr>
        <w:tab/>
        <w:t>what activity or work would be carried out:</w:t>
      </w:r>
    </w:p>
    <w:p w:rsidR="001B6B5D" w:rsidRDefault="001B6B5D" w:rsidP="001B6B5D">
      <w:pPr>
        <w:keepLines/>
        <w:autoSpaceDE w:val="0"/>
        <w:autoSpaceDN w:val="0"/>
        <w:adjustRightInd w:val="0"/>
        <w:spacing w:before="120" w:after="0" w:line="240" w:lineRule="auto"/>
        <w:ind w:left="1588"/>
        <w:rPr>
          <w:color w:val="000000"/>
          <w:sz w:val="23"/>
          <w:szCs w:val="23"/>
        </w:rPr>
      </w:pPr>
      <w:r>
        <w:rPr>
          <w:color w:val="000000"/>
          <w:sz w:val="23"/>
          <w:szCs w:val="23"/>
        </w:rPr>
        <w:t>Signed:</w:t>
      </w:r>
    </w:p>
    <w:p w:rsidR="001B6B5D" w:rsidRDefault="001B6B5D" w:rsidP="001B6B5D">
      <w:pPr>
        <w:keepLines/>
        <w:autoSpaceDE w:val="0"/>
        <w:autoSpaceDN w:val="0"/>
        <w:adjustRightInd w:val="0"/>
        <w:spacing w:before="120" w:after="0" w:line="240" w:lineRule="auto"/>
        <w:ind w:left="1588"/>
        <w:rPr>
          <w:color w:val="000000"/>
          <w:sz w:val="23"/>
          <w:szCs w:val="23"/>
        </w:rPr>
      </w:pPr>
      <w:r>
        <w:rPr>
          <w:color w:val="000000"/>
          <w:sz w:val="23"/>
          <w:szCs w:val="23"/>
        </w:rPr>
        <w:t>Date:</w:t>
      </w:r>
    </w:p>
    <w:p w:rsidR="00F9717D" w:rsidRDefault="00F9717D">
      <w:pPr>
        <w:spacing w:after="0" w:line="240" w:lineRule="auto"/>
        <w:jc w:val="left"/>
        <w:rPr>
          <w:b/>
          <w:bCs/>
          <w:color w:val="000000"/>
          <w:sz w:val="20"/>
          <w:szCs w:val="20"/>
        </w:rPr>
      </w:pPr>
      <w:r>
        <w:rPr>
          <w:b/>
          <w:bCs/>
          <w:color w:val="000000"/>
          <w:sz w:val="20"/>
          <w:szCs w:val="20"/>
        </w:rPr>
        <w:br w:type="page"/>
      </w:r>
    </w:p>
    <w:p w:rsidR="00F9717D" w:rsidRDefault="00F9717D" w:rsidP="00F9717D">
      <w:pPr>
        <w:keepNext/>
        <w:keepLines/>
        <w:autoSpaceDE w:val="0"/>
        <w:autoSpaceDN w:val="0"/>
        <w:adjustRightInd w:val="0"/>
        <w:spacing w:after="0" w:line="20" w:lineRule="exact"/>
        <w:ind w:left="794" w:hanging="794"/>
        <w:rPr>
          <w:b/>
          <w:bCs/>
          <w:color w:val="000000"/>
          <w:sz w:val="20"/>
          <w:szCs w:val="20"/>
        </w:rPr>
      </w:pPr>
    </w:p>
    <w:p w:rsidR="001B6B5D" w:rsidRDefault="001B6B5D" w:rsidP="001B6B5D">
      <w:pPr>
        <w:keepNext/>
        <w:keepLines/>
        <w:autoSpaceDE w:val="0"/>
        <w:autoSpaceDN w:val="0"/>
        <w:adjustRightInd w:val="0"/>
        <w:spacing w:before="120" w:after="0" w:line="240" w:lineRule="auto"/>
        <w:ind w:left="794" w:hanging="794"/>
        <w:rPr>
          <w:b/>
          <w:bCs/>
          <w:color w:val="000000"/>
          <w:sz w:val="20"/>
          <w:szCs w:val="20"/>
        </w:rPr>
      </w:pPr>
      <w:r>
        <w:rPr>
          <w:b/>
          <w:bCs/>
          <w:color w:val="000000"/>
          <w:sz w:val="20"/>
          <w:szCs w:val="20"/>
        </w:rPr>
        <w:t>Note—</w:t>
      </w:r>
    </w:p>
    <w:p w:rsidR="001B6B5D" w:rsidRDefault="001B6B5D" w:rsidP="001B6B5D">
      <w:pPr>
        <w:keepLines/>
        <w:autoSpaceDE w:val="0"/>
        <w:autoSpaceDN w:val="0"/>
        <w:adjustRightInd w:val="0"/>
        <w:spacing w:before="120" w:after="0" w:line="240" w:lineRule="auto"/>
        <w:ind w:left="794"/>
        <w:rPr>
          <w:color w:val="000000"/>
          <w:sz w:val="20"/>
          <w:szCs w:val="20"/>
        </w:rPr>
      </w:pPr>
      <w:r>
        <w:rPr>
          <w:color w:val="000000"/>
          <w:sz w:val="20"/>
          <w:szCs w:val="20"/>
        </w:rPr>
        <w:t xml:space="preserve">As required by section 10AA(2) of the </w:t>
      </w:r>
      <w:hyperlink r:id="rId80" w:history="1">
        <w:r>
          <w:rPr>
            <w:i/>
            <w:iCs/>
            <w:color w:val="000000"/>
            <w:sz w:val="20"/>
            <w:szCs w:val="20"/>
          </w:rPr>
          <w:t>Subordinate Legislation Act 1978</w:t>
        </w:r>
      </w:hyperlink>
      <w:r>
        <w:rPr>
          <w:color w:val="000000"/>
          <w:sz w:val="20"/>
          <w:szCs w:val="20"/>
        </w:rPr>
        <w:t>, the Minister has certified that, in the Minister's opinion, it is necessary or appropriate that these regulations come into operation as set out in these regulations.</w:t>
      </w:r>
    </w:p>
    <w:p w:rsidR="001B6B5D" w:rsidRDefault="001B6B5D" w:rsidP="001B6B5D">
      <w:pPr>
        <w:keepNext/>
        <w:keepLines/>
        <w:autoSpaceDE w:val="0"/>
        <w:autoSpaceDN w:val="0"/>
        <w:adjustRightInd w:val="0"/>
        <w:spacing w:before="120" w:after="0" w:line="240" w:lineRule="auto"/>
        <w:rPr>
          <w:b/>
          <w:bCs/>
          <w:color w:val="000000"/>
          <w:sz w:val="26"/>
          <w:szCs w:val="26"/>
        </w:rPr>
      </w:pPr>
      <w:r>
        <w:rPr>
          <w:b/>
          <w:bCs/>
          <w:color w:val="000000"/>
          <w:sz w:val="26"/>
          <w:szCs w:val="26"/>
        </w:rPr>
        <w:t>Made by the Governor</w:t>
      </w:r>
    </w:p>
    <w:p w:rsidR="001B6B5D" w:rsidRDefault="001B6B5D" w:rsidP="001B6B5D">
      <w:pPr>
        <w:keepNext/>
        <w:keepLines/>
        <w:autoSpaceDE w:val="0"/>
        <w:autoSpaceDN w:val="0"/>
        <w:adjustRightInd w:val="0"/>
        <w:spacing w:before="120" w:after="0" w:line="240" w:lineRule="auto"/>
        <w:rPr>
          <w:color w:val="000000"/>
          <w:sz w:val="23"/>
          <w:szCs w:val="23"/>
        </w:rPr>
      </w:pPr>
      <w:r>
        <w:rPr>
          <w:color w:val="000000"/>
          <w:sz w:val="23"/>
          <w:szCs w:val="23"/>
        </w:rPr>
        <w:t>being satisfied that provisions about the policy or policies that each body prescribed for the purposes of section 122 of the Act will seek to apply in connection with the operation of that section have been included in the Planning and Design Code, or that the Minister has provided an indication under section 122(2)(b) of the Act in a relevant case, with the advice and consent of the Executive Council</w:t>
      </w:r>
    </w:p>
    <w:p w:rsidR="001B6B5D" w:rsidRDefault="001B6B5D" w:rsidP="001B6B5D">
      <w:pPr>
        <w:keepNext/>
        <w:keepLines/>
        <w:autoSpaceDE w:val="0"/>
        <w:autoSpaceDN w:val="0"/>
        <w:adjustRightInd w:val="0"/>
        <w:spacing w:after="0" w:line="240" w:lineRule="auto"/>
        <w:rPr>
          <w:color w:val="000000"/>
          <w:sz w:val="23"/>
          <w:szCs w:val="23"/>
        </w:rPr>
      </w:pPr>
      <w:r>
        <w:rPr>
          <w:color w:val="000000"/>
          <w:sz w:val="23"/>
          <w:szCs w:val="23"/>
        </w:rPr>
        <w:t>on 23 July 2020</w:t>
      </w:r>
    </w:p>
    <w:p w:rsidR="00033D51" w:rsidRDefault="001B6B5D" w:rsidP="00033D51">
      <w:pPr>
        <w:keepNext/>
        <w:keepLines/>
        <w:autoSpaceDE w:val="0"/>
        <w:autoSpaceDN w:val="0"/>
        <w:adjustRightInd w:val="0"/>
        <w:spacing w:before="120" w:after="0" w:line="240" w:lineRule="auto"/>
        <w:rPr>
          <w:color w:val="000000"/>
          <w:sz w:val="23"/>
          <w:szCs w:val="23"/>
        </w:rPr>
      </w:pPr>
      <w:r>
        <w:rPr>
          <w:color w:val="000000"/>
          <w:sz w:val="23"/>
          <w:szCs w:val="23"/>
        </w:rPr>
        <w:t>No 241 of 2020</w:t>
      </w:r>
    </w:p>
    <w:p w:rsidR="00033D51" w:rsidRDefault="00033D51" w:rsidP="00033D51">
      <w:pPr>
        <w:pBdr>
          <w:bottom w:val="single" w:sz="4" w:space="1" w:color="auto"/>
        </w:pBdr>
        <w:spacing w:after="0" w:line="52" w:lineRule="exact"/>
        <w:jc w:val="center"/>
        <w:rPr>
          <w:szCs w:val="17"/>
          <w:lang w:val="en-US"/>
        </w:rPr>
      </w:pPr>
    </w:p>
    <w:p w:rsidR="00033D51" w:rsidRDefault="00033D51" w:rsidP="00033D51">
      <w:pPr>
        <w:pBdr>
          <w:top w:val="single" w:sz="4" w:space="1" w:color="auto"/>
        </w:pBdr>
        <w:spacing w:before="34" w:after="0" w:line="14" w:lineRule="exact"/>
        <w:jc w:val="center"/>
        <w:rPr>
          <w:szCs w:val="17"/>
          <w:lang w:val="en-US"/>
        </w:rPr>
      </w:pPr>
    </w:p>
    <w:p w:rsidR="00033D51" w:rsidRDefault="00033D51" w:rsidP="00033D5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lang w:val="en-US"/>
        </w:rPr>
      </w:pPr>
    </w:p>
    <w:p w:rsidR="00F9553F" w:rsidRPr="001B6B5D" w:rsidRDefault="009D1E2E" w:rsidP="00033D5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r w:rsidRPr="001B6B5D">
        <w:rPr>
          <w:szCs w:val="17"/>
          <w:lang w:val="en-US"/>
        </w:rPr>
        <w:br w:type="page"/>
      </w:r>
      <w:bookmarkStart w:id="749" w:name="_Toc33707982"/>
      <w:bookmarkStart w:id="750" w:name="_Toc33708153"/>
    </w:p>
    <w:p w:rsidR="009D1E2E" w:rsidRPr="009D1E2E" w:rsidRDefault="009D1E2E" w:rsidP="00F80EF5">
      <w:pPr>
        <w:pStyle w:val="Heading1"/>
      </w:pPr>
      <w:bookmarkStart w:id="751" w:name="_Toc46398093"/>
      <w:r w:rsidRPr="009D1E2E">
        <w:t>State Government Instruments</w:t>
      </w:r>
      <w:bookmarkEnd w:id="749"/>
      <w:bookmarkEnd w:id="750"/>
      <w:bookmarkEnd w:id="751"/>
    </w:p>
    <w:p w:rsidR="002D3BBC" w:rsidRPr="00FC5AFB" w:rsidRDefault="00D31700" w:rsidP="00D31700">
      <w:pPr>
        <w:pStyle w:val="Heading2"/>
      </w:pPr>
      <w:bookmarkStart w:id="752" w:name="_Toc46398094"/>
      <w:r w:rsidRPr="00FC5AFB">
        <w:t>Building Work Contractors Act 1995</w:t>
      </w:r>
      <w:bookmarkEnd w:id="752"/>
    </w:p>
    <w:p w:rsidR="002D3BBC" w:rsidRPr="00FC5AFB" w:rsidRDefault="002D3BBC" w:rsidP="002D3BBC">
      <w:pPr>
        <w:jc w:val="center"/>
        <w:rPr>
          <w:i/>
          <w:szCs w:val="17"/>
        </w:rPr>
      </w:pPr>
      <w:r w:rsidRPr="00FC5AFB">
        <w:rPr>
          <w:i/>
          <w:szCs w:val="17"/>
        </w:rPr>
        <w:t>Exemption</w:t>
      </w:r>
    </w:p>
    <w:p w:rsidR="002D3BBC" w:rsidRPr="00FC5AFB" w:rsidRDefault="002D3BBC" w:rsidP="002D3BBC">
      <w:pPr>
        <w:rPr>
          <w:rFonts w:eastAsia="Times New Roman"/>
          <w:szCs w:val="17"/>
        </w:rPr>
      </w:pPr>
      <w:r w:rsidRPr="00FC5AFB">
        <w:rPr>
          <w:rFonts w:eastAsia="Times New Roman"/>
          <w:szCs w:val="17"/>
        </w:rPr>
        <w:t xml:space="preserve">TAKE notice that, pursuant to section 45 of the </w:t>
      </w:r>
      <w:r w:rsidRPr="00FC5AFB">
        <w:rPr>
          <w:rFonts w:eastAsia="Times New Roman"/>
          <w:i/>
          <w:szCs w:val="17"/>
        </w:rPr>
        <w:t>Building Work Contractors Act 1995</w:t>
      </w:r>
      <w:r w:rsidRPr="00FC5AFB">
        <w:rPr>
          <w:rFonts w:eastAsia="Times New Roman"/>
          <w:szCs w:val="17"/>
        </w:rPr>
        <w:t>, I, John Doran as a delegate for the Attorney-General, do hereby exempt the licensee named in Schedule 1 from the application of Division 3 of Part 5 of the above Act in relation to domestic building work described in Schedule 2 and subject to the conditions specified in Schedule 3.</w:t>
      </w:r>
    </w:p>
    <w:p w:rsidR="002D3BBC" w:rsidRPr="00FC5AFB" w:rsidRDefault="002D3BBC" w:rsidP="002D3BBC">
      <w:pPr>
        <w:jc w:val="center"/>
        <w:rPr>
          <w:smallCaps/>
          <w:szCs w:val="17"/>
        </w:rPr>
      </w:pPr>
      <w:r w:rsidRPr="00FC5AFB">
        <w:rPr>
          <w:smallCaps/>
          <w:szCs w:val="17"/>
        </w:rPr>
        <w:t>Schedule 1</w:t>
      </w:r>
    </w:p>
    <w:p w:rsidR="002D3BBC" w:rsidRPr="00FC5AFB" w:rsidRDefault="002D3BBC" w:rsidP="002D3BBC">
      <w:pPr>
        <w:ind w:left="142"/>
        <w:rPr>
          <w:rFonts w:eastAsia="Times New Roman"/>
          <w:szCs w:val="17"/>
        </w:rPr>
      </w:pPr>
      <w:r w:rsidRPr="00FC5AFB">
        <w:rPr>
          <w:rFonts w:eastAsia="Times New Roman"/>
          <w:szCs w:val="17"/>
        </w:rPr>
        <w:t>DAMIAN CHARLES HATCHARD (BLD 181848)</w:t>
      </w:r>
    </w:p>
    <w:p w:rsidR="002D3BBC" w:rsidRPr="00FC5AFB" w:rsidRDefault="002D3BBC" w:rsidP="002D3BBC">
      <w:pPr>
        <w:jc w:val="center"/>
        <w:rPr>
          <w:smallCaps/>
          <w:szCs w:val="17"/>
        </w:rPr>
      </w:pPr>
      <w:r w:rsidRPr="00FC5AFB">
        <w:rPr>
          <w:smallCaps/>
          <w:szCs w:val="17"/>
        </w:rPr>
        <w:t>Schedule 2</w:t>
      </w:r>
    </w:p>
    <w:p w:rsidR="002D3BBC" w:rsidRPr="00FC5AFB" w:rsidRDefault="002D3BBC" w:rsidP="002D3BBC">
      <w:pPr>
        <w:ind w:left="142"/>
        <w:rPr>
          <w:rFonts w:eastAsia="Times New Roman"/>
          <w:szCs w:val="17"/>
        </w:rPr>
      </w:pPr>
      <w:r w:rsidRPr="00FC5AFB">
        <w:rPr>
          <w:rFonts w:eastAsia="Times New Roman"/>
          <w:szCs w:val="17"/>
        </w:rPr>
        <w:t>Construction of a two storey detached dwelling at Allotment 19 in Deposited Plan 6638 being a portion of the land described in Certificate of Title Volume 5619 Folio 323, more commonly known as 24 Swan Avenue, Rostrevor SA 5073.</w:t>
      </w:r>
    </w:p>
    <w:p w:rsidR="002D3BBC" w:rsidRPr="00FC5AFB" w:rsidRDefault="002D3BBC" w:rsidP="002D3BBC">
      <w:pPr>
        <w:jc w:val="center"/>
        <w:rPr>
          <w:smallCaps/>
          <w:szCs w:val="17"/>
        </w:rPr>
      </w:pPr>
      <w:r w:rsidRPr="00FC5AFB">
        <w:rPr>
          <w:smallCaps/>
          <w:szCs w:val="17"/>
        </w:rPr>
        <w:t>Schedule 3</w:t>
      </w:r>
    </w:p>
    <w:p w:rsidR="002D3BBC" w:rsidRPr="00FC5AFB" w:rsidRDefault="002D3BBC" w:rsidP="002D3BBC">
      <w:pPr>
        <w:ind w:left="426" w:hanging="284"/>
        <w:rPr>
          <w:rFonts w:eastAsia="Times New Roman"/>
          <w:szCs w:val="17"/>
        </w:rPr>
      </w:pPr>
      <w:r w:rsidRPr="00FC5AFB">
        <w:rPr>
          <w:rFonts w:eastAsia="Times New Roman"/>
          <w:szCs w:val="17"/>
        </w:rPr>
        <w:t>1.</w:t>
      </w:r>
      <w:r w:rsidRPr="00FC5AFB">
        <w:rPr>
          <w:rFonts w:eastAsia="Times New Roman"/>
          <w:szCs w:val="17"/>
        </w:rPr>
        <w:tab/>
        <w:t>This exemption is limited to domestic building work personally performed by the licensee in relation to the building work described in Schedule 2.</w:t>
      </w:r>
    </w:p>
    <w:p w:rsidR="002D3BBC" w:rsidRPr="00FC5AFB" w:rsidRDefault="002D3BBC" w:rsidP="002D3BBC">
      <w:pPr>
        <w:ind w:left="426" w:hanging="284"/>
        <w:rPr>
          <w:rFonts w:eastAsia="Times New Roman"/>
          <w:szCs w:val="17"/>
        </w:rPr>
      </w:pPr>
      <w:r w:rsidRPr="00FC5AFB">
        <w:rPr>
          <w:rFonts w:eastAsia="Times New Roman"/>
          <w:szCs w:val="17"/>
        </w:rPr>
        <w:t>2.</w:t>
      </w:r>
      <w:r w:rsidRPr="00FC5AFB">
        <w:rPr>
          <w:rFonts w:eastAsia="Times New Roman"/>
          <w:szCs w:val="17"/>
        </w:rPr>
        <w:tab/>
        <w:t>This exemption does not apply to any domestic building work the licensee contracts to another building work contractor, for which that contractor is required by law to hold building indemnity insurance.</w:t>
      </w:r>
    </w:p>
    <w:p w:rsidR="002D3BBC" w:rsidRPr="00FC5AFB" w:rsidRDefault="002D3BBC" w:rsidP="002D3BBC">
      <w:pPr>
        <w:ind w:left="426" w:hanging="284"/>
        <w:rPr>
          <w:rFonts w:eastAsia="Times New Roman"/>
          <w:szCs w:val="17"/>
        </w:rPr>
      </w:pPr>
      <w:r w:rsidRPr="00FC5AFB">
        <w:rPr>
          <w:rFonts w:eastAsia="Times New Roman"/>
          <w:szCs w:val="17"/>
        </w:rPr>
        <w:t>3.</w:t>
      </w:r>
      <w:r w:rsidRPr="00FC5AFB">
        <w:rPr>
          <w:rFonts w:eastAsia="Times New Roman"/>
          <w:szCs w:val="17"/>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rsidR="002D3BBC" w:rsidRPr="00FC5AFB" w:rsidRDefault="002D3BBC" w:rsidP="002D3BBC">
      <w:pPr>
        <w:ind w:left="714" w:hanging="289"/>
        <w:jc w:val="left"/>
        <w:rPr>
          <w:rFonts w:eastAsia="Times New Roman"/>
          <w:szCs w:val="17"/>
        </w:rPr>
      </w:pPr>
      <w:r w:rsidRPr="00FC5AFB">
        <w:rPr>
          <w:rFonts w:eastAsia="Times New Roman"/>
          <w:szCs w:val="17"/>
        </w:rPr>
        <w:t>Providing evidence that an adequate policy of building indemnity insurance is in force to cover the balance of the five-year period from the date of completion of the building work the subject of this exemption;</w:t>
      </w:r>
    </w:p>
    <w:p w:rsidR="002D3BBC" w:rsidRPr="00FC5AFB" w:rsidRDefault="002D3BBC" w:rsidP="002D3BBC">
      <w:pPr>
        <w:ind w:left="714" w:hanging="289"/>
        <w:jc w:val="left"/>
        <w:rPr>
          <w:rFonts w:eastAsia="Times New Roman"/>
          <w:szCs w:val="17"/>
        </w:rPr>
      </w:pPr>
      <w:r w:rsidRPr="00FC5AFB">
        <w:rPr>
          <w:rFonts w:eastAsia="Times New Roman"/>
          <w:szCs w:val="17"/>
        </w:rPr>
        <w:t>Providing evidence of an independent expert inspection of the building work the subject of this exemption;</w:t>
      </w:r>
    </w:p>
    <w:p w:rsidR="002D3BBC" w:rsidRPr="00FC5AFB" w:rsidRDefault="002D3BBC" w:rsidP="002D3BBC">
      <w:pPr>
        <w:ind w:left="714" w:hanging="289"/>
        <w:jc w:val="left"/>
        <w:rPr>
          <w:rFonts w:eastAsia="Times New Roman"/>
          <w:szCs w:val="17"/>
        </w:rPr>
      </w:pPr>
      <w:r w:rsidRPr="00FC5AFB">
        <w:rPr>
          <w:rFonts w:eastAsia="Times New Roman"/>
          <w:szCs w:val="17"/>
        </w:rPr>
        <w:t>Making an independent expert report available to prospective purchasers of the property;</w:t>
      </w:r>
    </w:p>
    <w:p w:rsidR="002D3BBC" w:rsidRPr="00FC5AFB" w:rsidRDefault="002D3BBC" w:rsidP="002D3BBC">
      <w:pPr>
        <w:ind w:left="714" w:hanging="289"/>
        <w:jc w:val="left"/>
        <w:rPr>
          <w:rFonts w:eastAsia="Times New Roman"/>
          <w:szCs w:val="17"/>
        </w:rPr>
      </w:pPr>
      <w:r w:rsidRPr="00FC5AFB">
        <w:rPr>
          <w:rFonts w:eastAsia="Times New Roman"/>
          <w:szCs w:val="17"/>
        </w:rPr>
        <w:t>Giving prospective purchasers of the property notice of the absence of a policy of building indemnity insurance.</w:t>
      </w:r>
    </w:p>
    <w:p w:rsidR="002D3BBC" w:rsidRPr="00FC5AFB" w:rsidRDefault="002D3BBC" w:rsidP="002D3BBC">
      <w:pPr>
        <w:spacing w:after="0"/>
        <w:rPr>
          <w:rFonts w:eastAsia="Times New Roman"/>
          <w:szCs w:val="17"/>
        </w:rPr>
      </w:pPr>
      <w:r w:rsidRPr="00FC5AFB">
        <w:rPr>
          <w:rFonts w:eastAsia="Times New Roman"/>
          <w:szCs w:val="17"/>
        </w:rPr>
        <w:t>Dated: 17 July 2020</w:t>
      </w:r>
    </w:p>
    <w:p w:rsidR="002D3BBC" w:rsidRPr="00FC5AFB" w:rsidRDefault="002D3BBC" w:rsidP="002D3BBC">
      <w:pPr>
        <w:spacing w:after="0"/>
        <w:jc w:val="right"/>
        <w:rPr>
          <w:rFonts w:eastAsia="Times New Roman"/>
          <w:smallCaps/>
          <w:szCs w:val="20"/>
        </w:rPr>
      </w:pPr>
      <w:r w:rsidRPr="00FC5AFB">
        <w:rPr>
          <w:rFonts w:eastAsia="Times New Roman"/>
          <w:smallCaps/>
          <w:szCs w:val="20"/>
        </w:rPr>
        <w:t>John Doran</w:t>
      </w:r>
    </w:p>
    <w:p w:rsidR="002D3BBC" w:rsidRPr="00FC5AFB" w:rsidRDefault="002D3BBC" w:rsidP="002D3BBC">
      <w:pPr>
        <w:spacing w:after="0"/>
        <w:jc w:val="right"/>
        <w:rPr>
          <w:rFonts w:eastAsia="Times New Roman"/>
          <w:szCs w:val="17"/>
        </w:rPr>
      </w:pPr>
      <w:r w:rsidRPr="00FC5AFB">
        <w:rPr>
          <w:rFonts w:eastAsia="Times New Roman"/>
          <w:szCs w:val="17"/>
        </w:rPr>
        <w:t>General Manager, Licensing</w:t>
      </w:r>
    </w:p>
    <w:p w:rsidR="002D3BBC" w:rsidRDefault="002D3BBC" w:rsidP="002D3BBC">
      <w:pPr>
        <w:spacing w:after="0"/>
        <w:jc w:val="right"/>
        <w:rPr>
          <w:rFonts w:eastAsia="Times New Roman"/>
          <w:szCs w:val="17"/>
        </w:rPr>
      </w:pPr>
      <w:r w:rsidRPr="00FC5AFB">
        <w:rPr>
          <w:rFonts w:eastAsia="Times New Roman"/>
          <w:szCs w:val="17"/>
        </w:rPr>
        <w:t>Delegate for the Attorney-General</w:t>
      </w:r>
    </w:p>
    <w:p w:rsidR="002D3BBC" w:rsidRDefault="002D3BBC" w:rsidP="002D3BBC">
      <w:pPr>
        <w:pBdr>
          <w:top w:val="single" w:sz="4" w:space="1" w:color="auto"/>
        </w:pBdr>
        <w:spacing w:before="100" w:after="0" w:line="14" w:lineRule="exact"/>
        <w:jc w:val="center"/>
        <w:rPr>
          <w:lang w:val="en-US"/>
        </w:rPr>
      </w:pPr>
    </w:p>
    <w:p w:rsidR="002D3BBC" w:rsidRDefault="002D3BBC" w:rsidP="002D3B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3E2540" w:rsidRPr="003E2540" w:rsidRDefault="003E2540" w:rsidP="003E2540">
      <w:pPr>
        <w:jc w:val="center"/>
        <w:rPr>
          <w:caps/>
          <w:szCs w:val="17"/>
        </w:rPr>
      </w:pPr>
      <w:r w:rsidRPr="003E2540">
        <w:rPr>
          <w:caps/>
          <w:szCs w:val="17"/>
        </w:rPr>
        <w:t>Building Work Contractors Act 1995</w:t>
      </w:r>
    </w:p>
    <w:p w:rsidR="003E2540" w:rsidRPr="003E2540" w:rsidRDefault="003E2540" w:rsidP="003E2540">
      <w:pPr>
        <w:jc w:val="center"/>
        <w:rPr>
          <w:i/>
          <w:szCs w:val="17"/>
        </w:rPr>
      </w:pPr>
      <w:r w:rsidRPr="003E2540">
        <w:rPr>
          <w:i/>
          <w:szCs w:val="17"/>
        </w:rPr>
        <w:t>Exemption</w:t>
      </w:r>
    </w:p>
    <w:p w:rsidR="003E2540" w:rsidRPr="003E2540" w:rsidRDefault="003E2540" w:rsidP="003E2540">
      <w:pPr>
        <w:rPr>
          <w:rFonts w:eastAsia="Times New Roman"/>
          <w:szCs w:val="17"/>
        </w:rPr>
      </w:pPr>
      <w:r w:rsidRPr="003E2540">
        <w:rPr>
          <w:rFonts w:eastAsia="Times New Roman"/>
          <w:szCs w:val="17"/>
        </w:rPr>
        <w:t xml:space="preserve">TAKE notice that, pursuant to section 45 of the </w:t>
      </w:r>
      <w:r w:rsidRPr="003E2540">
        <w:rPr>
          <w:rFonts w:eastAsia="Times New Roman"/>
          <w:i/>
          <w:szCs w:val="17"/>
        </w:rPr>
        <w:t>Building Work Contractors Act 1995</w:t>
      </w:r>
      <w:r w:rsidRPr="003E2540">
        <w:rPr>
          <w:rFonts w:eastAsia="Times New Roman"/>
          <w:szCs w:val="17"/>
        </w:rPr>
        <w:t>, I, John Doran as a delegate for the Attorney-General, do hereby exempt the licensee named in Schedule 1 from the application of Division 3 of Part 5 of the above Act in relation to domestic building work described in Schedule 2 and subject to the conditions specified in Schedule 3.</w:t>
      </w:r>
    </w:p>
    <w:p w:rsidR="003E2540" w:rsidRPr="003E2540" w:rsidRDefault="003E2540" w:rsidP="003E2540">
      <w:pPr>
        <w:jc w:val="center"/>
        <w:rPr>
          <w:smallCaps/>
          <w:szCs w:val="17"/>
        </w:rPr>
      </w:pPr>
      <w:r w:rsidRPr="003E2540">
        <w:rPr>
          <w:smallCaps/>
          <w:szCs w:val="17"/>
        </w:rPr>
        <w:t>Schedule 1</w:t>
      </w:r>
    </w:p>
    <w:p w:rsidR="003E2540" w:rsidRPr="003E2540" w:rsidRDefault="003E2540" w:rsidP="003E2540">
      <w:pPr>
        <w:ind w:left="142"/>
        <w:rPr>
          <w:rFonts w:eastAsia="Times New Roman"/>
          <w:szCs w:val="17"/>
        </w:rPr>
      </w:pPr>
      <w:r w:rsidRPr="003E2540">
        <w:rPr>
          <w:rFonts w:eastAsia="Times New Roman"/>
          <w:szCs w:val="17"/>
        </w:rPr>
        <w:t>GEORGE A MCQUINN CARPENTRY PTY LTD (BLD 296065)</w:t>
      </w:r>
    </w:p>
    <w:p w:rsidR="003E2540" w:rsidRPr="003E2540" w:rsidRDefault="003E2540" w:rsidP="003E2540">
      <w:pPr>
        <w:jc w:val="center"/>
        <w:rPr>
          <w:smallCaps/>
          <w:szCs w:val="17"/>
        </w:rPr>
      </w:pPr>
      <w:r w:rsidRPr="003E2540">
        <w:rPr>
          <w:smallCaps/>
          <w:szCs w:val="17"/>
        </w:rPr>
        <w:t>Schedule 2</w:t>
      </w:r>
    </w:p>
    <w:p w:rsidR="003E2540" w:rsidRPr="003E2540" w:rsidRDefault="003E2540" w:rsidP="003E2540">
      <w:pPr>
        <w:ind w:left="142"/>
        <w:rPr>
          <w:rFonts w:eastAsia="Times New Roman"/>
          <w:szCs w:val="17"/>
        </w:rPr>
      </w:pPr>
      <w:r w:rsidRPr="003E2540">
        <w:rPr>
          <w:rFonts w:eastAsia="Times New Roman"/>
          <w:szCs w:val="17"/>
        </w:rPr>
        <w:t>Construction of a single storey extension on land situated at Allotment 245 in Filed Plan 13817 being a portion of the land described in Certificate of Title Volume 5075 Folio 781, more commonly known as 7 Hammond Street, Clarence Park SA 5034.</w:t>
      </w:r>
    </w:p>
    <w:p w:rsidR="003E2540" w:rsidRPr="003E2540" w:rsidRDefault="003E2540" w:rsidP="003E2540">
      <w:pPr>
        <w:jc w:val="center"/>
        <w:rPr>
          <w:smallCaps/>
          <w:szCs w:val="17"/>
        </w:rPr>
      </w:pPr>
      <w:r w:rsidRPr="003E2540">
        <w:rPr>
          <w:smallCaps/>
          <w:szCs w:val="17"/>
        </w:rPr>
        <w:t>Schedule 3</w:t>
      </w:r>
    </w:p>
    <w:p w:rsidR="003E2540" w:rsidRPr="003E2540" w:rsidRDefault="003E2540" w:rsidP="003E2540">
      <w:pPr>
        <w:ind w:left="426" w:hanging="284"/>
        <w:rPr>
          <w:rFonts w:eastAsia="Times New Roman"/>
          <w:szCs w:val="17"/>
        </w:rPr>
      </w:pPr>
      <w:r w:rsidRPr="003E2540">
        <w:rPr>
          <w:rFonts w:eastAsia="Times New Roman"/>
          <w:szCs w:val="17"/>
        </w:rPr>
        <w:t>1.</w:t>
      </w:r>
      <w:r w:rsidRPr="003E2540">
        <w:rPr>
          <w:rFonts w:eastAsia="Times New Roman"/>
          <w:szCs w:val="17"/>
        </w:rPr>
        <w:tab/>
        <w:t>This exemption is limited to domestic building work personally performed by the licensee in relation to the building work described in Schedule 2.</w:t>
      </w:r>
    </w:p>
    <w:p w:rsidR="003E2540" w:rsidRPr="003E2540" w:rsidRDefault="003E2540" w:rsidP="003E2540">
      <w:pPr>
        <w:ind w:left="426" w:hanging="284"/>
        <w:rPr>
          <w:rFonts w:eastAsia="Times New Roman"/>
          <w:szCs w:val="17"/>
        </w:rPr>
      </w:pPr>
      <w:r w:rsidRPr="003E2540">
        <w:rPr>
          <w:rFonts w:eastAsia="Times New Roman"/>
          <w:szCs w:val="17"/>
        </w:rPr>
        <w:t>2.</w:t>
      </w:r>
      <w:r w:rsidRPr="003E2540">
        <w:rPr>
          <w:rFonts w:eastAsia="Times New Roman"/>
          <w:szCs w:val="17"/>
        </w:rPr>
        <w:tab/>
        <w:t>This exemption does not apply to any domestic building work the licensee contracts to another building work contractor, for which that contractor is required by law to hold building indemnity insurance.</w:t>
      </w:r>
    </w:p>
    <w:p w:rsidR="003E2540" w:rsidRPr="003E2540" w:rsidRDefault="003E2540" w:rsidP="003E2540">
      <w:pPr>
        <w:ind w:left="426" w:hanging="284"/>
        <w:rPr>
          <w:rFonts w:eastAsia="Times New Roman"/>
          <w:szCs w:val="17"/>
        </w:rPr>
      </w:pPr>
      <w:r w:rsidRPr="003E2540">
        <w:rPr>
          <w:rFonts w:eastAsia="Times New Roman"/>
          <w:szCs w:val="17"/>
        </w:rPr>
        <w:t>3.</w:t>
      </w:r>
      <w:r w:rsidRPr="003E2540">
        <w:rPr>
          <w:rFonts w:eastAsia="Times New Roman"/>
          <w:szCs w:val="17"/>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rsidR="003E2540" w:rsidRPr="003E2540" w:rsidRDefault="003E2540" w:rsidP="003E2540">
      <w:pPr>
        <w:ind w:left="714" w:hanging="289"/>
        <w:jc w:val="left"/>
        <w:rPr>
          <w:rFonts w:eastAsia="Times New Roman"/>
          <w:szCs w:val="17"/>
        </w:rPr>
      </w:pPr>
      <w:r w:rsidRPr="003E2540">
        <w:rPr>
          <w:rFonts w:eastAsia="Times New Roman"/>
          <w:szCs w:val="17"/>
        </w:rPr>
        <w:t>Providing evidence that an adequate policy of building indemnity insurance is in force to cover the balance of the five-year period from the date of completion of the building work the subject of this exemption;</w:t>
      </w:r>
    </w:p>
    <w:p w:rsidR="003E2540" w:rsidRPr="003E2540" w:rsidRDefault="003E2540" w:rsidP="003E2540">
      <w:pPr>
        <w:ind w:left="714" w:hanging="289"/>
        <w:jc w:val="left"/>
        <w:rPr>
          <w:rFonts w:eastAsia="Times New Roman"/>
          <w:szCs w:val="17"/>
        </w:rPr>
      </w:pPr>
      <w:r w:rsidRPr="003E2540">
        <w:rPr>
          <w:rFonts w:eastAsia="Times New Roman"/>
          <w:szCs w:val="17"/>
        </w:rPr>
        <w:t>Providing evidence of an independent expert inspection of the building work the subject of this exemption;</w:t>
      </w:r>
    </w:p>
    <w:p w:rsidR="003E2540" w:rsidRPr="003E2540" w:rsidRDefault="003E2540" w:rsidP="003E2540">
      <w:pPr>
        <w:ind w:left="714" w:hanging="289"/>
        <w:jc w:val="left"/>
        <w:rPr>
          <w:rFonts w:eastAsia="Times New Roman"/>
          <w:szCs w:val="17"/>
        </w:rPr>
      </w:pPr>
      <w:r w:rsidRPr="003E2540">
        <w:rPr>
          <w:rFonts w:eastAsia="Times New Roman"/>
          <w:szCs w:val="17"/>
        </w:rPr>
        <w:t>Making an independent expert report available to prospective purchasers of the property;</w:t>
      </w:r>
    </w:p>
    <w:p w:rsidR="003E2540" w:rsidRPr="003E2540" w:rsidRDefault="003E2540" w:rsidP="003E2540">
      <w:pPr>
        <w:ind w:left="714" w:hanging="289"/>
        <w:jc w:val="left"/>
        <w:rPr>
          <w:rFonts w:eastAsia="Times New Roman"/>
          <w:szCs w:val="17"/>
        </w:rPr>
      </w:pPr>
      <w:r w:rsidRPr="003E2540">
        <w:rPr>
          <w:rFonts w:eastAsia="Times New Roman"/>
          <w:szCs w:val="17"/>
        </w:rPr>
        <w:t>Giving prospective purchasers of the property notice of the absence of a policy of building indemnity insurance.</w:t>
      </w:r>
    </w:p>
    <w:p w:rsidR="003E2540" w:rsidRPr="003E2540" w:rsidRDefault="003E2540" w:rsidP="003E2540">
      <w:pPr>
        <w:spacing w:after="0"/>
        <w:rPr>
          <w:rFonts w:eastAsia="Times New Roman"/>
          <w:szCs w:val="17"/>
        </w:rPr>
      </w:pPr>
      <w:r w:rsidRPr="003E2540">
        <w:rPr>
          <w:rFonts w:eastAsia="Times New Roman"/>
          <w:szCs w:val="17"/>
        </w:rPr>
        <w:t>Dated: 17 July 2020</w:t>
      </w:r>
    </w:p>
    <w:p w:rsidR="003E2540" w:rsidRPr="003E2540" w:rsidRDefault="003E2540" w:rsidP="003E2540">
      <w:pPr>
        <w:spacing w:after="0"/>
        <w:jc w:val="right"/>
        <w:rPr>
          <w:rFonts w:eastAsia="Times New Roman"/>
          <w:smallCaps/>
          <w:szCs w:val="20"/>
        </w:rPr>
      </w:pPr>
      <w:r w:rsidRPr="003E2540">
        <w:rPr>
          <w:rFonts w:eastAsia="Times New Roman"/>
          <w:smallCaps/>
          <w:szCs w:val="20"/>
        </w:rPr>
        <w:t>John Doran</w:t>
      </w:r>
    </w:p>
    <w:p w:rsidR="003E2540" w:rsidRPr="003E2540" w:rsidRDefault="003E2540" w:rsidP="003E2540">
      <w:pPr>
        <w:spacing w:after="0"/>
        <w:jc w:val="right"/>
        <w:rPr>
          <w:rFonts w:eastAsia="Times New Roman"/>
          <w:szCs w:val="17"/>
        </w:rPr>
      </w:pPr>
      <w:r w:rsidRPr="003E2540">
        <w:rPr>
          <w:rFonts w:eastAsia="Times New Roman"/>
          <w:szCs w:val="17"/>
        </w:rPr>
        <w:t>General Manager, Licensing</w:t>
      </w:r>
    </w:p>
    <w:p w:rsidR="002D3BBC" w:rsidRDefault="003E2540" w:rsidP="002D3BBC">
      <w:pPr>
        <w:spacing w:after="0"/>
        <w:jc w:val="right"/>
        <w:rPr>
          <w:rFonts w:eastAsia="Times New Roman"/>
          <w:szCs w:val="17"/>
        </w:rPr>
      </w:pPr>
      <w:r w:rsidRPr="003E2540">
        <w:rPr>
          <w:rFonts w:eastAsia="Times New Roman"/>
          <w:szCs w:val="17"/>
        </w:rPr>
        <w:t>Delegate for the Attorney-General</w:t>
      </w:r>
    </w:p>
    <w:p w:rsidR="002D3BBC" w:rsidRDefault="002D3BBC" w:rsidP="002D3BBC">
      <w:pPr>
        <w:pBdr>
          <w:bottom w:val="single" w:sz="4" w:space="1" w:color="auto"/>
        </w:pBdr>
        <w:spacing w:after="0" w:line="52" w:lineRule="exact"/>
        <w:jc w:val="center"/>
        <w:rPr>
          <w:lang w:val="en-US"/>
        </w:rPr>
      </w:pPr>
    </w:p>
    <w:p w:rsidR="002D3BBC" w:rsidRDefault="002D3BBC" w:rsidP="002D3BBC">
      <w:pPr>
        <w:pBdr>
          <w:top w:val="single" w:sz="4" w:space="1" w:color="auto"/>
        </w:pBdr>
        <w:spacing w:before="34" w:after="0" w:line="14" w:lineRule="exact"/>
        <w:jc w:val="center"/>
        <w:rPr>
          <w:lang w:val="en-US"/>
        </w:rPr>
      </w:pPr>
    </w:p>
    <w:p w:rsidR="002D3BBC" w:rsidRDefault="002D3BBC" w:rsidP="002D3B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5C1599" w:rsidRDefault="005C1599">
      <w:pPr>
        <w:spacing w:after="0" w:line="240" w:lineRule="auto"/>
        <w:jc w:val="left"/>
        <w:rPr>
          <w:lang w:val="en-US"/>
        </w:rPr>
      </w:pPr>
      <w:r>
        <w:rPr>
          <w:lang w:val="en-US"/>
        </w:rPr>
        <w:br w:type="page"/>
      </w:r>
    </w:p>
    <w:p w:rsidR="008F0C0C" w:rsidRPr="008F0C0C" w:rsidRDefault="00D31700" w:rsidP="00D31700">
      <w:pPr>
        <w:pStyle w:val="Heading2"/>
      </w:pPr>
      <w:bookmarkStart w:id="753" w:name="_Toc46398095"/>
      <w:r w:rsidRPr="008F0C0C">
        <w:t>Geographical Names Act 1991</w:t>
      </w:r>
      <w:bookmarkEnd w:id="753"/>
    </w:p>
    <w:p w:rsidR="008F0C0C" w:rsidRPr="008F0C0C" w:rsidRDefault="008F0C0C" w:rsidP="008F0C0C">
      <w:pPr>
        <w:jc w:val="center"/>
        <w:rPr>
          <w:i/>
          <w:szCs w:val="17"/>
        </w:rPr>
      </w:pPr>
      <w:r w:rsidRPr="008F0C0C">
        <w:rPr>
          <w:i/>
          <w:szCs w:val="17"/>
        </w:rPr>
        <w:t>Notice to Alter Boundaries of a Place</w:t>
      </w:r>
    </w:p>
    <w:p w:rsidR="008F0C0C" w:rsidRPr="008F0C0C" w:rsidRDefault="008F0C0C" w:rsidP="008F0C0C">
      <w:pPr>
        <w:rPr>
          <w:rFonts w:eastAsia="Times New Roman"/>
          <w:szCs w:val="17"/>
        </w:rPr>
      </w:pPr>
      <w:r w:rsidRPr="008F0C0C">
        <w:rPr>
          <w:rFonts w:eastAsia="Times New Roman"/>
          <w:szCs w:val="17"/>
        </w:rPr>
        <w:t xml:space="preserve">NOTICE is hereby given pursuant to Section 11B of the </w:t>
      </w:r>
      <w:r w:rsidRPr="008F0C0C">
        <w:rPr>
          <w:rFonts w:eastAsia="Times New Roman"/>
          <w:i/>
          <w:szCs w:val="17"/>
        </w:rPr>
        <w:t>Geographical Names Act 1991</w:t>
      </w:r>
      <w:r w:rsidRPr="008F0C0C">
        <w:rPr>
          <w:rFonts w:eastAsia="Times New Roman"/>
          <w:szCs w:val="17"/>
        </w:rPr>
        <w:t xml:space="preserve">, that I, MICHAEL BURDETT, Surveyor-General and Delegate appointed by the Honourable Stephan Knoll, Minister for Transport, Infrastructure and Local Government, Minister of the Crown to whom the administration of the </w:t>
      </w:r>
      <w:r w:rsidRPr="008F0C0C">
        <w:rPr>
          <w:rFonts w:eastAsia="Times New Roman"/>
          <w:i/>
          <w:szCs w:val="17"/>
        </w:rPr>
        <w:t>Geographical Names Act 1991</w:t>
      </w:r>
      <w:r w:rsidRPr="008F0C0C">
        <w:rPr>
          <w:rFonts w:eastAsia="Times New Roman"/>
          <w:szCs w:val="17"/>
        </w:rPr>
        <w:t xml:space="preserve"> is committed, DO HEREBY:</w:t>
      </w:r>
    </w:p>
    <w:p w:rsidR="008F0C0C" w:rsidRPr="008F0C0C" w:rsidRDefault="008F0C0C" w:rsidP="008F0C0C">
      <w:pPr>
        <w:ind w:left="142"/>
        <w:rPr>
          <w:rFonts w:eastAsia="Times New Roman"/>
          <w:szCs w:val="17"/>
        </w:rPr>
      </w:pPr>
      <w:r w:rsidRPr="008F0C0C">
        <w:rPr>
          <w:rFonts w:eastAsia="Times New Roman"/>
          <w:szCs w:val="17"/>
        </w:rPr>
        <w:t xml:space="preserve">Alter the locality boundary between Saltia and Woolundunga to exclude from the bounded locality of </w:t>
      </w:r>
      <w:r w:rsidRPr="008F0C0C">
        <w:rPr>
          <w:rFonts w:eastAsia="Times New Roman"/>
          <w:b/>
          <w:szCs w:val="17"/>
        </w:rPr>
        <w:t>SALTIA</w:t>
      </w:r>
      <w:r w:rsidRPr="008F0C0C">
        <w:rPr>
          <w:rFonts w:eastAsia="Times New Roman"/>
          <w:szCs w:val="17"/>
        </w:rPr>
        <w:t xml:space="preserve"> that area marked (A) shown highlighted in green and include in the locality of </w:t>
      </w:r>
      <w:r w:rsidRPr="008F0C0C">
        <w:rPr>
          <w:rFonts w:eastAsia="Times New Roman"/>
          <w:b/>
          <w:szCs w:val="17"/>
        </w:rPr>
        <w:t>WOOLUNDUNGA</w:t>
      </w:r>
      <w:r w:rsidRPr="008F0C0C">
        <w:rPr>
          <w:rFonts w:eastAsia="Times New Roman"/>
          <w:szCs w:val="17"/>
        </w:rPr>
        <w:t xml:space="preserve"> marked (B).</w:t>
      </w:r>
    </w:p>
    <w:p w:rsidR="008F0C0C" w:rsidRPr="008F0C0C" w:rsidRDefault="008F0C0C" w:rsidP="008F0C0C">
      <w:pPr>
        <w:jc w:val="left"/>
        <w:rPr>
          <w:rFonts w:eastAsia="Times New Roman"/>
          <w:szCs w:val="17"/>
        </w:rPr>
      </w:pPr>
      <w:r w:rsidRPr="008F0C0C">
        <w:rPr>
          <w:rFonts w:eastAsia="Times New Roman"/>
          <w:szCs w:val="17"/>
        </w:rPr>
        <w:t>A copy of the plan showing the extent of the altered boundary can be viewed on the Land Boundaries website at:</w:t>
      </w:r>
    </w:p>
    <w:p w:rsidR="008F0C0C" w:rsidRPr="008F0C0C" w:rsidRDefault="00123FDA" w:rsidP="008F0C0C">
      <w:pPr>
        <w:spacing w:after="120"/>
        <w:ind w:left="142"/>
        <w:jc w:val="left"/>
        <w:rPr>
          <w:rFonts w:eastAsia="Times New Roman"/>
          <w:szCs w:val="17"/>
        </w:rPr>
      </w:pPr>
      <w:hyperlink r:id="rId81" w:history="1">
        <w:r w:rsidR="008F0C0C" w:rsidRPr="008F0C0C">
          <w:rPr>
            <w:rFonts w:eastAsia="Times New Roman"/>
            <w:color w:val="0000FF"/>
            <w:szCs w:val="17"/>
            <w:u w:val="single"/>
          </w:rPr>
          <w:t>www.sa.gov.au/placenameproposals</w:t>
        </w:r>
      </w:hyperlink>
    </w:p>
    <w:p w:rsidR="008F0C0C" w:rsidRPr="008F0C0C" w:rsidRDefault="008F0C0C" w:rsidP="008F0C0C">
      <w:pPr>
        <w:spacing w:after="0"/>
        <w:rPr>
          <w:rFonts w:eastAsia="Times New Roman"/>
          <w:szCs w:val="17"/>
        </w:rPr>
      </w:pPr>
      <w:r w:rsidRPr="008F0C0C">
        <w:rPr>
          <w:rFonts w:eastAsia="Times New Roman"/>
          <w:szCs w:val="17"/>
        </w:rPr>
        <w:t>Dated: 23 July 2020</w:t>
      </w:r>
    </w:p>
    <w:p w:rsidR="008F0C0C" w:rsidRPr="008F0C0C" w:rsidRDefault="008F0C0C" w:rsidP="008F0C0C">
      <w:pPr>
        <w:spacing w:after="0"/>
        <w:jc w:val="right"/>
        <w:rPr>
          <w:rFonts w:eastAsia="Times New Roman"/>
          <w:smallCaps/>
          <w:szCs w:val="20"/>
        </w:rPr>
      </w:pPr>
      <w:r w:rsidRPr="008F0C0C">
        <w:rPr>
          <w:rFonts w:eastAsia="Times New Roman"/>
          <w:smallCaps/>
          <w:szCs w:val="20"/>
        </w:rPr>
        <w:t>Michael Burdett</w:t>
      </w:r>
    </w:p>
    <w:p w:rsidR="008F0C0C" w:rsidRPr="008F0C0C" w:rsidRDefault="008F0C0C" w:rsidP="008F0C0C">
      <w:pPr>
        <w:spacing w:after="0"/>
        <w:jc w:val="right"/>
        <w:rPr>
          <w:rFonts w:eastAsia="Times New Roman"/>
          <w:szCs w:val="17"/>
        </w:rPr>
      </w:pPr>
      <w:r w:rsidRPr="008F0C0C">
        <w:rPr>
          <w:rFonts w:eastAsia="Times New Roman"/>
          <w:szCs w:val="17"/>
        </w:rPr>
        <w:t>Surveyor-General</w:t>
      </w:r>
    </w:p>
    <w:p w:rsidR="008F0C0C" w:rsidRPr="008F0C0C" w:rsidRDefault="008F0C0C" w:rsidP="008F0C0C">
      <w:pPr>
        <w:spacing w:after="0"/>
        <w:jc w:val="right"/>
        <w:rPr>
          <w:rFonts w:eastAsia="Times New Roman"/>
          <w:szCs w:val="17"/>
        </w:rPr>
      </w:pPr>
      <w:r w:rsidRPr="008F0C0C">
        <w:rPr>
          <w:rFonts w:eastAsia="Times New Roman"/>
          <w:szCs w:val="17"/>
        </w:rPr>
        <w:t>Department of Planning, Transport and Infrastructure</w:t>
      </w:r>
    </w:p>
    <w:p w:rsidR="008F0C0C" w:rsidRPr="008F0C0C" w:rsidRDefault="008F0C0C" w:rsidP="008F0C0C">
      <w:pPr>
        <w:spacing w:after="0" w:line="240" w:lineRule="auto"/>
        <w:jc w:val="left"/>
        <w:rPr>
          <w:rFonts w:eastAsia="Times New Roman"/>
          <w:szCs w:val="17"/>
        </w:rPr>
      </w:pPr>
      <w:r w:rsidRPr="008F0C0C">
        <w:rPr>
          <w:rFonts w:eastAsia="Times New Roman"/>
          <w:szCs w:val="17"/>
        </w:rPr>
        <w:t>DPTI: 2020/04319/01</w:t>
      </w:r>
    </w:p>
    <w:p w:rsidR="008F0C0C" w:rsidRPr="008F0C0C" w:rsidRDefault="008F0C0C" w:rsidP="008F0C0C">
      <w:pPr>
        <w:pBdr>
          <w:top w:val="single" w:sz="4" w:space="1" w:color="auto"/>
        </w:pBdr>
        <w:spacing w:before="100" w:after="0" w:line="14" w:lineRule="exact"/>
        <w:jc w:val="center"/>
        <w:rPr>
          <w:rFonts w:eastAsia="Times New Roman"/>
          <w:szCs w:val="17"/>
        </w:rPr>
      </w:pPr>
    </w:p>
    <w:p w:rsidR="005C1599" w:rsidRDefault="005C1599" w:rsidP="008F0C0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8F0C0C" w:rsidRPr="008F0C0C" w:rsidRDefault="008F0C0C" w:rsidP="008F0C0C">
      <w:pPr>
        <w:jc w:val="center"/>
        <w:rPr>
          <w:caps/>
          <w:szCs w:val="17"/>
        </w:rPr>
      </w:pPr>
      <w:r w:rsidRPr="008F0C0C">
        <w:rPr>
          <w:caps/>
          <w:szCs w:val="17"/>
        </w:rPr>
        <w:t>Geographical Names Act 1991</w:t>
      </w:r>
    </w:p>
    <w:p w:rsidR="008F0C0C" w:rsidRPr="008F0C0C" w:rsidRDefault="008F0C0C" w:rsidP="008F0C0C">
      <w:pPr>
        <w:jc w:val="center"/>
        <w:rPr>
          <w:i/>
          <w:szCs w:val="17"/>
        </w:rPr>
      </w:pPr>
      <w:r w:rsidRPr="008F0C0C">
        <w:rPr>
          <w:i/>
          <w:szCs w:val="17"/>
        </w:rPr>
        <w:t>Notice to Alter the Boundaries of a Place and Assign a Name to a Place</w:t>
      </w:r>
    </w:p>
    <w:p w:rsidR="008F0C0C" w:rsidRPr="008F0C0C" w:rsidRDefault="008F0C0C" w:rsidP="008F0C0C">
      <w:pPr>
        <w:rPr>
          <w:rFonts w:eastAsia="Times New Roman"/>
          <w:szCs w:val="17"/>
        </w:rPr>
      </w:pPr>
      <w:r w:rsidRPr="008F0C0C">
        <w:rPr>
          <w:rFonts w:eastAsia="Times New Roman"/>
          <w:szCs w:val="17"/>
        </w:rPr>
        <w:t xml:space="preserve">NOTICE is hereby given pursuant to Section 11B of the </w:t>
      </w:r>
      <w:r w:rsidRPr="008F0C0C">
        <w:rPr>
          <w:rFonts w:eastAsia="Times New Roman"/>
          <w:i/>
          <w:szCs w:val="17"/>
        </w:rPr>
        <w:t>Geographical Names Act 1991</w:t>
      </w:r>
      <w:r w:rsidRPr="008F0C0C">
        <w:rPr>
          <w:rFonts w:eastAsia="Times New Roman"/>
          <w:szCs w:val="17"/>
        </w:rPr>
        <w:t xml:space="preserve">, that I, MICHAEL BURDETT, Surveyor-General and Delegate appointed by the Honourable Stephan Knoll, Minister for Transport, Infrastructure and Local Government, Minister of the Crown to whom the administration of the </w:t>
      </w:r>
      <w:r w:rsidRPr="008F0C0C">
        <w:rPr>
          <w:rFonts w:eastAsia="Times New Roman"/>
          <w:i/>
          <w:szCs w:val="17"/>
        </w:rPr>
        <w:t>Geographical Names Act 1991</w:t>
      </w:r>
      <w:r w:rsidRPr="008F0C0C">
        <w:rPr>
          <w:rFonts w:eastAsia="Times New Roman"/>
          <w:szCs w:val="17"/>
        </w:rPr>
        <w:t xml:space="preserve"> is committed, DO HEREBY:</w:t>
      </w:r>
    </w:p>
    <w:p w:rsidR="008F0C0C" w:rsidRPr="008F0C0C" w:rsidRDefault="008F0C0C" w:rsidP="004A192B">
      <w:pPr>
        <w:numPr>
          <w:ilvl w:val="0"/>
          <w:numId w:val="5"/>
        </w:numPr>
        <w:ind w:left="567"/>
        <w:rPr>
          <w:rFonts w:eastAsia="Times New Roman"/>
          <w:szCs w:val="17"/>
        </w:rPr>
      </w:pPr>
      <w:r w:rsidRPr="008F0C0C">
        <w:rPr>
          <w:rFonts w:eastAsia="Times New Roman"/>
          <w:szCs w:val="17"/>
        </w:rPr>
        <w:t xml:space="preserve">Exclude from the locality of </w:t>
      </w:r>
      <w:r w:rsidRPr="008F0C0C">
        <w:rPr>
          <w:rFonts w:eastAsia="Times New Roman"/>
          <w:b/>
          <w:szCs w:val="17"/>
        </w:rPr>
        <w:t>MULYUNGARIE</w:t>
      </w:r>
      <w:r w:rsidRPr="008F0C0C">
        <w:rPr>
          <w:rFonts w:eastAsia="Times New Roman"/>
          <w:szCs w:val="17"/>
        </w:rPr>
        <w:t xml:space="preserve"> that area marked (A) shown highlighted in green on the plan.</w:t>
      </w:r>
    </w:p>
    <w:p w:rsidR="008F0C0C" w:rsidRPr="008F0C0C" w:rsidRDefault="008F0C0C" w:rsidP="004A192B">
      <w:pPr>
        <w:numPr>
          <w:ilvl w:val="0"/>
          <w:numId w:val="5"/>
        </w:numPr>
        <w:ind w:left="567"/>
        <w:rPr>
          <w:rFonts w:eastAsia="Times New Roman"/>
          <w:szCs w:val="17"/>
        </w:rPr>
      </w:pPr>
      <w:r w:rsidRPr="008F0C0C">
        <w:rPr>
          <w:rFonts w:eastAsia="Times New Roman"/>
          <w:szCs w:val="17"/>
        </w:rPr>
        <w:t xml:space="preserve">Assign the name </w:t>
      </w:r>
      <w:r w:rsidRPr="008F0C0C">
        <w:rPr>
          <w:rFonts w:eastAsia="Times New Roman"/>
          <w:b/>
          <w:szCs w:val="17"/>
        </w:rPr>
        <w:t>BILLEROO WEST</w:t>
      </w:r>
      <w:r w:rsidRPr="008F0C0C">
        <w:rPr>
          <w:rFonts w:eastAsia="Times New Roman"/>
          <w:szCs w:val="17"/>
        </w:rPr>
        <w:t xml:space="preserve"> to that area marked (A).</w:t>
      </w:r>
    </w:p>
    <w:p w:rsidR="008F0C0C" w:rsidRPr="008F0C0C" w:rsidRDefault="008F0C0C" w:rsidP="008F0C0C">
      <w:pPr>
        <w:jc w:val="left"/>
        <w:rPr>
          <w:rFonts w:eastAsia="Times New Roman"/>
          <w:szCs w:val="17"/>
        </w:rPr>
      </w:pPr>
      <w:r w:rsidRPr="008F0C0C">
        <w:rPr>
          <w:rFonts w:eastAsia="Times New Roman"/>
          <w:szCs w:val="17"/>
        </w:rPr>
        <w:t>A copy of the plan showing the extent of the altered boundary and place naming can be viewed on the Land Services website at:</w:t>
      </w:r>
    </w:p>
    <w:p w:rsidR="008F0C0C" w:rsidRPr="008F0C0C" w:rsidRDefault="00123FDA" w:rsidP="008F0C0C">
      <w:pPr>
        <w:spacing w:after="120"/>
        <w:ind w:left="142"/>
        <w:jc w:val="left"/>
        <w:rPr>
          <w:rFonts w:eastAsia="Times New Roman"/>
          <w:szCs w:val="17"/>
        </w:rPr>
      </w:pPr>
      <w:hyperlink r:id="rId82" w:history="1">
        <w:r w:rsidR="008F0C0C" w:rsidRPr="008F0C0C">
          <w:rPr>
            <w:rFonts w:eastAsia="Times New Roman"/>
            <w:color w:val="0000FF"/>
            <w:szCs w:val="17"/>
            <w:u w:val="single"/>
          </w:rPr>
          <w:t>www.sa.gov.au/placenameproposals</w:t>
        </w:r>
      </w:hyperlink>
    </w:p>
    <w:p w:rsidR="008F0C0C" w:rsidRPr="008F0C0C" w:rsidRDefault="008F0C0C" w:rsidP="008F0C0C">
      <w:pPr>
        <w:spacing w:after="0"/>
        <w:rPr>
          <w:rFonts w:eastAsia="Times New Roman"/>
          <w:szCs w:val="17"/>
        </w:rPr>
      </w:pPr>
      <w:r w:rsidRPr="008F0C0C">
        <w:rPr>
          <w:rFonts w:eastAsia="Times New Roman"/>
          <w:szCs w:val="17"/>
        </w:rPr>
        <w:t>Dated: 23 July 2020</w:t>
      </w:r>
    </w:p>
    <w:p w:rsidR="008F0C0C" w:rsidRPr="008F0C0C" w:rsidRDefault="008F0C0C" w:rsidP="008F0C0C">
      <w:pPr>
        <w:spacing w:after="0"/>
        <w:jc w:val="right"/>
        <w:rPr>
          <w:rFonts w:eastAsia="Times New Roman"/>
          <w:smallCaps/>
          <w:szCs w:val="20"/>
        </w:rPr>
      </w:pPr>
      <w:r w:rsidRPr="008F0C0C">
        <w:rPr>
          <w:rFonts w:eastAsia="Times New Roman"/>
          <w:smallCaps/>
          <w:szCs w:val="20"/>
        </w:rPr>
        <w:t>Michael Burdett</w:t>
      </w:r>
    </w:p>
    <w:p w:rsidR="008F0C0C" w:rsidRPr="008F0C0C" w:rsidRDefault="008F0C0C" w:rsidP="008F0C0C">
      <w:pPr>
        <w:spacing w:after="0"/>
        <w:jc w:val="right"/>
        <w:rPr>
          <w:rFonts w:eastAsia="Times New Roman"/>
          <w:szCs w:val="17"/>
        </w:rPr>
      </w:pPr>
      <w:r w:rsidRPr="008F0C0C">
        <w:rPr>
          <w:rFonts w:eastAsia="Times New Roman"/>
          <w:szCs w:val="17"/>
        </w:rPr>
        <w:t>Surveyor-General</w:t>
      </w:r>
    </w:p>
    <w:p w:rsidR="008F0C0C" w:rsidRPr="008F0C0C" w:rsidRDefault="008F0C0C" w:rsidP="008F0C0C">
      <w:pPr>
        <w:spacing w:after="0"/>
        <w:jc w:val="right"/>
        <w:rPr>
          <w:rFonts w:eastAsia="Times New Roman"/>
          <w:szCs w:val="17"/>
        </w:rPr>
      </w:pPr>
      <w:r w:rsidRPr="008F0C0C">
        <w:rPr>
          <w:rFonts w:eastAsia="Times New Roman"/>
          <w:szCs w:val="17"/>
        </w:rPr>
        <w:t>Department of Planning, Transport and Infrastructure</w:t>
      </w:r>
    </w:p>
    <w:p w:rsidR="008F0C0C" w:rsidRDefault="008F0C0C" w:rsidP="008F0C0C">
      <w:pPr>
        <w:spacing w:after="0" w:line="240" w:lineRule="auto"/>
        <w:jc w:val="left"/>
        <w:rPr>
          <w:rFonts w:eastAsia="Times New Roman"/>
          <w:szCs w:val="17"/>
        </w:rPr>
      </w:pPr>
      <w:r w:rsidRPr="008F0C0C">
        <w:rPr>
          <w:rFonts w:eastAsia="Times New Roman"/>
          <w:szCs w:val="17"/>
        </w:rPr>
        <w:t>DPTI: 2020/11005/01</w:t>
      </w:r>
    </w:p>
    <w:p w:rsidR="008F0C0C" w:rsidRDefault="008F0C0C" w:rsidP="008F0C0C">
      <w:pPr>
        <w:pBdr>
          <w:bottom w:val="single" w:sz="4" w:space="1" w:color="auto"/>
        </w:pBdr>
        <w:spacing w:after="0" w:line="52" w:lineRule="exact"/>
        <w:jc w:val="center"/>
        <w:rPr>
          <w:lang w:val="en-US"/>
        </w:rPr>
      </w:pPr>
    </w:p>
    <w:p w:rsidR="008F0C0C" w:rsidRDefault="008F0C0C" w:rsidP="008F0C0C">
      <w:pPr>
        <w:pBdr>
          <w:top w:val="single" w:sz="4" w:space="1" w:color="auto"/>
        </w:pBdr>
        <w:spacing w:before="34" w:after="0" w:line="14" w:lineRule="exact"/>
        <w:jc w:val="center"/>
        <w:rPr>
          <w:lang w:val="en-US"/>
        </w:rPr>
      </w:pPr>
    </w:p>
    <w:p w:rsidR="008F0C0C" w:rsidRDefault="008F0C0C" w:rsidP="00895B8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895B87" w:rsidRPr="00895B87" w:rsidRDefault="00D31700" w:rsidP="00D31700">
      <w:pPr>
        <w:pStyle w:val="Heading2"/>
      </w:pPr>
      <w:bookmarkStart w:id="754" w:name="_Toc46398096"/>
      <w:r w:rsidRPr="00895B87">
        <w:t>Land Acquisition Act 1969</w:t>
      </w:r>
      <w:bookmarkEnd w:id="754"/>
    </w:p>
    <w:p w:rsidR="00895B87" w:rsidRPr="00895B87" w:rsidRDefault="00895B87" w:rsidP="00895B87">
      <w:pPr>
        <w:jc w:val="center"/>
        <w:rPr>
          <w:smallCaps/>
          <w:szCs w:val="17"/>
        </w:rPr>
      </w:pPr>
      <w:r w:rsidRPr="00895B87">
        <w:rPr>
          <w:smallCaps/>
          <w:szCs w:val="17"/>
        </w:rPr>
        <w:t>(Section 16)</w:t>
      </w:r>
    </w:p>
    <w:p w:rsidR="00895B87" w:rsidRPr="00895B87" w:rsidRDefault="00895B87" w:rsidP="00895B87">
      <w:pPr>
        <w:jc w:val="center"/>
        <w:rPr>
          <w:i/>
          <w:szCs w:val="17"/>
        </w:rPr>
      </w:pPr>
      <w:r w:rsidRPr="00895B87">
        <w:rPr>
          <w:i/>
          <w:szCs w:val="17"/>
        </w:rPr>
        <w:t>Notice of Acquisition</w:t>
      </w:r>
    </w:p>
    <w:p w:rsidR="00895B87" w:rsidRPr="00895B87" w:rsidRDefault="00895B87" w:rsidP="00895B87">
      <w:pPr>
        <w:ind w:left="284" w:hanging="284"/>
        <w:rPr>
          <w:rFonts w:eastAsia="Times New Roman"/>
          <w:b/>
          <w:szCs w:val="17"/>
        </w:rPr>
      </w:pPr>
      <w:r w:rsidRPr="00895B87">
        <w:rPr>
          <w:rFonts w:eastAsia="Times New Roman"/>
          <w:b/>
          <w:szCs w:val="17"/>
        </w:rPr>
        <w:t>1.</w:t>
      </w:r>
      <w:r w:rsidRPr="00895B87">
        <w:rPr>
          <w:rFonts w:eastAsia="Times New Roman"/>
          <w:b/>
          <w:szCs w:val="17"/>
        </w:rPr>
        <w:tab/>
        <w:t>Notice of acquisition</w:t>
      </w:r>
    </w:p>
    <w:p w:rsidR="00895B87" w:rsidRPr="00895B87" w:rsidRDefault="00895B87" w:rsidP="00895B87">
      <w:pPr>
        <w:ind w:left="284"/>
        <w:rPr>
          <w:rFonts w:eastAsia="Times New Roman"/>
          <w:szCs w:val="17"/>
        </w:rPr>
      </w:pPr>
      <w:r w:rsidRPr="00895B87">
        <w:rPr>
          <w:rFonts w:eastAsia="Times New Roman"/>
          <w:szCs w:val="17"/>
        </w:rPr>
        <w:t>The Commissioner of Highways (the Authority), of 50 Flinders Street, Adelaide SA 5000, acquires the following interests in the following land:</w:t>
      </w:r>
    </w:p>
    <w:p w:rsidR="00895B87" w:rsidRPr="00895B87" w:rsidRDefault="00895B87" w:rsidP="00895B87">
      <w:pPr>
        <w:ind w:left="426"/>
        <w:rPr>
          <w:rFonts w:eastAsia="Times New Roman"/>
          <w:szCs w:val="17"/>
        </w:rPr>
      </w:pPr>
      <w:r w:rsidRPr="00895B87">
        <w:rPr>
          <w:rFonts w:eastAsia="Times New Roman"/>
          <w:szCs w:val="17"/>
        </w:rPr>
        <w:t>Comprising an unencumbered estate in fee simple in the whole of that piece of land numbered Allotment “54” in the plan numbered D122932 lodged in the Lands Titles Office, being portion of the land comprised in Certificates of Title Volume 6154 Folio 545 and Volume 6178 Folio 891, expressly excluding the easement over the land marked “B” on DP 80256 (RE 6260006).</w:t>
      </w:r>
    </w:p>
    <w:p w:rsidR="00895B87" w:rsidRPr="00895B87" w:rsidRDefault="00895B87" w:rsidP="00895B87">
      <w:pPr>
        <w:ind w:left="284"/>
        <w:rPr>
          <w:rFonts w:eastAsia="Times New Roman"/>
          <w:szCs w:val="17"/>
        </w:rPr>
      </w:pPr>
      <w:r w:rsidRPr="00895B87">
        <w:rPr>
          <w:rFonts w:eastAsia="Times New Roman"/>
          <w:szCs w:val="17"/>
        </w:rPr>
        <w:t xml:space="preserve">This notice is given under section 16 of the </w:t>
      </w:r>
      <w:r w:rsidRPr="00895B87">
        <w:rPr>
          <w:rFonts w:eastAsia="Times New Roman"/>
          <w:i/>
          <w:szCs w:val="17"/>
        </w:rPr>
        <w:t>Land Acquisition Act 1969</w:t>
      </w:r>
      <w:r w:rsidRPr="00895B87">
        <w:rPr>
          <w:rFonts w:eastAsia="Times New Roman"/>
          <w:szCs w:val="17"/>
        </w:rPr>
        <w:t>.</w:t>
      </w:r>
    </w:p>
    <w:p w:rsidR="00895B87" w:rsidRPr="00895B87" w:rsidRDefault="00895B87" w:rsidP="00895B87">
      <w:pPr>
        <w:ind w:left="284" w:hanging="284"/>
        <w:rPr>
          <w:rFonts w:eastAsia="Times New Roman"/>
          <w:b/>
          <w:szCs w:val="17"/>
        </w:rPr>
      </w:pPr>
      <w:r w:rsidRPr="00895B87">
        <w:rPr>
          <w:rFonts w:eastAsia="Times New Roman"/>
          <w:b/>
          <w:szCs w:val="17"/>
        </w:rPr>
        <w:t>2.</w:t>
      </w:r>
      <w:r w:rsidRPr="00895B87">
        <w:rPr>
          <w:rFonts w:eastAsia="Times New Roman"/>
          <w:b/>
          <w:szCs w:val="17"/>
        </w:rPr>
        <w:tab/>
        <w:t>Compensation</w:t>
      </w:r>
    </w:p>
    <w:p w:rsidR="00895B87" w:rsidRPr="00895B87" w:rsidRDefault="00895B87" w:rsidP="00895B87">
      <w:pPr>
        <w:ind w:left="284"/>
        <w:rPr>
          <w:rFonts w:eastAsia="Times New Roman"/>
          <w:szCs w:val="17"/>
        </w:rPr>
      </w:pPr>
      <w:r w:rsidRPr="00895B87">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895B87" w:rsidRPr="00895B87" w:rsidRDefault="00895B87" w:rsidP="00895B87">
      <w:pPr>
        <w:ind w:left="284" w:hanging="284"/>
        <w:rPr>
          <w:rFonts w:eastAsia="Times New Roman"/>
          <w:b/>
          <w:szCs w:val="17"/>
        </w:rPr>
      </w:pPr>
      <w:r w:rsidRPr="00895B87">
        <w:rPr>
          <w:rFonts w:eastAsia="Times New Roman"/>
          <w:b/>
          <w:szCs w:val="17"/>
        </w:rPr>
        <w:t>2A.</w:t>
      </w:r>
      <w:r w:rsidRPr="00895B87">
        <w:rPr>
          <w:rFonts w:eastAsia="Times New Roman"/>
          <w:b/>
          <w:szCs w:val="17"/>
        </w:rPr>
        <w:tab/>
        <w:t>Payment of professional costs relating to acquisition (section 26B)</w:t>
      </w:r>
    </w:p>
    <w:p w:rsidR="00895B87" w:rsidRPr="00895B87" w:rsidRDefault="00895B87" w:rsidP="00895B87">
      <w:pPr>
        <w:ind w:left="284"/>
        <w:rPr>
          <w:rFonts w:eastAsia="Times New Roman"/>
          <w:szCs w:val="17"/>
        </w:rPr>
      </w:pPr>
      <w:r w:rsidRPr="00895B87">
        <w:rPr>
          <w:rFonts w:eastAsia="Times New Roman"/>
          <w:szCs w:val="17"/>
        </w:rPr>
        <w:t>If you are the owner in fee simple of the land to which this notice relates, you may be entitled to a payment of $10 000 from the Authority for use towards the payment of professional costs in relation to the acquisition of the land.</w:t>
      </w:r>
    </w:p>
    <w:p w:rsidR="00895B87" w:rsidRPr="00895B87" w:rsidRDefault="00895B87" w:rsidP="00895B87">
      <w:pPr>
        <w:ind w:left="284"/>
        <w:rPr>
          <w:rFonts w:eastAsia="Times New Roman"/>
          <w:szCs w:val="17"/>
        </w:rPr>
      </w:pPr>
      <w:r w:rsidRPr="00895B87">
        <w:rPr>
          <w:rFonts w:eastAsia="Times New Roman"/>
          <w:szCs w:val="17"/>
        </w:rPr>
        <w:t xml:space="preserve">Professional costs include legal costs, valuation costs and any other costs prescribed by the </w:t>
      </w:r>
      <w:r w:rsidRPr="00895B87">
        <w:rPr>
          <w:rFonts w:eastAsia="Times New Roman"/>
          <w:i/>
          <w:szCs w:val="17"/>
        </w:rPr>
        <w:t>Land Acquisition Regulations 2019</w:t>
      </w:r>
      <w:r w:rsidRPr="00895B87">
        <w:rPr>
          <w:rFonts w:eastAsia="Times New Roman"/>
          <w:szCs w:val="17"/>
        </w:rPr>
        <w:t>.</w:t>
      </w:r>
    </w:p>
    <w:p w:rsidR="00895B87" w:rsidRPr="00895B87" w:rsidRDefault="00895B87" w:rsidP="00895B87">
      <w:pPr>
        <w:ind w:left="284" w:hanging="284"/>
        <w:rPr>
          <w:rFonts w:eastAsia="Times New Roman"/>
          <w:b/>
          <w:szCs w:val="17"/>
        </w:rPr>
      </w:pPr>
      <w:r w:rsidRPr="00895B87">
        <w:rPr>
          <w:rFonts w:eastAsia="Times New Roman"/>
          <w:b/>
          <w:szCs w:val="17"/>
        </w:rPr>
        <w:t>3.</w:t>
      </w:r>
      <w:r w:rsidRPr="00895B87">
        <w:rPr>
          <w:rFonts w:eastAsia="Times New Roman"/>
          <w:b/>
          <w:szCs w:val="17"/>
        </w:rPr>
        <w:tab/>
        <w:t>Inquiries</w:t>
      </w:r>
    </w:p>
    <w:p w:rsidR="00895B87" w:rsidRPr="00895B87" w:rsidRDefault="00895B87" w:rsidP="00895B87">
      <w:pPr>
        <w:ind w:left="284"/>
        <w:rPr>
          <w:rFonts w:eastAsia="Times New Roman"/>
          <w:szCs w:val="17"/>
        </w:rPr>
      </w:pPr>
      <w:r w:rsidRPr="00895B87">
        <w:rPr>
          <w:rFonts w:eastAsia="Times New Roman"/>
          <w:szCs w:val="17"/>
        </w:rPr>
        <w:t>Inquiries should be directed to:</w:t>
      </w:r>
    </w:p>
    <w:p w:rsidR="00895B87" w:rsidRPr="00895B87" w:rsidRDefault="00895B87" w:rsidP="00895B87">
      <w:pPr>
        <w:spacing w:after="0" w:line="240" w:lineRule="auto"/>
        <w:ind w:left="426"/>
        <w:jc w:val="left"/>
        <w:rPr>
          <w:rFonts w:eastAsia="Times New Roman"/>
          <w:szCs w:val="17"/>
        </w:rPr>
      </w:pPr>
      <w:r w:rsidRPr="00895B87">
        <w:rPr>
          <w:rFonts w:eastAsia="Times New Roman"/>
          <w:szCs w:val="17"/>
        </w:rPr>
        <w:t>Chris Southam</w:t>
      </w:r>
    </w:p>
    <w:p w:rsidR="00895B87" w:rsidRPr="00895B87" w:rsidRDefault="00895B87" w:rsidP="00895B87">
      <w:pPr>
        <w:spacing w:after="0" w:line="240" w:lineRule="auto"/>
        <w:ind w:left="426"/>
        <w:jc w:val="left"/>
        <w:rPr>
          <w:rFonts w:eastAsia="Times New Roman"/>
          <w:szCs w:val="17"/>
        </w:rPr>
      </w:pPr>
      <w:r w:rsidRPr="00895B87">
        <w:rPr>
          <w:rFonts w:eastAsia="Times New Roman"/>
          <w:szCs w:val="17"/>
        </w:rPr>
        <w:t>GPO Box 1533</w:t>
      </w:r>
    </w:p>
    <w:p w:rsidR="00895B87" w:rsidRPr="00895B87" w:rsidRDefault="00895B87" w:rsidP="00895B87">
      <w:pPr>
        <w:spacing w:after="0" w:line="240" w:lineRule="auto"/>
        <w:ind w:left="426"/>
        <w:jc w:val="left"/>
        <w:rPr>
          <w:rFonts w:eastAsia="Times New Roman"/>
          <w:szCs w:val="17"/>
        </w:rPr>
      </w:pPr>
      <w:r w:rsidRPr="00895B87">
        <w:rPr>
          <w:rFonts w:eastAsia="Times New Roman"/>
          <w:szCs w:val="17"/>
        </w:rPr>
        <w:t>Adelaide SA 5001</w:t>
      </w:r>
    </w:p>
    <w:p w:rsidR="00895B87" w:rsidRPr="00895B87" w:rsidRDefault="00895B87" w:rsidP="00895B87">
      <w:pPr>
        <w:ind w:left="426"/>
        <w:rPr>
          <w:rFonts w:eastAsia="Times New Roman"/>
          <w:szCs w:val="17"/>
        </w:rPr>
      </w:pPr>
      <w:r w:rsidRPr="00895B87">
        <w:rPr>
          <w:rFonts w:eastAsia="Times New Roman"/>
          <w:szCs w:val="17"/>
        </w:rPr>
        <w:t>Telephone: (08) 8343 2574</w:t>
      </w:r>
    </w:p>
    <w:p w:rsidR="00895B87" w:rsidRPr="00895B87" w:rsidRDefault="00895B87" w:rsidP="00895B87">
      <w:pPr>
        <w:rPr>
          <w:rFonts w:eastAsia="Times New Roman"/>
          <w:szCs w:val="17"/>
        </w:rPr>
      </w:pPr>
      <w:r w:rsidRPr="00895B87">
        <w:rPr>
          <w:rFonts w:eastAsia="Times New Roman"/>
          <w:szCs w:val="17"/>
        </w:rPr>
        <w:t>Dated: 20 July 2020</w:t>
      </w:r>
    </w:p>
    <w:p w:rsidR="00895B87" w:rsidRPr="00895B87" w:rsidRDefault="00895B87" w:rsidP="00895B87">
      <w:pPr>
        <w:rPr>
          <w:rFonts w:eastAsia="Times New Roman"/>
          <w:szCs w:val="17"/>
        </w:rPr>
      </w:pPr>
      <w:r w:rsidRPr="00895B87">
        <w:rPr>
          <w:rFonts w:eastAsia="Times New Roman"/>
          <w:szCs w:val="17"/>
        </w:rPr>
        <w:t>The Common Seal of the COMMISSIONER OF HIGHWAYS was hereto affixed by authority of the Commissioner in the presence of:</w:t>
      </w:r>
    </w:p>
    <w:p w:rsidR="00895B87" w:rsidRPr="00895B87" w:rsidRDefault="00895B87" w:rsidP="00895B87">
      <w:pPr>
        <w:spacing w:after="0"/>
        <w:jc w:val="right"/>
        <w:rPr>
          <w:rFonts w:eastAsia="Times New Roman"/>
          <w:smallCaps/>
          <w:szCs w:val="20"/>
        </w:rPr>
      </w:pPr>
      <w:r w:rsidRPr="00895B87">
        <w:rPr>
          <w:rFonts w:eastAsia="Times New Roman"/>
          <w:smallCaps/>
          <w:szCs w:val="20"/>
        </w:rPr>
        <w:t>Rocco Caruso</w:t>
      </w:r>
    </w:p>
    <w:p w:rsidR="00895B87" w:rsidRPr="00895B87" w:rsidRDefault="00895B87" w:rsidP="00895B87">
      <w:pPr>
        <w:spacing w:after="0"/>
        <w:jc w:val="right"/>
        <w:rPr>
          <w:rFonts w:eastAsia="Times New Roman"/>
          <w:szCs w:val="17"/>
        </w:rPr>
      </w:pPr>
      <w:r w:rsidRPr="00895B87">
        <w:rPr>
          <w:rFonts w:eastAsia="Times New Roman"/>
          <w:szCs w:val="17"/>
        </w:rPr>
        <w:t>Manager, Property Acquisition</w:t>
      </w:r>
    </w:p>
    <w:p w:rsidR="00895B87" w:rsidRPr="00895B87" w:rsidRDefault="00895B87" w:rsidP="00895B87">
      <w:pPr>
        <w:spacing w:after="0"/>
        <w:jc w:val="right"/>
        <w:rPr>
          <w:rFonts w:eastAsia="Times New Roman"/>
          <w:szCs w:val="17"/>
        </w:rPr>
      </w:pPr>
      <w:r w:rsidRPr="00895B87">
        <w:rPr>
          <w:rFonts w:eastAsia="Times New Roman"/>
          <w:szCs w:val="17"/>
        </w:rPr>
        <w:t>(Authorised Officer)</w:t>
      </w:r>
    </w:p>
    <w:p w:rsidR="00895B87" w:rsidRPr="00895B87" w:rsidRDefault="00895B87" w:rsidP="00895B87">
      <w:pPr>
        <w:spacing w:after="0"/>
        <w:jc w:val="right"/>
        <w:rPr>
          <w:rFonts w:eastAsia="Times New Roman"/>
          <w:szCs w:val="17"/>
        </w:rPr>
      </w:pPr>
      <w:r w:rsidRPr="00895B87">
        <w:rPr>
          <w:rFonts w:eastAsia="Times New Roman"/>
          <w:szCs w:val="17"/>
        </w:rPr>
        <w:t>Department of Planning, Transport and Infrastructure</w:t>
      </w:r>
    </w:p>
    <w:p w:rsidR="00895B87" w:rsidRDefault="00895B87" w:rsidP="00895B87">
      <w:pPr>
        <w:spacing w:after="0" w:line="240" w:lineRule="auto"/>
        <w:jc w:val="left"/>
        <w:rPr>
          <w:rFonts w:eastAsia="Times New Roman"/>
          <w:szCs w:val="17"/>
        </w:rPr>
      </w:pPr>
      <w:r w:rsidRPr="00895B87">
        <w:rPr>
          <w:rFonts w:eastAsia="Times New Roman"/>
          <w:szCs w:val="17"/>
        </w:rPr>
        <w:t>DPTI 2019/07992/01</w:t>
      </w:r>
    </w:p>
    <w:p w:rsidR="00895B87" w:rsidRDefault="00895B87" w:rsidP="00895B87">
      <w:pPr>
        <w:pBdr>
          <w:bottom w:val="single" w:sz="4" w:space="1" w:color="auto"/>
        </w:pBdr>
        <w:spacing w:after="0" w:line="52" w:lineRule="exact"/>
        <w:jc w:val="center"/>
        <w:rPr>
          <w:lang w:val="en-US"/>
        </w:rPr>
      </w:pPr>
    </w:p>
    <w:p w:rsidR="00895B87" w:rsidRDefault="00895B87" w:rsidP="00895B87">
      <w:pPr>
        <w:pBdr>
          <w:top w:val="single" w:sz="4" w:space="1" w:color="auto"/>
        </w:pBdr>
        <w:spacing w:before="34" w:after="0" w:line="14" w:lineRule="exact"/>
        <w:jc w:val="center"/>
        <w:rPr>
          <w:lang w:val="en-US"/>
        </w:rPr>
      </w:pPr>
    </w:p>
    <w:p w:rsidR="00895B87" w:rsidRDefault="00895B87" w:rsidP="00895B8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477B49" w:rsidRDefault="00477B49">
      <w:pPr>
        <w:spacing w:after="0" w:line="240" w:lineRule="auto"/>
        <w:jc w:val="left"/>
        <w:rPr>
          <w:lang w:val="en-US"/>
        </w:rPr>
      </w:pPr>
      <w:r>
        <w:rPr>
          <w:lang w:val="en-US"/>
        </w:rPr>
        <w:br w:type="page"/>
      </w:r>
    </w:p>
    <w:p w:rsidR="004A192B" w:rsidRPr="004A192B" w:rsidRDefault="00AB1EA3" w:rsidP="00AB1EA3">
      <w:pPr>
        <w:pStyle w:val="Heading2"/>
      </w:pPr>
      <w:bookmarkStart w:id="755" w:name="_Toc46398097"/>
      <w:r w:rsidRPr="004A192B">
        <w:t>Landscape South Australia Act 2019</w:t>
      </w:r>
      <w:bookmarkEnd w:id="755"/>
    </w:p>
    <w:p w:rsidR="004A192B" w:rsidRPr="004A192B" w:rsidRDefault="004A192B" w:rsidP="004A192B">
      <w:pPr>
        <w:jc w:val="center"/>
        <w:rPr>
          <w:i/>
          <w:szCs w:val="17"/>
        </w:rPr>
      </w:pPr>
      <w:r w:rsidRPr="004A192B">
        <w:rPr>
          <w:i/>
          <w:szCs w:val="17"/>
        </w:rPr>
        <w:t>List of Declared Animals</w:t>
      </w:r>
    </w:p>
    <w:p w:rsidR="004A192B" w:rsidRPr="004A192B" w:rsidRDefault="004A192B" w:rsidP="004A192B">
      <w:pPr>
        <w:rPr>
          <w:rFonts w:eastAsia="Times New Roman"/>
          <w:szCs w:val="17"/>
        </w:rPr>
      </w:pPr>
      <w:r w:rsidRPr="004A192B">
        <w:rPr>
          <w:rFonts w:eastAsia="Times New Roman"/>
          <w:szCs w:val="17"/>
        </w:rPr>
        <w:t xml:space="preserve">PURSUANT to section 185(1) of the </w:t>
      </w:r>
      <w:r w:rsidRPr="004A192B">
        <w:rPr>
          <w:rFonts w:eastAsia="Times New Roman"/>
          <w:i/>
          <w:szCs w:val="17"/>
        </w:rPr>
        <w:t>Landscape South Australia Act 2019</w:t>
      </w:r>
      <w:r w:rsidRPr="004A192B">
        <w:rPr>
          <w:rFonts w:eastAsia="Times New Roman"/>
          <w:szCs w:val="17"/>
        </w:rPr>
        <w:t xml:space="preserve"> (the Act), I, David Speirs MP, Minister for Environment and Water, declare provisions of the Act apply to specified animals in specified declared areas as follows:</w:t>
      </w:r>
    </w:p>
    <w:tbl>
      <w:tblPr>
        <w:tblW w:w="9360" w:type="dxa"/>
        <w:tblLook w:val="04A0" w:firstRow="1" w:lastRow="0" w:firstColumn="1" w:lastColumn="0" w:noHBand="0" w:noVBand="1"/>
      </w:tblPr>
      <w:tblGrid>
        <w:gridCol w:w="2280"/>
        <w:gridCol w:w="2280"/>
        <w:gridCol w:w="2160"/>
        <w:gridCol w:w="960"/>
        <w:gridCol w:w="1680"/>
      </w:tblGrid>
      <w:tr w:rsidR="004A192B" w:rsidRPr="004A192B" w:rsidTr="00805B8E">
        <w:trPr>
          <w:trHeight w:val="454"/>
          <w:tblHeader/>
        </w:trPr>
        <w:tc>
          <w:tcPr>
            <w:tcW w:w="22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A192B" w:rsidRPr="004A192B" w:rsidRDefault="004A192B" w:rsidP="004A192B">
            <w:pPr>
              <w:spacing w:after="0"/>
              <w:jc w:val="center"/>
              <w:rPr>
                <w:rFonts w:eastAsia="Times New Roman"/>
                <w:b/>
                <w:bCs/>
                <w:szCs w:val="17"/>
              </w:rPr>
            </w:pPr>
            <w:r w:rsidRPr="004A192B">
              <w:rPr>
                <w:rFonts w:eastAsia="Times New Roman"/>
                <w:b/>
                <w:bCs/>
                <w:szCs w:val="17"/>
              </w:rPr>
              <w:t>Taxonomic Name</w:t>
            </w:r>
          </w:p>
        </w:tc>
        <w:tc>
          <w:tcPr>
            <w:tcW w:w="2280" w:type="dxa"/>
            <w:tcBorders>
              <w:top w:val="single" w:sz="4" w:space="0" w:color="auto"/>
              <w:left w:val="nil"/>
              <w:bottom w:val="single" w:sz="4" w:space="0" w:color="auto"/>
              <w:right w:val="single" w:sz="4" w:space="0" w:color="auto"/>
            </w:tcBorders>
            <w:shd w:val="clear" w:color="000000" w:fill="FFFFFF"/>
            <w:vAlign w:val="center"/>
            <w:hideMark/>
          </w:tcPr>
          <w:p w:rsidR="004A192B" w:rsidRPr="004A192B" w:rsidRDefault="004A192B" w:rsidP="004A192B">
            <w:pPr>
              <w:spacing w:after="0"/>
              <w:jc w:val="center"/>
              <w:rPr>
                <w:rFonts w:eastAsia="Times New Roman"/>
                <w:b/>
                <w:bCs/>
                <w:szCs w:val="17"/>
              </w:rPr>
            </w:pPr>
            <w:r w:rsidRPr="004A192B">
              <w:rPr>
                <w:rFonts w:eastAsia="Times New Roman"/>
                <w:b/>
                <w:bCs/>
                <w:szCs w:val="17"/>
              </w:rPr>
              <w:t>Common Name</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rsidR="004A192B" w:rsidRPr="004A192B" w:rsidRDefault="004A192B" w:rsidP="004A192B">
            <w:pPr>
              <w:spacing w:after="0"/>
              <w:jc w:val="center"/>
              <w:rPr>
                <w:rFonts w:eastAsia="Times New Roman"/>
                <w:b/>
                <w:bCs/>
                <w:szCs w:val="17"/>
              </w:rPr>
            </w:pPr>
            <w:r w:rsidRPr="004A192B">
              <w:rPr>
                <w:rFonts w:eastAsia="Times New Roman"/>
                <w:b/>
                <w:bCs/>
                <w:szCs w:val="17"/>
              </w:rPr>
              <w:t xml:space="preserve">Provision of Act Which </w:t>
            </w:r>
            <w:r w:rsidRPr="004A192B">
              <w:rPr>
                <w:rFonts w:eastAsia="Times New Roman"/>
                <w:b/>
                <w:bCs/>
                <w:szCs w:val="17"/>
              </w:rPr>
              <w:br/>
              <w:t>are to Apply</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4A192B" w:rsidRPr="004A192B" w:rsidRDefault="004A192B" w:rsidP="004A192B">
            <w:pPr>
              <w:spacing w:after="0"/>
              <w:jc w:val="center"/>
              <w:rPr>
                <w:rFonts w:eastAsia="Times New Roman"/>
                <w:b/>
                <w:bCs/>
                <w:szCs w:val="17"/>
              </w:rPr>
            </w:pPr>
            <w:r w:rsidRPr="004A192B">
              <w:rPr>
                <w:rFonts w:eastAsia="Times New Roman"/>
                <w:b/>
                <w:bCs/>
                <w:szCs w:val="17"/>
              </w:rPr>
              <w:t>Category</w:t>
            </w:r>
          </w:p>
        </w:tc>
        <w:tc>
          <w:tcPr>
            <w:tcW w:w="1680" w:type="dxa"/>
            <w:tcBorders>
              <w:top w:val="single" w:sz="4" w:space="0" w:color="auto"/>
              <w:left w:val="nil"/>
              <w:bottom w:val="single" w:sz="4" w:space="0" w:color="auto"/>
              <w:right w:val="single" w:sz="4" w:space="0" w:color="auto"/>
            </w:tcBorders>
            <w:shd w:val="clear" w:color="000000" w:fill="FFFFFF"/>
            <w:noWrap/>
            <w:vAlign w:val="center"/>
            <w:hideMark/>
          </w:tcPr>
          <w:p w:rsidR="004A192B" w:rsidRPr="004A192B" w:rsidRDefault="004A192B" w:rsidP="004A192B">
            <w:pPr>
              <w:spacing w:after="0"/>
              <w:jc w:val="center"/>
              <w:rPr>
                <w:rFonts w:eastAsia="Times New Roman"/>
                <w:b/>
                <w:bCs/>
                <w:szCs w:val="17"/>
              </w:rPr>
            </w:pPr>
            <w:r w:rsidRPr="004A192B">
              <w:rPr>
                <w:rFonts w:eastAsia="Times New Roman"/>
                <w:b/>
                <w:bCs/>
                <w:szCs w:val="17"/>
              </w:rPr>
              <w:t>Declared Area</w:t>
            </w:r>
          </w:p>
        </w:tc>
      </w:tr>
      <w:tr w:rsidR="004A192B" w:rsidRPr="004A192B" w:rsidTr="00805B8E">
        <w:trPr>
          <w:trHeight w:val="20"/>
        </w:trPr>
        <w:tc>
          <w:tcPr>
            <w:tcW w:w="2280" w:type="dxa"/>
            <w:tcBorders>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1</w:t>
            </w:r>
          </w:p>
        </w:tc>
        <w:tc>
          <w:tcPr>
            <w:tcW w:w="2280" w:type="dxa"/>
            <w:tcBorders>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960" w:type="dxa"/>
            <w:tcBorders>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b/>
                <w:bCs/>
                <w:szCs w:val="17"/>
              </w:rPr>
            </w:pPr>
          </w:p>
        </w:tc>
        <w:tc>
          <w:tcPr>
            <w:tcW w:w="1680" w:type="dxa"/>
            <w:tcBorders>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186(1)(3), 187(1), 188, 189, 190, 191(1), 192(1)</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r w:rsidRPr="004A192B">
              <w:rPr>
                <w:rFonts w:eastAsia="Times New Roman"/>
                <w:szCs w:val="17"/>
              </w:rPr>
              <w:t>1</w:t>
            </w: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Whole of the State</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CARNIVORA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Felidae</w:t>
            </w:r>
          </w:p>
        </w:tc>
        <w:tc>
          <w:tcPr>
            <w:tcW w:w="2280" w:type="dxa"/>
            <w:tcBorders>
              <w:top w:val="nil"/>
              <w:left w:val="nil"/>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Leptailurus serval x Felis catus</w:t>
            </w:r>
          </w:p>
        </w:tc>
        <w:tc>
          <w:tcPr>
            <w:tcW w:w="2280" w:type="dxa"/>
            <w:tcBorders>
              <w:top w:val="nil"/>
              <w:left w:val="nil"/>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Savannah Cat</w:t>
            </w:r>
          </w:p>
        </w:tc>
        <w:tc>
          <w:tcPr>
            <w:tcW w:w="2160" w:type="dxa"/>
            <w:tcBorders>
              <w:top w:val="nil"/>
              <w:left w:val="single" w:sz="4" w:space="0" w:color="auto"/>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Mustelidae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b/>
                <w:bCs/>
                <w:szCs w:val="17"/>
                <w:u w:val="single"/>
              </w:rPr>
            </w:pP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b/>
                <w:bCs/>
                <w:szCs w:val="17"/>
                <w:u w:val="single"/>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b/>
                <w:bCs/>
                <w:szCs w:val="17"/>
                <w:u w:val="single"/>
              </w:rPr>
            </w:pP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Mustela erminea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Stoat, Ermine</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RODENTIA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Muridae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Rattus exulans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Pacific Rat, Polynesian Rat</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Sciuridae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u w:val="single"/>
              </w:rPr>
            </w:pP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b/>
                <w:bCs/>
                <w:szCs w:val="17"/>
                <w:u w:val="single"/>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u w:val="single"/>
              </w:rPr>
            </w:pP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Funambulus pennantii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Northern Palm-squirrel</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u w:val="single"/>
              </w:rPr>
            </w:pP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b/>
                <w:bCs/>
                <w:szCs w:val="17"/>
                <w:u w:val="single"/>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u w:val="single"/>
              </w:rPr>
            </w:pP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u w:val="single"/>
              </w:rPr>
            </w:pP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b/>
                <w:bCs/>
                <w:szCs w:val="17"/>
                <w:u w:val="single"/>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u w:val="single"/>
              </w:rPr>
            </w:pP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AVES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GALLIFORMES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Phasianidae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Polyplectron napoleonis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Palawan Peacock-pheasant</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i/>
                <w:iCs/>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PASSERIFORMES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Corvidae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Corvus splendens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House Crow, Indian House Crow</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Cyanocorax morio</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Brown Jay</w:t>
            </w:r>
          </w:p>
        </w:tc>
        <w:tc>
          <w:tcPr>
            <w:tcW w:w="2160" w:type="dxa"/>
            <w:tcBorders>
              <w:top w:val="nil"/>
              <w:left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Estrildidae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Lonchura punctulata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xml:space="preserve">Spicefinch, Nutmeg Mannikin, Spotted Munia, Scaly-breasted Munia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Muscicapidae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Turdus philmelos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Song Thrush</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Pycnonotidae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Pycnonotus jocosus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Red-whiskered  Bulbul</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Sturndiae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Acridotheres tristis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Indian Mynah, Common Myna, Indian House Myna</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REPTILIA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TESTUDINES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Emydidae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Trachemys scripta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Red-eared Slider, Common Slider</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SQUAMATA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Agamidae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Calotes versicolor</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Oriental Garden Lizard</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AMPHIBIA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ANURA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Bufonidae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Duttaphrynus melanostictus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Asian Black-spined Toad, Asian Common Toad, Asian Toad, Black-spectacled Toad, Common Sunda, Javanese Toad</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AND</w:t>
            </w:r>
          </w:p>
        </w:tc>
        <w:tc>
          <w:tcPr>
            <w:tcW w:w="2280" w:type="dxa"/>
            <w:tcBorders>
              <w:top w:val="nil"/>
              <w:left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u w:val="single"/>
              </w:rPr>
            </w:pPr>
          </w:p>
        </w:tc>
        <w:tc>
          <w:tcPr>
            <w:tcW w:w="9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b/>
                <w:bCs/>
                <w:szCs w:val="17"/>
                <w:u w:val="single"/>
              </w:rPr>
            </w:pPr>
          </w:p>
        </w:tc>
        <w:tc>
          <w:tcPr>
            <w:tcW w:w="168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u w:val="single"/>
              </w:rPr>
            </w:pPr>
          </w:p>
        </w:tc>
      </w:tr>
      <w:tr w:rsidR="004A192B" w:rsidRPr="004A192B" w:rsidTr="00805B8E">
        <w:trPr>
          <w:trHeight w:val="20"/>
        </w:trPr>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b/>
                <w:bCs/>
                <w:szCs w:val="17"/>
              </w:rPr>
            </w:pPr>
            <w:r w:rsidRPr="004A192B">
              <w:rPr>
                <w:rFonts w:eastAsia="Times New Roman"/>
                <w:b/>
                <w:bCs/>
                <w:szCs w:val="17"/>
              </w:rPr>
              <w:t>All other animals not native to Australia and not listed in classes 2 to 25</w:t>
            </w:r>
          </w:p>
        </w:tc>
        <w:tc>
          <w:tcPr>
            <w:tcW w:w="2280" w:type="dxa"/>
            <w:tcBorders>
              <w:top w:val="nil"/>
              <w:left w:val="nil"/>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w:t>
            </w:r>
          </w:p>
        </w:tc>
        <w:tc>
          <w:tcPr>
            <w:tcW w:w="2160" w:type="dxa"/>
            <w:tcBorders>
              <w:top w:val="nil"/>
              <w:left w:val="nil"/>
              <w:bottom w:val="single" w:sz="4" w:space="0" w:color="auto"/>
              <w:right w:val="single" w:sz="4" w:space="0" w:color="auto"/>
            </w:tcBorders>
            <w:shd w:val="clear" w:color="auto" w:fill="auto"/>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hideMark/>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2</w:t>
            </w:r>
          </w:p>
        </w:tc>
        <w:tc>
          <w:tcPr>
            <w:tcW w:w="2280" w:type="dxa"/>
            <w:tcBorders>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186(1)(3), 187(1), 188, 189, 190, 191(1), 192(1)</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r w:rsidRPr="004A192B">
              <w:rPr>
                <w:rFonts w:eastAsia="Times New Roman"/>
                <w:szCs w:val="17"/>
              </w:rPr>
              <w:t>1</w:t>
            </w: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Whole of the State</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DIPROTODONTIA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Macropodidae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Dendrolagus goodfellowi</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Goodfellow’s Tree-kangaroo</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PILOSA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Myrmecophagidae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Myrmecophaga tridactyla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Giant Anteater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EULIOPOTYPHLA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Soricidae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Suncus murinus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Asian House Shrew, Grey Musk Shrew, Asian Musk Shrew, Money Shrew</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PRIMATES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Lemuridae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Lemur catta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Ring-tailed Lemur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Varecia variegata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Black-and-White Ruffed Lemur, Ruffed Lemur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Lorisidae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Nycticebus coucang</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Greater Slow Loris, Sunda Slow Loris, Slow Loris</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Callitrichidae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Callithrix jacchus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Common Marmoset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Callithrix pygmaea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Pygmy Marmoset</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Leontopithecus rosalia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Golden Lion Tamarin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Saguinus imperator</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Emperor Tamarin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Saguinus oedipus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Cotton-top Tamarin, Cotton-headed Tamarin</w:t>
            </w:r>
          </w:p>
          <w:p w:rsidR="004A192B" w:rsidRPr="004A192B" w:rsidRDefault="004A192B" w:rsidP="004A192B">
            <w:pPr>
              <w:spacing w:after="0"/>
              <w:jc w:val="left"/>
              <w:rPr>
                <w:rFonts w:eastAsia="Times New Roman"/>
                <w:szCs w:val="17"/>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Aotidae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xml:space="preserve">Aotus trivirgatus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Northern Night-monkey, Humboldt’s Night-monkey, Grey-necked Night-monkey, North Owl-monkey, Douroucouli</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Atelidae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Ateles geoffroyi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Black-handed Spider-monkey, Central American Spider-monkey, Geoffroy’s Spider-monkey</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Cebidae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Cebus albifrons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White-fronted Capuchin, Humboldt’s Capuchin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Saimiri boliviensis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Bolivian Squirrel-monkey, Bolivian/Peruvian Squirrel-monkey, Black-headed Squirrel-monkey</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Sapajus apella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Black-capped Capuchin, Tufted Capuchin, Guianan Brown Capuchin, Margarita Island Capuchin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Cercopithecidae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Cercopithecus neglectus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xml:space="preserve">De Brazza’s Monkey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Chlorocebus aethiops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Vervet Monkey, Green Monkey, Grivet Monkey, Malbrouk Monkey, Tantalus</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Colobus guereza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Eastern Black-and-white Colobus, Magistrate Colobus, Guereza Colobus</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Macaca fuscata</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Japanese Macaque</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Macaca fascicularis</w:t>
            </w:r>
          </w:p>
        </w:tc>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Crab-eating Macaque, Long-tailed Macaque</w:t>
            </w:r>
          </w:p>
        </w:tc>
        <w:tc>
          <w:tcPr>
            <w:tcW w:w="21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right w:val="nil"/>
            </w:tcBorders>
            <w:shd w:val="clear" w:color="auto" w:fill="auto"/>
            <w:hideMark/>
          </w:tcPr>
          <w:p w:rsidR="004A192B" w:rsidRPr="004A192B" w:rsidRDefault="004A192B" w:rsidP="004A192B">
            <w:pPr>
              <w:spacing w:before="80"/>
              <w:jc w:val="left"/>
              <w:rPr>
                <w:rFonts w:eastAsia="Times New Roman"/>
                <w:i/>
                <w:iCs/>
                <w:szCs w:val="17"/>
              </w:rPr>
            </w:pPr>
            <w:r w:rsidRPr="004A192B">
              <w:rPr>
                <w:rFonts w:eastAsia="Times New Roman"/>
                <w:i/>
                <w:iCs/>
                <w:szCs w:val="17"/>
              </w:rPr>
              <w:t>Macaca mulatta</w:t>
            </w:r>
          </w:p>
        </w:tc>
        <w:tc>
          <w:tcPr>
            <w:tcW w:w="2280" w:type="dxa"/>
            <w:tcBorders>
              <w:top w:val="single" w:sz="4" w:space="0" w:color="auto"/>
              <w:left w:val="single" w:sz="4" w:space="0" w:color="auto"/>
              <w:right w:val="single" w:sz="4" w:space="0" w:color="auto"/>
            </w:tcBorders>
            <w:shd w:val="clear" w:color="auto" w:fill="auto"/>
            <w:hideMark/>
          </w:tcPr>
          <w:p w:rsidR="004A192B" w:rsidRPr="004A192B" w:rsidRDefault="004A192B" w:rsidP="004A192B">
            <w:pPr>
              <w:spacing w:before="80"/>
              <w:jc w:val="left"/>
              <w:rPr>
                <w:rFonts w:eastAsia="Times New Roman"/>
                <w:szCs w:val="17"/>
              </w:rPr>
            </w:pPr>
            <w:r w:rsidRPr="004A192B">
              <w:rPr>
                <w:rFonts w:eastAsia="Times New Roman"/>
                <w:szCs w:val="17"/>
              </w:rPr>
              <w:t>Rhesus Macaque</w:t>
            </w:r>
          </w:p>
        </w:tc>
        <w:tc>
          <w:tcPr>
            <w:tcW w:w="2160" w:type="dxa"/>
            <w:tcBorders>
              <w:top w:val="single" w:sz="4" w:space="0" w:color="auto"/>
              <w:left w:val="nil"/>
              <w:right w:val="single" w:sz="4" w:space="0" w:color="auto"/>
            </w:tcBorders>
            <w:shd w:val="clear" w:color="auto" w:fill="auto"/>
            <w:noWrap/>
            <w:vAlign w:val="bottom"/>
            <w:hideMark/>
          </w:tcPr>
          <w:p w:rsidR="004A192B" w:rsidRPr="004A192B" w:rsidRDefault="004A192B" w:rsidP="004A192B">
            <w:pPr>
              <w:spacing w:before="80"/>
              <w:jc w:val="left"/>
              <w:rPr>
                <w:rFonts w:eastAsia="Times New Roman"/>
                <w:szCs w:val="17"/>
              </w:rPr>
            </w:pPr>
            <w:r w:rsidRPr="004A192B">
              <w:rPr>
                <w:rFonts w:eastAsia="Times New Roman"/>
                <w:szCs w:val="17"/>
              </w:rPr>
              <w:t> </w:t>
            </w:r>
          </w:p>
        </w:tc>
        <w:tc>
          <w:tcPr>
            <w:tcW w:w="960" w:type="dxa"/>
            <w:tcBorders>
              <w:top w:val="single" w:sz="4" w:space="0" w:color="auto"/>
              <w:left w:val="nil"/>
              <w:right w:val="single" w:sz="4" w:space="0" w:color="auto"/>
            </w:tcBorders>
            <w:shd w:val="clear" w:color="auto" w:fill="auto"/>
            <w:noWrap/>
            <w:vAlign w:val="bottom"/>
            <w:hideMark/>
          </w:tcPr>
          <w:p w:rsidR="004A192B" w:rsidRPr="004A192B" w:rsidRDefault="004A192B" w:rsidP="004A192B">
            <w:pPr>
              <w:spacing w:before="80"/>
              <w:jc w:val="center"/>
              <w:rPr>
                <w:rFonts w:eastAsia="Times New Roman"/>
                <w:szCs w:val="17"/>
              </w:rPr>
            </w:pPr>
          </w:p>
        </w:tc>
        <w:tc>
          <w:tcPr>
            <w:tcW w:w="1680" w:type="dxa"/>
            <w:tcBorders>
              <w:top w:val="single" w:sz="4" w:space="0" w:color="auto"/>
              <w:left w:val="nil"/>
              <w:right w:val="single" w:sz="4" w:space="0" w:color="auto"/>
            </w:tcBorders>
            <w:shd w:val="clear" w:color="auto" w:fill="auto"/>
            <w:noWrap/>
            <w:vAlign w:val="bottom"/>
            <w:hideMark/>
          </w:tcPr>
          <w:p w:rsidR="004A192B" w:rsidRPr="004A192B" w:rsidRDefault="004A192B" w:rsidP="004A192B">
            <w:pPr>
              <w:spacing w:before="8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Macaca nemestrina</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Sunda Pig-tailed Macaque</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nil"/>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i/>
                <w:iCs/>
                <w:szCs w:val="17"/>
              </w:rPr>
            </w:pPr>
            <w:r w:rsidRPr="004A192B">
              <w:rPr>
                <w:rFonts w:eastAsia="Times New Roman"/>
                <w:i/>
                <w:iCs/>
                <w:szCs w:val="17"/>
              </w:rPr>
              <w:t>Macaca nigra</w:t>
            </w:r>
          </w:p>
        </w:tc>
        <w:tc>
          <w:tcPr>
            <w:tcW w:w="2280" w:type="dxa"/>
            <w:tcBorders>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Celebes Crested Macaque, Gorontalo Macaque, Black Crested Macaque, Celebes Macaque, Crested Black Macaque, Celebes Black Macaque, Sulawesi Black Macaque, Sulawesi Macaque</w:t>
            </w:r>
          </w:p>
        </w:tc>
        <w:tc>
          <w:tcPr>
            <w:tcW w:w="2160" w:type="dxa"/>
            <w:tcBorders>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c>
          <w:tcPr>
            <w:tcW w:w="960" w:type="dxa"/>
            <w:tcBorders>
              <w:left w:val="nil"/>
              <w:bottom w:val="nil"/>
              <w:right w:val="nil"/>
            </w:tcBorders>
            <w:shd w:val="clear" w:color="auto" w:fill="auto"/>
            <w:noWrap/>
            <w:vAlign w:val="bottom"/>
            <w:hideMark/>
          </w:tcPr>
          <w:p w:rsidR="004A192B" w:rsidRPr="004A192B" w:rsidRDefault="004A192B" w:rsidP="004A192B">
            <w:pPr>
              <w:spacing w:before="80" w:after="0"/>
              <w:jc w:val="center"/>
              <w:rPr>
                <w:rFonts w:eastAsia="Times New Roman"/>
                <w:szCs w:val="17"/>
              </w:rPr>
            </w:pPr>
          </w:p>
        </w:tc>
        <w:tc>
          <w:tcPr>
            <w:tcW w:w="1680" w:type="dxa"/>
            <w:tcBorders>
              <w:left w:val="single" w:sz="4" w:space="0" w:color="auto"/>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Macaca silenus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Lion-tailed Macaque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Mandrillus sphinx</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Mandrill</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Papio hamadryas</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Hamadryas Baboon, Sacred Baboon</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i/>
                <w:iCs/>
                <w:szCs w:val="17"/>
              </w:rPr>
            </w:pPr>
            <w:r w:rsidRPr="004A192B">
              <w:rPr>
                <w:rFonts w:eastAsia="Times New Roman"/>
                <w:i/>
                <w:iCs/>
                <w:szCs w:val="17"/>
              </w:rPr>
              <w:t>Trachypithecus francoisi</w:t>
            </w:r>
          </w:p>
        </w:tc>
        <w:tc>
          <w:tcPr>
            <w:tcW w:w="2280" w:type="dxa"/>
            <w:tcBorders>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Francois Langur, Tonkin Langur, Francois Leaf-monkey, Tonkin Leaf-monkey</w:t>
            </w:r>
          </w:p>
        </w:tc>
        <w:tc>
          <w:tcPr>
            <w:tcW w:w="2160" w:type="dxa"/>
            <w:tcBorders>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c>
          <w:tcPr>
            <w:tcW w:w="960" w:type="dxa"/>
            <w:tcBorders>
              <w:left w:val="nil"/>
              <w:bottom w:val="nil"/>
              <w:right w:val="nil"/>
            </w:tcBorders>
            <w:shd w:val="clear" w:color="auto" w:fill="auto"/>
            <w:noWrap/>
            <w:vAlign w:val="bottom"/>
            <w:hideMark/>
          </w:tcPr>
          <w:p w:rsidR="004A192B" w:rsidRPr="004A192B" w:rsidRDefault="004A192B" w:rsidP="004A192B">
            <w:pPr>
              <w:spacing w:before="80" w:after="0"/>
              <w:jc w:val="center"/>
              <w:rPr>
                <w:rFonts w:eastAsia="Times New Roman"/>
                <w:szCs w:val="17"/>
              </w:rPr>
            </w:pPr>
          </w:p>
        </w:tc>
        <w:tc>
          <w:tcPr>
            <w:tcW w:w="1680" w:type="dxa"/>
            <w:tcBorders>
              <w:left w:val="single" w:sz="4" w:space="0" w:color="auto"/>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Trachypithecus obscurus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Dusky Langur, Spectacled Langur, Dusky Leaf-monkey, Spectacled Leaf-monkey</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Hylobatidae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Hylobates lar</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White-handed Gibbon, Common Gibbon, Lar Gibbon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Hylobates moloch</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Javan Gibbon, Silvery Gibbon, Moloch Gibbon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Nomascus leucogenys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White-cheeked Gibbon, Northern White-cheeked Gibbon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Symphalangus syndactylus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Siamang</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Hominidae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Gorilla gorilla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Western Gorilla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Pan troglodytes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Chimpanzee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Pongo pygmaeus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Bornean Orangutan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Pongo abelii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Sumatran Orangutan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CARNIVORA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Canidae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Chrysocyon brachyurus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Maned Wolf</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Lycaon pictus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Painted Hunting Dog, Cape Hunting Dog, African Wild Dog</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Vulpes zerda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Fennec Fox</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Felidae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Acinonyx jubatus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Cheetah</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Caracal caracal</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Caracal</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Catopuma temminckii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Asiatic Golden Cat, Temminck’s Cat</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Leopardus pardalis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Ocelot</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Leptailurus serval</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Serval</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Otocolobus manul</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Pallas’ Cat</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Panthera leo</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Lion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Panthera onca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Jaguar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Panthera pardus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Leopard</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xml:space="preserve">Panthera tigris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Tiger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Panthera uncia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Snow Leopard, Ounce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Prionailurus viverrinus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Fishing Cat</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Puma concolor</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Puma, Cougar, Mountain Lion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Herpestidae</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Suricata suricatta</w:t>
            </w:r>
          </w:p>
        </w:tc>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Slender-tailed Meerkat</w:t>
            </w:r>
          </w:p>
        </w:tc>
        <w:tc>
          <w:tcPr>
            <w:tcW w:w="21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bottom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single" w:sz="4" w:space="0" w:color="auto"/>
              <w:bottom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single" w:sz="4" w:space="0" w:color="auto"/>
              <w:bottom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single" w:sz="4" w:space="0" w:color="auto"/>
              <w:bottom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single" w:sz="4" w:space="0" w:color="auto"/>
              <w:bottom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b/>
                <w:bCs/>
                <w:szCs w:val="17"/>
                <w:u w:val="single"/>
              </w:rPr>
            </w:pPr>
            <w:r w:rsidRPr="004A192B">
              <w:rPr>
                <w:rFonts w:eastAsia="Times New Roman"/>
                <w:b/>
                <w:bCs/>
                <w:szCs w:val="17"/>
                <w:u w:val="single"/>
              </w:rPr>
              <w:t>Hyaenidae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Crocuta crocuta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Spotted Hyaena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Mustelidae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Aonyx cinereus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Small-clawed Otter, Asian Small-clawed Otter, Oriental Small-clawed Otter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Mustela putorius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Ferret, Western Polecat, European Polecat</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Otariidae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Zalophus californianus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Californian Sea-lion</w:t>
            </w:r>
          </w:p>
        </w:tc>
        <w:tc>
          <w:tcPr>
            <w:tcW w:w="2160" w:type="dxa"/>
            <w:tcBorders>
              <w:top w:val="nil"/>
              <w:left w:val="nil"/>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Phocidae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Phoca vitulina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Harbour Seal, Common Seal</w:t>
            </w:r>
          </w:p>
        </w:tc>
        <w:tc>
          <w:tcPr>
            <w:tcW w:w="2160" w:type="dxa"/>
            <w:tcBorders>
              <w:top w:val="nil"/>
              <w:left w:val="nil"/>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Procyonidae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Nasua nasua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South American Coati, Brown-nosed Coati</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Ailuridae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Ailurus fulgens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Red Panda, Lesser Panda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Ursidae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Ailuropoda melanoleuca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Giant Panda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Helarctos malayanus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Sun Bear, Malayan Sun Bear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Ursus arctos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Brown Bear, Grizzly Bear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Ursus maritimus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Polar Bear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Viverridae</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162"/>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Arctictis binturong</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Binturong</w:t>
            </w:r>
          </w:p>
        </w:tc>
        <w:tc>
          <w:tcPr>
            <w:tcW w:w="2160" w:type="dxa"/>
            <w:tcBorders>
              <w:top w:val="nil"/>
              <w:left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p>
        </w:tc>
        <w:tc>
          <w:tcPr>
            <w:tcW w:w="1680" w:type="dxa"/>
            <w:tcBorders>
              <w:top w:val="nil"/>
              <w:left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iCs/>
                <w:szCs w:val="17"/>
              </w:rPr>
              <w:t>PROBOSCIDEA</w:t>
            </w:r>
          </w:p>
        </w:tc>
        <w:tc>
          <w:tcPr>
            <w:tcW w:w="2280" w:type="dxa"/>
            <w:tcBorders>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Elephantidae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Elephas maximus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Asian Elephant, Indian Elephant</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Loxodonta africana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African Elephant</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PERISSODACTYLA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Equidae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Equus ferus przewalskii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Przewalski’s Horse, Asian Wild Horse, Mongolian Wild Horse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xml:space="preserve">Equus quagga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Common Zebra, Burchell’s Zebra, Plains Zebra, Painted Zebra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Tapiridae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Tapirus indicus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Malayan Tapir, Malay Tapir, Indian Tapir, Asian Tapir, Asiatic Tapir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Tapirus terrestris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Brazilian Tapir, Lowland Tapir, South American Tapir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Rhinocerotidae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Ceratotherium simum</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White Rhinoceros, Square-lipped Rhinoceros</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Diceros bicornis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Black Rhinoceros</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p>
          <w:p w:rsidR="004A192B" w:rsidRPr="004A192B" w:rsidRDefault="004A192B" w:rsidP="004A192B">
            <w:pPr>
              <w:spacing w:after="0"/>
              <w:jc w:val="left"/>
              <w:rPr>
                <w:rFonts w:eastAsia="Times New Roman"/>
                <w:b/>
                <w:bCs/>
                <w:szCs w:val="17"/>
              </w:rPr>
            </w:pPr>
            <w:r w:rsidRPr="004A192B">
              <w:rPr>
                <w:rFonts w:eastAsia="Times New Roman"/>
                <w:b/>
                <w:bCs/>
                <w:szCs w:val="17"/>
              </w:rPr>
              <w:t>ARTIODACTYLA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Tayassuidae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Pecari tajacu</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Collared Peccary</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Hippopotamidae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Choeropsis liberiensis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Pygmy Hippopotamus</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Hippopotamus amphibius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Common Hippopotamus</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Camelidae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Lama guanicoe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Guanaco</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Giraffidae</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Giraffa camelopardalis</w:t>
            </w:r>
          </w:p>
        </w:tc>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Giraffe</w:t>
            </w:r>
          </w:p>
        </w:tc>
        <w:tc>
          <w:tcPr>
            <w:tcW w:w="21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bottom w:val="nil"/>
            </w:tcBorders>
            <w:shd w:val="clear" w:color="auto" w:fill="auto"/>
          </w:tcPr>
          <w:p w:rsidR="004A192B" w:rsidRPr="004A192B" w:rsidRDefault="004A192B" w:rsidP="004A192B">
            <w:pPr>
              <w:spacing w:after="0"/>
              <w:jc w:val="left"/>
              <w:rPr>
                <w:rFonts w:eastAsia="Times New Roman"/>
                <w:szCs w:val="17"/>
              </w:rPr>
            </w:pPr>
          </w:p>
        </w:tc>
        <w:tc>
          <w:tcPr>
            <w:tcW w:w="2280" w:type="dxa"/>
            <w:tcBorders>
              <w:bottom w:val="nil"/>
            </w:tcBorders>
            <w:shd w:val="clear" w:color="auto" w:fill="auto"/>
          </w:tcPr>
          <w:p w:rsidR="004A192B" w:rsidRPr="004A192B" w:rsidRDefault="004A192B" w:rsidP="004A192B">
            <w:pPr>
              <w:spacing w:after="0"/>
              <w:jc w:val="left"/>
              <w:rPr>
                <w:rFonts w:eastAsia="Times New Roman"/>
                <w:szCs w:val="17"/>
              </w:rPr>
            </w:pPr>
          </w:p>
        </w:tc>
        <w:tc>
          <w:tcPr>
            <w:tcW w:w="2160" w:type="dxa"/>
            <w:tcBorders>
              <w:bottom w:val="nil"/>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bottom w:val="nil"/>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bottom w:val="nil"/>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b/>
                <w:bCs/>
                <w:szCs w:val="17"/>
                <w:u w:val="single"/>
              </w:rPr>
            </w:pPr>
            <w:r w:rsidRPr="004A192B">
              <w:rPr>
                <w:rFonts w:eastAsia="Times New Roman"/>
                <w:b/>
                <w:bCs/>
                <w:szCs w:val="17"/>
                <w:u w:val="single"/>
              </w:rPr>
              <w:t>Cervidae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tcPr>
          <w:p w:rsidR="004A192B" w:rsidRPr="004A192B" w:rsidRDefault="004A192B" w:rsidP="004A192B">
            <w:pPr>
              <w:jc w:val="left"/>
              <w:rPr>
                <w:rFonts w:eastAsia="Times New Roman"/>
                <w:i/>
                <w:iCs/>
                <w:szCs w:val="17"/>
              </w:rPr>
            </w:pPr>
            <w:r w:rsidRPr="004A192B">
              <w:rPr>
                <w:rFonts w:eastAsia="Times New Roman"/>
                <w:i/>
                <w:iCs/>
                <w:szCs w:val="17"/>
              </w:rPr>
              <w:t>Odocoileus virginianus</w:t>
            </w:r>
          </w:p>
        </w:tc>
        <w:tc>
          <w:tcPr>
            <w:tcW w:w="2280" w:type="dxa"/>
            <w:tcBorders>
              <w:top w:val="nil"/>
              <w:left w:val="single" w:sz="4" w:space="0" w:color="auto"/>
              <w:bottom w:val="nil"/>
              <w:right w:val="single" w:sz="4" w:space="0" w:color="auto"/>
            </w:tcBorders>
            <w:shd w:val="clear" w:color="auto" w:fill="auto"/>
          </w:tcPr>
          <w:p w:rsidR="004A192B" w:rsidRPr="004A192B" w:rsidRDefault="004A192B" w:rsidP="004A192B">
            <w:pPr>
              <w:jc w:val="left"/>
              <w:rPr>
                <w:rFonts w:eastAsia="Times New Roman"/>
                <w:szCs w:val="17"/>
              </w:rPr>
            </w:pPr>
            <w:r w:rsidRPr="004A192B">
              <w:rPr>
                <w:rFonts w:eastAsia="Times New Roman"/>
                <w:szCs w:val="17"/>
              </w:rPr>
              <w:t>White-tailed Deer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Bovidae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Addax nasomaculatus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Addax</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Ammotragus lervia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Barbary Sheep, Aoudad</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Boselaphus tragocamelus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Nilgai, Bluebuck</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Hemitragus jemlahicus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Himalayan Tahr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Kobus ellipsiprymnus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Waterbuck</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Nanger dama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Addra Gazelle, Dama Gazelle, Mhorr Gazelle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Nanger granti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Grant’s Gazelle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Oryx dammah</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Scimitar Oryx, Scimitar-horned Oryx</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Syncerus caffer</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Congo Buffalo, Cape Buffalo, African Buffalo</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Tragelaphus angasii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Nyala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Tragelaphus eurycerus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Bongo</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Tragelaphus oryx</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Common Eland</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Tragelaphus spekii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Sitatunga, Marshbuck</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Tragelaphus strepsiceros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Greater Kudu</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RODENTIA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u w:val="single"/>
              </w:rPr>
            </w:pP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b/>
                <w:bCs/>
                <w:szCs w:val="17"/>
                <w:u w:val="single"/>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u w:val="single"/>
              </w:rPr>
            </w:pP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Hystricidae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Hystrix africaeaustralis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Cape Porcupine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Hystrix cristata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North African Crested Porcupine, Crested Porcupine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Caviidae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Dolichotis patagonum</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Patagonian Cavy, Mara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Hydrochoerus hydrochaeris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Capybara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Dasyproctidae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Dasyprocta leporina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Brazilian Agouti, Red-rumped Agouti</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AVES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STRUTHIONIFORMES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Rheidae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Rhea americana</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Greater Rhea</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b/>
                <w:bCs/>
                <w:szCs w:val="17"/>
                <w:u w:val="single"/>
              </w:rPr>
            </w:pPr>
            <w:r w:rsidRPr="004A192B">
              <w:rPr>
                <w:rFonts w:eastAsia="Times New Roman"/>
                <w:b/>
                <w:bCs/>
                <w:szCs w:val="17"/>
                <w:u w:val="single"/>
              </w:rPr>
              <w:t>Apterygidae</w:t>
            </w:r>
          </w:p>
        </w:tc>
        <w:tc>
          <w:tcPr>
            <w:tcW w:w="2280" w:type="dxa"/>
            <w:tcBorders>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Apteryx australis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Brown Kiwi</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Apteryx mantelli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Northern Brown Kiwi</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CICONIIFORMES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Phoenicopteridae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Phoenicopterus chilensis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Chilean Flamingo</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Phoenicopterus ruber</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Greater Flamingo</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CATHARTIFORMES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Cathartidae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Vultur gryphus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Andean Condor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GALLIFORMES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Cracidae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Mitu tuberosum</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Razor-billed Curassow</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REPTILIA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CROCODYLIA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Alligatoridae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Alligator mississippiensis</w:t>
            </w:r>
          </w:p>
        </w:tc>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American Alligator</w:t>
            </w:r>
          </w:p>
        </w:tc>
        <w:tc>
          <w:tcPr>
            <w:tcW w:w="216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Caiman crocodilus</w:t>
            </w:r>
          </w:p>
        </w:tc>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Brown Caiman, Common Caiman, Spectacled Caiman</w:t>
            </w: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nil"/>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bottom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single" w:sz="4" w:space="0" w:color="auto"/>
              <w:bottom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single" w:sz="4" w:space="0" w:color="auto"/>
              <w:bottom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single" w:sz="4" w:space="0" w:color="auto"/>
              <w:bottom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single" w:sz="4" w:space="0" w:color="auto"/>
              <w:bottom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b/>
                <w:bCs/>
                <w:szCs w:val="17"/>
                <w:u w:val="single"/>
              </w:rPr>
            </w:pPr>
            <w:r w:rsidRPr="004A192B">
              <w:rPr>
                <w:rFonts w:eastAsia="Times New Roman"/>
                <w:b/>
                <w:bCs/>
                <w:szCs w:val="17"/>
                <w:u w:val="single"/>
              </w:rPr>
              <w:t>Crocodylidae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before="80"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Crocodylus mindorensis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Philippine Crocodile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Crocodylus novaeguineae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New Guinea Crocodile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Tomistoma schlegelii</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False Gharial, False Gavial, Malayan Gharial, Malayan Gavial, Tomistoma</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TESTUDINES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Chelydridae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Chelydra serpentina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Common Snapping Turtle, Common Snapper Turtle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Macroclemys temminckii</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Alligator Snapping Turtle, Alligator Snapper Turtle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Geoemydidae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Cuora amboinensis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Malaysian Box Turtle, South Asian Box Turtle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Cuora trifasciata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Chinese Three-striped Box Turtle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Heosemys spinosa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Spiny Turtle, Sunburst Turtle, Spiny Terrapin, Sunburst Terrapin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Rhinoclemmys pulcherrima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Painted Wood Turtle, Central American Wood Turtle, Mexican Wood Turtle, Ornate Turtle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Terrapene carolina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Common Box Turtle, Eastern Box Turtle, Mexican Box Turtle, American Box Turtle, Yucatan Box Turtle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Terrapene ornata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Ornate Box Turtle, Western Box Turtle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Testudinidae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Astrochelys radiata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Radiated Tortoise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Chelonoidis chilensis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Argentine Tortoise, Chaco Tortoise, Southern Wood Tortoise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Geochelone elegans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Indian Star Tortoise, Star Tortoise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Geochelone gigantea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Aldabra Tortoise, Aldabra Giant Tortoise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Geochelone nigra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Galapagos Giant Tortoise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Indotestudo elongata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Elongated Tortoise, Pineapple Tortoise, Red-nosed Tortoise, Yellow Tortoise, Yellow-headed Tortoise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Kinixys belliana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Bell’s Hinged Tortoise, Bell’s Hinged-backed Tortoise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Manouria emys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Asian Giant Tortoise, Asian Tortoise, Black Giant Tortoise, Burmese Brown Tortoise, Burmese Mountain Tortoise, Six-legged Tortoise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Stigmochelys pardalis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Leopard Tortoise, Mountain Tortoise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Testudo graeca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Spur-thighed Tortoise, Common Tortoise, Greek Tortoise, Moorish Tortoise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Testudo hermanni</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Hermann’s Tortoise</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Testudo horsfieldii</w:t>
            </w:r>
          </w:p>
        </w:tc>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Afghan Tortoise, Central Asian Tortoise, Four-toed Tortoise, Horsfield’s Tortoise, Steppe Tortoise</w:t>
            </w:r>
          </w:p>
        </w:tc>
        <w:tc>
          <w:tcPr>
            <w:tcW w:w="21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bottom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single" w:sz="4" w:space="0" w:color="auto"/>
              <w:bottom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single" w:sz="4" w:space="0" w:color="auto"/>
              <w:bottom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single" w:sz="4" w:space="0" w:color="auto"/>
              <w:bottom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single" w:sz="4" w:space="0" w:color="auto"/>
              <w:bottom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tcBorders>
            <w:shd w:val="clear" w:color="auto" w:fill="auto"/>
          </w:tcPr>
          <w:p w:rsidR="004A192B" w:rsidRPr="004A192B" w:rsidRDefault="004A192B" w:rsidP="004A192B">
            <w:pPr>
              <w:spacing w:after="0"/>
              <w:jc w:val="left"/>
              <w:rPr>
                <w:rFonts w:eastAsia="Times New Roman"/>
                <w:szCs w:val="17"/>
              </w:rPr>
            </w:pPr>
          </w:p>
        </w:tc>
        <w:tc>
          <w:tcPr>
            <w:tcW w:w="2280" w:type="dxa"/>
            <w:tcBorders>
              <w:top w:val="nil"/>
            </w:tcBorders>
            <w:shd w:val="clear" w:color="auto" w:fill="auto"/>
          </w:tcPr>
          <w:p w:rsidR="004A192B" w:rsidRPr="004A192B" w:rsidRDefault="004A192B" w:rsidP="004A192B">
            <w:pPr>
              <w:spacing w:after="0"/>
              <w:jc w:val="left"/>
              <w:rPr>
                <w:rFonts w:eastAsia="Times New Roman"/>
                <w:szCs w:val="17"/>
              </w:rPr>
            </w:pPr>
          </w:p>
        </w:tc>
        <w:tc>
          <w:tcPr>
            <w:tcW w:w="2160" w:type="dxa"/>
            <w:tcBorders>
              <w:top w:val="nil"/>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bottom w:val="nil"/>
            </w:tcBorders>
            <w:shd w:val="clear" w:color="auto" w:fill="auto"/>
          </w:tcPr>
          <w:p w:rsidR="004A192B" w:rsidRPr="004A192B" w:rsidRDefault="004A192B" w:rsidP="004A192B">
            <w:pPr>
              <w:spacing w:after="0"/>
              <w:jc w:val="left"/>
              <w:rPr>
                <w:rFonts w:eastAsia="Times New Roman"/>
                <w:b/>
                <w:bCs/>
                <w:szCs w:val="17"/>
                <w:u w:val="single"/>
              </w:rPr>
            </w:pPr>
          </w:p>
        </w:tc>
        <w:tc>
          <w:tcPr>
            <w:tcW w:w="2280" w:type="dxa"/>
            <w:tcBorders>
              <w:top w:val="nil"/>
              <w:bottom w:val="nil"/>
            </w:tcBorders>
            <w:shd w:val="clear" w:color="auto" w:fill="auto"/>
          </w:tcPr>
          <w:p w:rsidR="004A192B" w:rsidRPr="004A192B" w:rsidRDefault="004A192B" w:rsidP="004A192B">
            <w:pPr>
              <w:spacing w:after="0"/>
              <w:jc w:val="left"/>
              <w:rPr>
                <w:rFonts w:eastAsia="Times New Roman"/>
                <w:b/>
                <w:bCs/>
                <w:szCs w:val="17"/>
                <w:u w:val="single"/>
              </w:rPr>
            </w:pPr>
          </w:p>
        </w:tc>
        <w:tc>
          <w:tcPr>
            <w:tcW w:w="2160" w:type="dxa"/>
            <w:tcBorders>
              <w:top w:val="nil"/>
              <w:bottom w:val="nil"/>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bottom w:val="nil"/>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bottom w:val="nil"/>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b/>
                <w:bCs/>
                <w:szCs w:val="17"/>
                <w:u w:val="single"/>
              </w:rPr>
            </w:pPr>
            <w:r w:rsidRPr="004A192B">
              <w:rPr>
                <w:rFonts w:eastAsia="Times New Roman"/>
                <w:b/>
                <w:bCs/>
                <w:szCs w:val="17"/>
                <w:u w:val="single"/>
              </w:rPr>
              <w:t>Chelidae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Chelus fimbriata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Matamata Turtle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Hydromedusa tectifera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South American Snake-necked Turtle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Platemys platycephala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Twist-necked Turtle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RHYNCHOCEPHALIA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Sphenodontidae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Sphenodon punctatus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Beak-head Tuatara, Cook Strait Tuatara, Sphenodon</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SQUAMATA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Agamidae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Hydrosaurus pustulatus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Crested Lizard, Philippine Sailfin Lizard, Soa-Soa Water Lizard</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tcPr>
          <w:p w:rsidR="004A192B" w:rsidRPr="004A192B" w:rsidRDefault="004A192B" w:rsidP="004A192B">
            <w:pPr>
              <w:spacing w:after="0"/>
              <w:jc w:val="left"/>
              <w:rPr>
                <w:rFonts w:eastAsia="Times New Roman"/>
                <w:b/>
                <w:iCs/>
                <w:szCs w:val="17"/>
              </w:rPr>
            </w:pPr>
            <w:r w:rsidRPr="004A192B">
              <w:rPr>
                <w:rFonts w:eastAsia="Times New Roman"/>
                <w:b/>
                <w:iCs/>
                <w:szCs w:val="17"/>
              </w:rPr>
              <w:t>Anguidae</w:t>
            </w:r>
          </w:p>
        </w:tc>
        <w:tc>
          <w:tcPr>
            <w:tcW w:w="2280" w:type="dxa"/>
            <w:tcBorders>
              <w:top w:val="nil"/>
              <w:left w:val="single" w:sz="4" w:space="0" w:color="auto"/>
              <w:bottom w:val="nil"/>
              <w:right w:val="nil"/>
            </w:tcBorders>
            <w:shd w:val="clear" w:color="auto" w:fill="auto"/>
          </w:tcPr>
          <w:p w:rsidR="004A192B" w:rsidRPr="004A192B" w:rsidRDefault="004A192B" w:rsidP="004A192B">
            <w:pPr>
              <w:spacing w:after="0"/>
              <w:jc w:val="left"/>
              <w:rPr>
                <w:rFonts w:eastAsia="Times New Roman"/>
                <w:szCs w:val="17"/>
              </w:rPr>
            </w:pPr>
          </w:p>
        </w:tc>
        <w:tc>
          <w:tcPr>
            <w:tcW w:w="2160" w:type="dxa"/>
            <w:tcBorders>
              <w:top w:val="nil"/>
              <w:left w:val="single" w:sz="4" w:space="0" w:color="auto"/>
              <w:bottom w:val="nil"/>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left w:val="nil"/>
              <w:bottom w:val="nil"/>
              <w:right w:val="nil"/>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Pseudopus apodus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Armoured Glass Lizard, European Glass Lizard, Sheltopusik</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Chamaeleonidae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Chamaeleo calyptratus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Veiled Chameleon</w:t>
            </w:r>
          </w:p>
        </w:tc>
        <w:tc>
          <w:tcPr>
            <w:tcW w:w="2160" w:type="dxa"/>
            <w:tcBorders>
              <w:top w:val="nil"/>
              <w:left w:val="nil"/>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Triceros jacksonii</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Jackson’s Three-horned Chameleon</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Corytophanidae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Basiliscus plumifrons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Green Basilisk, Double-crested Basilisk</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Diplodactylidae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Eurydactylodes vieillardi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Bavay’s Gecko, Vieillard’s Chameleon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Rhacodactylus auriculatus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New Caledonian Bumpy Gecko, Eared Caledonian Gecko</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Rhacodactylus ciliatus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Guichenot’s Giant Gecko, Crested Gecko, Eyelash Gecko</w:t>
            </w:r>
          </w:p>
        </w:tc>
        <w:tc>
          <w:tcPr>
            <w:tcW w:w="2160" w:type="dxa"/>
            <w:tcBorders>
              <w:top w:val="nil"/>
              <w:left w:val="nil"/>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Rhacodactylus leachianus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New Caledonian Giant Gecko, Cuvier’s Caledonian Gecko</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Rhacodactylus sarasinorum</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Sarasin’s Giant Gecko</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Gekkonidae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Gekko gecko</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Tokay Gecko</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Gekko vittatus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Lined Gecko, Striped Gecko</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Hemidactylus frenatus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Bridled House Gecko, Common House Gecko, Cheechak</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Hemidactylus garnotii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Indopacific Gecko, Spiny Gecko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Phelsuma madagascariensis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Madagascar Day Gecko</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Helodermatidae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Heloderma suspectum</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Gila Monster, Reticulated Gila Monster</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Iguanidae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Brachylophus bulabula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Fiji Banded Iguana, Central Fijian Banded Iguana</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Brachylophus fasciatus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Lau Banded Iguana, Fiji Banded Iguana, South Pacific Banded Iguana</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Brachylophus vitiensis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Fiji Crested Iguana</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Cyclura cornuta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Rhinoceros Iguana</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Iguana iguana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Green Iguana</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Scincidae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Corucia zebrata</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Solomon Islands Skink</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Emoia flavigularis</w:t>
            </w:r>
          </w:p>
        </w:tc>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Yellow-throated Emo Skink</w:t>
            </w:r>
          </w:p>
        </w:tc>
        <w:tc>
          <w:tcPr>
            <w:tcW w:w="21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nil"/>
            </w:tcBorders>
            <w:shd w:val="clear" w:color="auto" w:fill="auto"/>
            <w:hideMark/>
          </w:tcPr>
          <w:p w:rsidR="004A192B" w:rsidRPr="004A192B" w:rsidRDefault="004A192B" w:rsidP="004A192B">
            <w:pPr>
              <w:spacing w:before="80"/>
              <w:jc w:val="left"/>
              <w:rPr>
                <w:rFonts w:eastAsia="Times New Roman"/>
                <w:i/>
                <w:iCs/>
                <w:szCs w:val="17"/>
              </w:rPr>
            </w:pPr>
            <w:r w:rsidRPr="004A192B">
              <w:rPr>
                <w:rFonts w:eastAsia="Times New Roman"/>
                <w:i/>
                <w:iCs/>
                <w:szCs w:val="17"/>
              </w:rPr>
              <w:t>Geomyersia glabra</w:t>
            </w:r>
          </w:p>
        </w:tc>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80"/>
              <w:jc w:val="left"/>
              <w:rPr>
                <w:rFonts w:eastAsia="Times New Roman"/>
                <w:szCs w:val="17"/>
              </w:rPr>
            </w:pPr>
            <w:r w:rsidRPr="004A192B">
              <w:rPr>
                <w:rFonts w:eastAsia="Times New Roman"/>
                <w:szCs w:val="17"/>
              </w:rPr>
              <w:t>Greer’s Island Skink</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jc w:val="left"/>
              <w:rPr>
                <w:rFonts w:eastAsia="Times New Roman"/>
                <w:szCs w:val="17"/>
              </w:rPr>
            </w:pPr>
            <w:r w:rsidRPr="004A192B">
              <w:rPr>
                <w:rFonts w:eastAsia="Times New Roman"/>
                <w:szCs w:val="17"/>
              </w:rPr>
              <w:t> </w:t>
            </w:r>
          </w:p>
        </w:tc>
        <w:tc>
          <w:tcPr>
            <w:tcW w:w="960" w:type="dxa"/>
            <w:tcBorders>
              <w:top w:val="single" w:sz="4" w:space="0" w:color="auto"/>
              <w:left w:val="nil"/>
              <w:bottom w:val="nil"/>
              <w:right w:val="nil"/>
            </w:tcBorders>
            <w:shd w:val="clear" w:color="auto" w:fill="auto"/>
            <w:noWrap/>
            <w:vAlign w:val="bottom"/>
            <w:hideMark/>
          </w:tcPr>
          <w:p w:rsidR="004A192B" w:rsidRPr="004A192B" w:rsidRDefault="004A192B" w:rsidP="004A192B">
            <w:pPr>
              <w:spacing w:before="80"/>
              <w:jc w:val="center"/>
              <w:rPr>
                <w:rFonts w:eastAsia="Times New Roman"/>
                <w:szCs w:val="17"/>
              </w:rPr>
            </w:pPr>
          </w:p>
        </w:tc>
        <w:tc>
          <w:tcPr>
            <w:tcW w:w="1680" w:type="dxa"/>
            <w:tcBorders>
              <w:top w:val="single" w:sz="4" w:space="0" w:color="auto"/>
              <w:left w:val="single" w:sz="4" w:space="0" w:color="auto"/>
              <w:bottom w:val="nil"/>
              <w:right w:val="single" w:sz="4" w:space="0" w:color="auto"/>
            </w:tcBorders>
            <w:shd w:val="clear" w:color="auto" w:fill="auto"/>
            <w:noWrap/>
            <w:vAlign w:val="bottom"/>
            <w:hideMark/>
          </w:tcPr>
          <w:p w:rsidR="004A192B" w:rsidRPr="004A192B" w:rsidRDefault="004A192B" w:rsidP="004A192B">
            <w:pPr>
              <w:spacing w:before="8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Geoscincus haraldmeieri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Lizard, Scincid</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Prasinohaema virens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Green Tree Skink</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Sphenomorphus concinnatus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Lizard, Scincid</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Tropidoscincus variabilis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Southern Whiptailed Lizard</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Teiidae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Salvator merianae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Black-and-white Tegu</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Varanidae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Varanus komodoensis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Komodo Dragon, Komodo Monitor, Ora</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tcPr>
          <w:p w:rsidR="004A192B" w:rsidRPr="004A192B" w:rsidRDefault="004A192B" w:rsidP="004A192B">
            <w:pPr>
              <w:spacing w:after="0"/>
              <w:jc w:val="left"/>
              <w:rPr>
                <w:rFonts w:eastAsia="Times New Roman"/>
                <w:b/>
                <w:bCs/>
                <w:szCs w:val="17"/>
                <w:u w:val="single"/>
              </w:rPr>
            </w:pPr>
          </w:p>
        </w:tc>
        <w:tc>
          <w:tcPr>
            <w:tcW w:w="2280" w:type="dxa"/>
            <w:tcBorders>
              <w:top w:val="nil"/>
              <w:left w:val="single" w:sz="4" w:space="0" w:color="auto"/>
              <w:bottom w:val="nil"/>
              <w:right w:val="nil"/>
            </w:tcBorders>
            <w:shd w:val="clear" w:color="auto" w:fill="auto"/>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left w:val="nil"/>
              <w:bottom w:val="nil"/>
              <w:right w:val="nil"/>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Boidae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Acrantophis dumerili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Dumeril’s Boa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Boa constrictor</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Boa Constrictor, Ampalagua, Giboya, Masacuate</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Candoia aspera</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New Guinea Viper, Papuan Ground Boa</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i/>
                <w:iCs/>
                <w:szCs w:val="17"/>
              </w:rPr>
            </w:pPr>
            <w:r w:rsidRPr="004A192B">
              <w:rPr>
                <w:rFonts w:eastAsia="Times New Roman"/>
                <w:i/>
                <w:iCs/>
                <w:szCs w:val="17"/>
              </w:rPr>
              <w:t>Candoia bibroni</w:t>
            </w:r>
          </w:p>
        </w:tc>
        <w:tc>
          <w:tcPr>
            <w:tcW w:w="2280" w:type="dxa"/>
            <w:tcBorders>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Fiji Island Boa, Pacific Boa, Solomon Island Boa</w:t>
            </w:r>
          </w:p>
        </w:tc>
        <w:tc>
          <w:tcPr>
            <w:tcW w:w="2160" w:type="dxa"/>
            <w:tcBorders>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c>
          <w:tcPr>
            <w:tcW w:w="960" w:type="dxa"/>
            <w:tcBorders>
              <w:left w:val="nil"/>
              <w:bottom w:val="nil"/>
              <w:right w:val="nil"/>
            </w:tcBorders>
            <w:shd w:val="clear" w:color="auto" w:fill="auto"/>
            <w:noWrap/>
            <w:vAlign w:val="bottom"/>
            <w:hideMark/>
          </w:tcPr>
          <w:p w:rsidR="004A192B" w:rsidRPr="004A192B" w:rsidRDefault="004A192B" w:rsidP="004A192B">
            <w:pPr>
              <w:spacing w:before="80" w:after="0"/>
              <w:jc w:val="center"/>
              <w:rPr>
                <w:rFonts w:eastAsia="Times New Roman"/>
                <w:szCs w:val="17"/>
              </w:rPr>
            </w:pPr>
          </w:p>
        </w:tc>
        <w:tc>
          <w:tcPr>
            <w:tcW w:w="1680" w:type="dxa"/>
            <w:tcBorders>
              <w:left w:val="single" w:sz="4" w:space="0" w:color="auto"/>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Candoia carinata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Solomon Ground Boa, Tree Boa, Pacific Ground Boa, Pacific Keel-scaled Boa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Corallus caninus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Emerald Tree Boa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Corallus hortulanus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Cook’s Tree Boa, Garden Boa, Amazon Tree Boa, Tree Boa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Epicrates cenchria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Rainbow Boa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Eunectes murinus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Green Anaconda, Water Boa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Eunectes notaeus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Yellow Anaconda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Sanzinia madagascariensis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Madagascar Boa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Pythonidae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Apodora papuana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Papuan Python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Bothrochilus boa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Barred Python, Bismarck Ringed Python, Ringed Python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Malopython reticulatus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Java Rock Python, Regal Python, Reticulated Python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Malopython timoriensis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Timor Python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Python bivattatus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Burmese Python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Python brongersmai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Blood Python, Brongersma’s Short-tailed Python, Red Short-tailed Python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xml:space="preserve">Python curtus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Blood Python, Sumatran Short-tailed Python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xml:space="preserve">Python molurus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Asiatic Rock Python, Burmese Python, Tiger Python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Python regius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Ball Python, Royal Python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Colubridae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Boiga dendrophila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Mangrove Cat Snake, Mangrove Snake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Elaphe schrenkii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Russian Rat Snake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Lampropeltis alterna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Grey-banded Kingsnake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Lampropeltis getula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Common Kingsnake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Lampropeltis mexicana</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Grey-banded Kingsnake, San Luis Potosi Kingsnake; </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Lampropeltis micropholis</w:t>
            </w:r>
          </w:p>
        </w:tc>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Milk Snake, Kingsnake, Ecuadorian Milksnake, Scarlet Snake, Scarlet Milk Snake</w:t>
            </w:r>
          </w:p>
        </w:tc>
        <w:tc>
          <w:tcPr>
            <w:tcW w:w="21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i/>
                <w:iCs/>
                <w:szCs w:val="17"/>
              </w:rPr>
            </w:pPr>
            <w:r w:rsidRPr="004A192B">
              <w:rPr>
                <w:rFonts w:eastAsia="Times New Roman"/>
                <w:i/>
                <w:iCs/>
                <w:szCs w:val="17"/>
              </w:rPr>
              <w:t>Orthriophis taeniurus</w:t>
            </w:r>
          </w:p>
        </w:tc>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80"/>
              <w:jc w:val="left"/>
              <w:rPr>
                <w:rFonts w:eastAsia="Times New Roman"/>
                <w:szCs w:val="17"/>
              </w:rPr>
            </w:pPr>
            <w:r w:rsidRPr="004A192B">
              <w:rPr>
                <w:rFonts w:eastAsia="Times New Roman"/>
                <w:szCs w:val="17"/>
              </w:rPr>
              <w:t>Taiwan Beauty Snake, Striped Trinket Snake, Stripe-tailed RatSnake</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c>
          <w:tcPr>
            <w:tcW w:w="960" w:type="dxa"/>
            <w:tcBorders>
              <w:top w:val="single" w:sz="4" w:space="0" w:color="auto"/>
              <w:left w:val="nil"/>
              <w:bottom w:val="nil"/>
              <w:right w:val="nil"/>
            </w:tcBorders>
            <w:shd w:val="clear" w:color="auto" w:fill="auto"/>
            <w:noWrap/>
            <w:vAlign w:val="bottom"/>
            <w:hideMark/>
          </w:tcPr>
          <w:p w:rsidR="004A192B" w:rsidRPr="004A192B" w:rsidRDefault="004A192B" w:rsidP="004A192B">
            <w:pPr>
              <w:spacing w:before="80" w:after="0"/>
              <w:jc w:val="center"/>
              <w:rPr>
                <w:rFonts w:eastAsia="Times New Roman"/>
                <w:szCs w:val="17"/>
              </w:rPr>
            </w:pPr>
          </w:p>
        </w:tc>
        <w:tc>
          <w:tcPr>
            <w:tcW w:w="1680" w:type="dxa"/>
            <w:tcBorders>
              <w:top w:val="single" w:sz="4" w:space="0" w:color="auto"/>
              <w:left w:val="single" w:sz="4" w:space="0" w:color="auto"/>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Pantherophis guttata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Corn Snake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Hydrophiidae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Laticauda crockeri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Crocker’s Sea Snake, Rennell Island Sea Krait</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Laticauda schistorhynchus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Flat-tailed Sea Snake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Typhlopidae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Indotyphlops braminus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Flowerpot Snake, Brahminy Blind Snake, Bootlace Snake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Viperidae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Agkistrodon bilineatus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Cantil, Castellana, Mexican Moccasin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Bitis arietans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Puff Adder</w:t>
            </w:r>
          </w:p>
        </w:tc>
        <w:tc>
          <w:tcPr>
            <w:tcW w:w="2160" w:type="dxa"/>
            <w:tcBorders>
              <w:top w:val="nil"/>
              <w:left w:val="nil"/>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Bitis gabonica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Gaboon Viper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Bitis nasicornis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Rhinoceros Viper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Bothriechis schlegelii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Eyelash Palm Pit Viper, Eyelash Palm Viper, Eyelash Viper, Horned Palm Viper, Speckled Palm Pit Viper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Crotalus adamanteus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Eastern Diamondback Rattlesnake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Crotalus atrox</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Western Diamondback Rattlesnake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Crotalus durissus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Neotropical Rattlesnake, Cascabel Rattlesnake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Crotalus lepidus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Rock Rattlesnake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Crotalus unicolor</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Aruba Island Rattlesnake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Crotalus vegrandis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Uracoan Rattlesnake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Daboia russelii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Russell’s Viper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Sistrurus catenatus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Massasauga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Elapidae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Loveridgelaps elapoides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Orange-banded Snake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Naja haje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Egyptian Cobra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Naja kaouthia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Monocled Cobra, Monocellate Cobra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Naja melanoleuca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Forest Cobra, Black-Lipped Cobra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Naja mossambica</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Mozambique Spitting Cobra</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Naja siamensis</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Siamese Cobra, Black-and-white Spitting Cobra, Indo-Chinese Spitting Cobra</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right w:val="nil"/>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i/>
                <w:iCs/>
                <w:szCs w:val="17"/>
              </w:rPr>
            </w:pPr>
            <w:r w:rsidRPr="004A192B">
              <w:rPr>
                <w:rFonts w:eastAsia="Times New Roman"/>
                <w:i/>
                <w:iCs/>
                <w:szCs w:val="17"/>
              </w:rPr>
              <w:t>Ophiophagus hannah</w:t>
            </w:r>
          </w:p>
        </w:tc>
        <w:tc>
          <w:tcPr>
            <w:tcW w:w="2280" w:type="dxa"/>
            <w:tcBorders>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King Cobra</w:t>
            </w:r>
          </w:p>
        </w:tc>
        <w:tc>
          <w:tcPr>
            <w:tcW w:w="2160" w:type="dxa"/>
            <w:tcBorders>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c>
          <w:tcPr>
            <w:tcW w:w="960" w:type="dxa"/>
            <w:tcBorders>
              <w:left w:val="nil"/>
              <w:bottom w:val="nil"/>
              <w:right w:val="nil"/>
            </w:tcBorders>
            <w:shd w:val="clear" w:color="auto" w:fill="auto"/>
            <w:noWrap/>
            <w:vAlign w:val="bottom"/>
            <w:hideMark/>
          </w:tcPr>
          <w:p w:rsidR="004A192B" w:rsidRPr="004A192B" w:rsidRDefault="004A192B" w:rsidP="004A192B">
            <w:pPr>
              <w:spacing w:before="80" w:after="0"/>
              <w:jc w:val="center"/>
              <w:rPr>
                <w:rFonts w:eastAsia="Times New Roman"/>
                <w:szCs w:val="17"/>
              </w:rPr>
            </w:pPr>
          </w:p>
        </w:tc>
        <w:tc>
          <w:tcPr>
            <w:tcW w:w="1680" w:type="dxa"/>
            <w:tcBorders>
              <w:left w:val="single" w:sz="4" w:space="0" w:color="auto"/>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Parapistocalamus hedigeri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Hediger’s Snake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Salomonelaps par</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Solomon Islands Brown Snake</w:t>
            </w:r>
          </w:p>
        </w:tc>
        <w:tc>
          <w:tcPr>
            <w:tcW w:w="2160" w:type="dxa"/>
            <w:tcBorders>
              <w:top w:val="nil"/>
              <w:left w:val="nil"/>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AMPHIBIA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CAUDATA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Cryptobranchidae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Andrias japonicus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Japanese Giant Salamander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Salamandridae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Taricha granulosa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Rough-skinned Newt</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Lissotritons vulgaris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Smooth Newt, Common Newt</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ANURA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Bufonidae</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Rhinella marina</w:t>
            </w:r>
          </w:p>
        </w:tc>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Cane Toad, Giant Toad, Marine Toad</w:t>
            </w:r>
          </w:p>
        </w:tc>
        <w:tc>
          <w:tcPr>
            <w:tcW w:w="21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bottom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single" w:sz="4" w:space="0" w:color="auto"/>
              <w:bottom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single" w:sz="4" w:space="0" w:color="auto"/>
              <w:bottom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single" w:sz="4" w:space="0" w:color="auto"/>
              <w:bottom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single" w:sz="4" w:space="0" w:color="auto"/>
              <w:bottom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b/>
                <w:bCs/>
                <w:szCs w:val="17"/>
                <w:u w:val="single"/>
              </w:rPr>
            </w:pPr>
            <w:r w:rsidRPr="004A192B">
              <w:rPr>
                <w:rFonts w:eastAsia="Times New Roman"/>
                <w:b/>
                <w:bCs/>
                <w:szCs w:val="17"/>
                <w:u w:val="single"/>
              </w:rPr>
              <w:t>Dendrobatidae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before="80"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Dendrobates auratus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Green Poison Frog, Green-and-black Poison Frog, Green-and-golden Poison Frog</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Adelphobates galactonotus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Splash-backed Poison-arrow Frog</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Dendrobates tinctorius</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Dyeing Poison-arrow Frog</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Microhylidae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160" w:type="dxa"/>
            <w:tcBorders>
              <w:top w:val="nil"/>
              <w:left w:val="nil"/>
              <w:bottom w:val="nil"/>
              <w:right w:val="nil"/>
            </w:tcBorders>
            <w:shd w:val="clear" w:color="auto" w:fill="auto"/>
            <w:hideMark/>
          </w:tcPr>
          <w:p w:rsidR="004A192B" w:rsidRPr="004A192B" w:rsidRDefault="004A192B" w:rsidP="004A192B">
            <w:pPr>
              <w:spacing w:after="0"/>
              <w:jc w:val="left"/>
              <w:rPr>
                <w:rFonts w:eastAsia="Times New Roman"/>
                <w:i/>
                <w:iCs/>
                <w:szCs w:val="17"/>
              </w:rPr>
            </w:pPr>
          </w:p>
        </w:tc>
        <w:tc>
          <w:tcPr>
            <w:tcW w:w="96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center"/>
              <w:rPr>
                <w:rFonts w:eastAsia="Times New Roman"/>
                <w:i/>
                <w:iCs/>
                <w:szCs w:val="17"/>
              </w:rPr>
            </w:pPr>
          </w:p>
        </w:tc>
        <w:tc>
          <w:tcPr>
            <w:tcW w:w="16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Kaloula pulchra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Banded Bullfrog, Indian Bullfrog</w:t>
            </w:r>
          </w:p>
        </w:tc>
        <w:tc>
          <w:tcPr>
            <w:tcW w:w="2160" w:type="dxa"/>
            <w:tcBorders>
              <w:top w:val="nil"/>
              <w:left w:val="nil"/>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i/>
                <w:iCs/>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Pipidae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Xenopus laevis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African Clawed Frog</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Pyxicephalidae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81"/>
        </w:trPr>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Pyxicephalus adspersus</w:t>
            </w:r>
          </w:p>
        </w:tc>
        <w:tc>
          <w:tcPr>
            <w:tcW w:w="2280" w:type="dxa"/>
            <w:tcBorders>
              <w:top w:val="nil"/>
              <w:left w:val="nil"/>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African Bull Frog, Giant Bull Frog</w:t>
            </w:r>
          </w:p>
        </w:tc>
        <w:tc>
          <w:tcPr>
            <w:tcW w:w="21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75"/>
        </w:trPr>
        <w:tc>
          <w:tcPr>
            <w:tcW w:w="2280" w:type="dxa"/>
            <w:tcBorders>
              <w:top w:val="single" w:sz="4" w:space="0" w:color="auto"/>
              <w:left w:val="single" w:sz="4" w:space="0" w:color="auto"/>
              <w:bottom w:val="nil"/>
              <w:right w:val="single" w:sz="4" w:space="0" w:color="auto"/>
            </w:tcBorders>
            <w:shd w:val="clear" w:color="auto" w:fill="auto"/>
            <w:vAlign w:val="bottom"/>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3</w:t>
            </w:r>
          </w:p>
        </w:tc>
        <w:tc>
          <w:tcPr>
            <w:tcW w:w="2280" w:type="dxa"/>
            <w:tcBorders>
              <w:top w:val="single" w:sz="4" w:space="0" w:color="auto"/>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186(1)(3), 187(1), 188, 189, 190, 191(1), 192(1)</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r w:rsidRPr="004A192B">
              <w:rPr>
                <w:rFonts w:eastAsia="Times New Roman"/>
                <w:szCs w:val="17"/>
              </w:rPr>
              <w:t>2</w:t>
            </w: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Whole of the State</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ARTIODACTYLA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Bovidae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Antilope cervicapra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Blackbuck</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Bison bison</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American Bison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155"/>
        </w:trPr>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Bos javanicus</w:t>
            </w:r>
          </w:p>
          <w:p w:rsidR="004A192B" w:rsidRPr="004A192B" w:rsidRDefault="004A192B" w:rsidP="004A192B">
            <w:pPr>
              <w:spacing w:after="0"/>
              <w:jc w:val="left"/>
              <w:rPr>
                <w:rFonts w:eastAsia="Times New Roman"/>
                <w:iCs/>
                <w:szCs w:val="17"/>
              </w:rPr>
            </w:pPr>
          </w:p>
        </w:tc>
        <w:tc>
          <w:tcPr>
            <w:tcW w:w="2280" w:type="dxa"/>
            <w:tcBorders>
              <w:top w:val="nil"/>
              <w:left w:val="nil"/>
              <w:bottom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Banteng</w:t>
            </w:r>
          </w:p>
        </w:tc>
        <w:tc>
          <w:tcPr>
            <w:tcW w:w="21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4</w:t>
            </w:r>
          </w:p>
        </w:tc>
        <w:tc>
          <w:tcPr>
            <w:tcW w:w="2280" w:type="dxa"/>
            <w:tcBorders>
              <w:top w:val="single" w:sz="4" w:space="0" w:color="auto"/>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nil"/>
            </w:tcBorders>
            <w:shd w:val="clear" w:color="auto" w:fill="auto"/>
            <w:hideMark/>
          </w:tcPr>
          <w:p w:rsidR="004A192B" w:rsidRPr="004A192B" w:rsidRDefault="004A192B" w:rsidP="004A192B">
            <w:pPr>
              <w:spacing w:after="0"/>
              <w:jc w:val="left"/>
              <w:rPr>
                <w:rFonts w:eastAsia="Times New Roman"/>
                <w:b/>
                <w:bCs/>
                <w:szCs w:val="17"/>
              </w:rPr>
            </w:pPr>
          </w:p>
        </w:tc>
        <w:tc>
          <w:tcPr>
            <w:tcW w:w="2160" w:type="dxa"/>
            <w:tcBorders>
              <w:top w:val="nil"/>
              <w:left w:val="single" w:sz="4" w:space="0" w:color="auto"/>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189, 191(1)</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r w:rsidRPr="004A192B">
              <w:rPr>
                <w:rFonts w:eastAsia="Times New Roman"/>
                <w:szCs w:val="17"/>
              </w:rPr>
              <w:t>3</w:t>
            </w: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Whole of the State</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CARNIVORA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Canidae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Canis familiaris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Dog (excludes dingoes, dingo hybrids &amp; New Guinea Singing Dog)</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Felidae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Felis catus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Cat</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PERISSODACTYLA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Equidae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Equus asinus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Donkey</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Equus ferus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Horse</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Equus ferus x E. asinus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Mule</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ARTIODACTYLA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Camelidae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Camelus dromedarius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Camel, Dromedary Camel, Arabian Camel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Lama glama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Llama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Vicugna pacos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Alpaca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Bovidae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Bos indicus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Indian Ox</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Bos taurus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Cow, European Cow, Domestic Ox</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Bubalus bubalis</w:t>
            </w:r>
          </w:p>
        </w:tc>
        <w:tc>
          <w:tcPr>
            <w:tcW w:w="2280" w:type="dxa"/>
            <w:tcBorders>
              <w:top w:val="nil"/>
              <w:left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Water Buffalo</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Ovis aries</w:t>
            </w:r>
          </w:p>
        </w:tc>
        <w:tc>
          <w:tcPr>
            <w:tcW w:w="2280" w:type="dxa"/>
            <w:tcBorders>
              <w:top w:val="nil"/>
              <w:left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Sheep</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left w:val="single" w:sz="4" w:space="0" w:color="auto"/>
              <w:right w:val="single" w:sz="4" w:space="0" w:color="auto"/>
            </w:tcBorders>
            <w:shd w:val="clear" w:color="auto" w:fill="FFFFFF" w:themeFill="background1"/>
          </w:tcPr>
          <w:p w:rsidR="004A192B" w:rsidRPr="004A192B" w:rsidRDefault="004A192B" w:rsidP="004A192B">
            <w:pPr>
              <w:spacing w:after="0"/>
              <w:jc w:val="left"/>
              <w:rPr>
                <w:rFonts w:eastAsia="Times New Roman"/>
                <w:b/>
                <w:bCs/>
                <w:szCs w:val="17"/>
                <w:u w:val="single"/>
              </w:rPr>
            </w:pPr>
          </w:p>
        </w:tc>
        <w:tc>
          <w:tcPr>
            <w:tcW w:w="2280" w:type="dxa"/>
            <w:tcBorders>
              <w:left w:val="single" w:sz="4" w:space="0" w:color="auto"/>
              <w:right w:val="single" w:sz="4" w:space="0" w:color="auto"/>
            </w:tcBorders>
            <w:shd w:val="clear" w:color="auto" w:fill="FFFFFF" w:themeFill="background1"/>
          </w:tcPr>
          <w:p w:rsidR="004A192B" w:rsidRPr="004A192B" w:rsidRDefault="004A192B" w:rsidP="004A192B">
            <w:pPr>
              <w:spacing w:after="0"/>
              <w:jc w:val="left"/>
              <w:rPr>
                <w:rFonts w:eastAsia="Times New Roman"/>
                <w:szCs w:val="17"/>
              </w:rPr>
            </w:pPr>
          </w:p>
        </w:tc>
        <w:tc>
          <w:tcPr>
            <w:tcW w:w="2160" w:type="dxa"/>
            <w:tcBorders>
              <w:left w:val="single" w:sz="4" w:space="0" w:color="auto"/>
              <w:right w:val="single" w:sz="4" w:space="0" w:color="auto"/>
            </w:tcBorders>
            <w:shd w:val="clear" w:color="auto" w:fill="FFFFFF" w:themeFill="background1"/>
            <w:noWrap/>
            <w:vAlign w:val="bottom"/>
          </w:tcPr>
          <w:p w:rsidR="004A192B" w:rsidRPr="004A192B" w:rsidRDefault="004A192B" w:rsidP="004A192B">
            <w:pPr>
              <w:spacing w:after="0"/>
              <w:jc w:val="left"/>
              <w:rPr>
                <w:rFonts w:eastAsia="Times New Roman"/>
                <w:szCs w:val="17"/>
              </w:rPr>
            </w:pPr>
          </w:p>
        </w:tc>
        <w:tc>
          <w:tcPr>
            <w:tcW w:w="960" w:type="dxa"/>
            <w:tcBorders>
              <w:left w:val="single" w:sz="4" w:space="0" w:color="auto"/>
              <w:right w:val="single" w:sz="4" w:space="0" w:color="auto"/>
            </w:tcBorders>
            <w:shd w:val="clear" w:color="auto" w:fill="FFFFFF" w:themeFill="background1"/>
            <w:noWrap/>
            <w:vAlign w:val="bottom"/>
          </w:tcPr>
          <w:p w:rsidR="004A192B" w:rsidRPr="004A192B" w:rsidRDefault="004A192B" w:rsidP="004A192B">
            <w:pPr>
              <w:spacing w:after="0"/>
              <w:jc w:val="center"/>
              <w:rPr>
                <w:rFonts w:eastAsia="Times New Roman"/>
                <w:szCs w:val="17"/>
              </w:rPr>
            </w:pPr>
          </w:p>
        </w:tc>
        <w:tc>
          <w:tcPr>
            <w:tcW w:w="1680" w:type="dxa"/>
            <w:tcBorders>
              <w:left w:val="single" w:sz="4" w:space="0" w:color="auto"/>
              <w:right w:val="single" w:sz="4" w:space="0" w:color="auto"/>
            </w:tcBorders>
            <w:shd w:val="clear" w:color="auto" w:fill="FFFFFF" w:themeFill="background1"/>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left w:val="single" w:sz="4" w:space="0" w:color="auto"/>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RODENTIA</w:t>
            </w:r>
          </w:p>
        </w:tc>
        <w:tc>
          <w:tcPr>
            <w:tcW w:w="2280" w:type="dxa"/>
            <w:tcBorders>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Caviidae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Cavia porcellus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Guinea Pig</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tcPr>
          <w:p w:rsidR="004A192B" w:rsidRPr="004A192B" w:rsidRDefault="004A192B" w:rsidP="004A192B">
            <w:pPr>
              <w:spacing w:after="0"/>
              <w:jc w:val="left"/>
              <w:rPr>
                <w:rFonts w:eastAsia="Times New Roman"/>
                <w:b/>
                <w:bCs/>
                <w:szCs w:val="17"/>
                <w:u w:val="single"/>
              </w:rPr>
            </w:pPr>
          </w:p>
        </w:tc>
        <w:tc>
          <w:tcPr>
            <w:tcW w:w="2280" w:type="dxa"/>
            <w:tcBorders>
              <w:top w:val="nil"/>
              <w:left w:val="nil"/>
              <w:bottom w:val="nil"/>
              <w:right w:val="single" w:sz="4" w:space="0" w:color="auto"/>
            </w:tcBorders>
            <w:shd w:val="clear" w:color="auto" w:fill="auto"/>
          </w:tcPr>
          <w:p w:rsidR="004A192B" w:rsidRPr="004A192B" w:rsidRDefault="004A192B" w:rsidP="004A192B">
            <w:pPr>
              <w:spacing w:after="0"/>
              <w:jc w:val="left"/>
              <w:rPr>
                <w:rFonts w:eastAsia="Times New Roman"/>
                <w:szCs w:val="17"/>
              </w:rPr>
            </w:pPr>
          </w:p>
        </w:tc>
        <w:tc>
          <w:tcPr>
            <w:tcW w:w="2160" w:type="dxa"/>
            <w:tcBorders>
              <w:top w:val="nil"/>
              <w:left w:val="nil"/>
              <w:bottom w:val="nil"/>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left w:val="nil"/>
              <w:bottom w:val="nil"/>
              <w:right w:val="single" w:sz="4" w:space="0" w:color="auto"/>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Muridae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tcPr>
          <w:p w:rsidR="004A192B" w:rsidRPr="004A192B" w:rsidRDefault="004A192B" w:rsidP="004A192B">
            <w:pPr>
              <w:spacing w:after="0"/>
              <w:jc w:val="left"/>
              <w:rPr>
                <w:rFonts w:eastAsia="Times New Roman"/>
                <w:i/>
                <w:iCs/>
                <w:szCs w:val="17"/>
              </w:rPr>
            </w:pPr>
            <w:r w:rsidRPr="004A192B">
              <w:rPr>
                <w:rFonts w:eastAsia="Times New Roman"/>
                <w:i/>
                <w:iCs/>
                <w:szCs w:val="17"/>
              </w:rPr>
              <w:t>Mus domesticus</w:t>
            </w:r>
          </w:p>
        </w:tc>
        <w:tc>
          <w:tcPr>
            <w:tcW w:w="2280" w:type="dxa"/>
            <w:tcBorders>
              <w:top w:val="nil"/>
              <w:left w:val="nil"/>
              <w:bottom w:val="nil"/>
              <w:right w:val="single" w:sz="4" w:space="0" w:color="auto"/>
            </w:tcBorders>
            <w:shd w:val="clear" w:color="auto" w:fill="auto"/>
          </w:tcPr>
          <w:p w:rsidR="004A192B" w:rsidRPr="004A192B" w:rsidRDefault="004A192B" w:rsidP="004A192B">
            <w:pPr>
              <w:jc w:val="left"/>
              <w:rPr>
                <w:rFonts w:eastAsia="Times New Roman"/>
                <w:szCs w:val="17"/>
              </w:rPr>
            </w:pPr>
            <w:r w:rsidRPr="004A192B">
              <w:rPr>
                <w:rFonts w:eastAsia="Times New Roman"/>
                <w:szCs w:val="17"/>
              </w:rPr>
              <w:t>House Mouse (domestic form)</w:t>
            </w:r>
          </w:p>
        </w:tc>
        <w:tc>
          <w:tcPr>
            <w:tcW w:w="2160" w:type="dxa"/>
            <w:tcBorders>
              <w:top w:val="nil"/>
              <w:left w:val="nil"/>
              <w:bottom w:val="nil"/>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left w:val="nil"/>
              <w:bottom w:val="nil"/>
              <w:right w:val="single" w:sz="4" w:space="0" w:color="auto"/>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Rattus norvegicus</w:t>
            </w:r>
          </w:p>
        </w:tc>
        <w:tc>
          <w:tcPr>
            <w:tcW w:w="2280" w:type="dxa"/>
            <w:tcBorders>
              <w:top w:val="nil"/>
              <w:left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Brown Rat (domestic form)</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single" w:sz="4" w:space="0" w:color="auto"/>
            </w:tcBorders>
            <w:shd w:val="clear" w:color="auto" w:fill="auto"/>
          </w:tcPr>
          <w:p w:rsidR="004A192B" w:rsidRPr="004A192B" w:rsidRDefault="004A192B" w:rsidP="004A192B">
            <w:pPr>
              <w:jc w:val="left"/>
              <w:rPr>
                <w:rFonts w:eastAsia="Times New Roman"/>
                <w:i/>
                <w:iCs/>
                <w:szCs w:val="17"/>
              </w:rPr>
            </w:pPr>
            <w:r w:rsidRPr="004A192B">
              <w:rPr>
                <w:rFonts w:eastAsia="Times New Roman"/>
                <w:i/>
                <w:iCs/>
                <w:szCs w:val="17"/>
              </w:rPr>
              <w:t>Rattus rattus</w:t>
            </w:r>
          </w:p>
        </w:tc>
        <w:tc>
          <w:tcPr>
            <w:tcW w:w="2280" w:type="dxa"/>
            <w:tcBorders>
              <w:top w:val="nil"/>
              <w:left w:val="nil"/>
              <w:bottom w:val="single" w:sz="4" w:space="0" w:color="auto"/>
              <w:right w:val="single" w:sz="4" w:space="0" w:color="auto"/>
            </w:tcBorders>
            <w:shd w:val="clear" w:color="auto" w:fill="auto"/>
          </w:tcPr>
          <w:p w:rsidR="004A192B" w:rsidRPr="004A192B" w:rsidRDefault="004A192B" w:rsidP="004A192B">
            <w:pPr>
              <w:jc w:val="left"/>
              <w:rPr>
                <w:rFonts w:eastAsia="Times New Roman"/>
                <w:szCs w:val="17"/>
              </w:rPr>
            </w:pPr>
            <w:r w:rsidRPr="004A192B">
              <w:rPr>
                <w:rFonts w:eastAsia="Times New Roman"/>
                <w:szCs w:val="17"/>
              </w:rPr>
              <w:t>Black rat (domestic form)</w:t>
            </w:r>
          </w:p>
        </w:tc>
        <w:tc>
          <w:tcPr>
            <w:tcW w:w="2160" w:type="dxa"/>
            <w:tcBorders>
              <w:top w:val="nil"/>
              <w:left w:val="nil"/>
              <w:bottom w:val="single" w:sz="4" w:space="0" w:color="auto"/>
              <w:right w:val="single" w:sz="4" w:space="0" w:color="auto"/>
            </w:tcBorders>
            <w:shd w:val="clear" w:color="auto" w:fill="auto"/>
            <w:noWrap/>
            <w:vAlign w:val="bottom"/>
          </w:tcPr>
          <w:p w:rsidR="004A192B" w:rsidRPr="004A192B" w:rsidRDefault="004A192B" w:rsidP="004A192B">
            <w:pPr>
              <w:jc w:val="left"/>
              <w:rPr>
                <w:rFonts w:eastAsia="Times New Roman"/>
                <w:szCs w:val="17"/>
              </w:rPr>
            </w:pPr>
          </w:p>
        </w:tc>
        <w:tc>
          <w:tcPr>
            <w:tcW w:w="960" w:type="dxa"/>
            <w:tcBorders>
              <w:top w:val="nil"/>
              <w:left w:val="nil"/>
              <w:bottom w:val="single" w:sz="4" w:space="0" w:color="auto"/>
              <w:right w:val="single" w:sz="4" w:space="0" w:color="auto"/>
            </w:tcBorders>
            <w:shd w:val="clear" w:color="auto" w:fill="auto"/>
            <w:noWrap/>
            <w:vAlign w:val="bottom"/>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vAlign w:val="bottom"/>
          </w:tcPr>
          <w:p w:rsidR="004A192B" w:rsidRPr="004A192B" w:rsidRDefault="004A192B" w:rsidP="004A192B">
            <w:pPr>
              <w:jc w:val="left"/>
              <w:rPr>
                <w:rFonts w:eastAsia="Times New Roman"/>
                <w:szCs w:val="17"/>
              </w:rPr>
            </w:pPr>
          </w:p>
        </w:tc>
      </w:tr>
      <w:tr w:rsidR="004A192B" w:rsidRPr="004A192B" w:rsidTr="00805B8E">
        <w:trPr>
          <w:trHeight w:val="20"/>
        </w:trPr>
        <w:tc>
          <w:tcPr>
            <w:tcW w:w="2280" w:type="dxa"/>
            <w:tcBorders>
              <w:top w:val="single" w:sz="4" w:space="0" w:color="auto"/>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AVES</w:t>
            </w:r>
          </w:p>
        </w:tc>
        <w:tc>
          <w:tcPr>
            <w:tcW w:w="2280" w:type="dxa"/>
            <w:tcBorders>
              <w:top w:val="single" w:sz="4" w:space="0" w:color="auto"/>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c>
          <w:tcPr>
            <w:tcW w:w="2160" w:type="dxa"/>
            <w:tcBorders>
              <w:top w:val="single" w:sz="4" w:space="0" w:color="auto"/>
              <w:left w:val="single" w:sz="4" w:space="0" w:color="auto"/>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c>
          <w:tcPr>
            <w:tcW w:w="960" w:type="dxa"/>
            <w:tcBorders>
              <w:top w:val="single" w:sz="4" w:space="0" w:color="auto"/>
              <w:left w:val="nil"/>
              <w:bottom w:val="nil"/>
              <w:right w:val="nil"/>
            </w:tcBorders>
            <w:shd w:val="clear" w:color="auto" w:fill="auto"/>
            <w:noWrap/>
            <w:vAlign w:val="bottom"/>
            <w:hideMark/>
          </w:tcPr>
          <w:p w:rsidR="004A192B" w:rsidRPr="004A192B" w:rsidRDefault="004A192B" w:rsidP="004A192B">
            <w:pPr>
              <w:spacing w:before="80" w:after="0"/>
              <w:jc w:val="center"/>
              <w:rPr>
                <w:rFonts w:eastAsia="Times New Roman"/>
                <w:szCs w:val="17"/>
              </w:rPr>
            </w:pPr>
          </w:p>
        </w:tc>
        <w:tc>
          <w:tcPr>
            <w:tcW w:w="1680" w:type="dxa"/>
            <w:tcBorders>
              <w:top w:val="single" w:sz="4" w:space="0" w:color="auto"/>
              <w:left w:val="single" w:sz="4" w:space="0" w:color="auto"/>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STRUTHIONIFORMES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Struthionidae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Struthio camelus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Ostrich</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ANSERIFORMES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Anatidae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Aix galericulata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Mandarin Duck</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Aix sponsa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Wood Duck, Carolina Duck</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Anas platyrhynchos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Mallard (and all strains of domestic duck)</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Anser anser</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Greylag Goose (and all domestic strains of geese)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Anser cygnoid</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Swan Goose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Aythya novaeseelandiae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New Zealand Scaup</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Cairina moschata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Muscovy Duck</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Cygnus olor</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Mute Swan</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Tadorna ferruginea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Ruddy Shelduck</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Tadorna variegata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Paradise Shelduck, New Zealand Shelduck</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ANSERIFORMES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Anatidae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Alopochen aegyptiacua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Egyptian Goose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Branta canadensis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Canada Goose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GALLIFORMES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Phasianidae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Alectoris chukar</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Chukar Partridge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Chrysolophus amherstiae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Lady Amherst’s Pheasant</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Chrysolophus pictus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Golden Pheasant</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Numididae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Numida meleagris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Helmeted Guineafowl</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Odontophoridae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Callipepla californica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California Quail</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Colinus virginianus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Northern Bobwhite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Coturnix chinensis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Indian Blue Quail, King Quail (exotic subspp.)</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Coturnix coturnix</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Common Quail</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Coturnix japonica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Japanese Quail</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Francolinus francolinus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Black Partridge, Black Francolin</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Gallus gallus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Red Junglefowl (and all breeds of domestic chicken)</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Lophophorus impejanus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Himalayan Monal, Himalayan Pheasant</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Lophura diardi</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Siamese Fireback Pheasant</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Lophura edwardsi</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Edward’s Pheasant</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Lophura leucomelanos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Kalij Pheasant</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Lophura nycthemera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Silver Pheasant</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Lophura swinhoii</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Swinhoe’s Pheasant</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Meleagris gallopavo</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Common Turkey, Wild Turkey</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Pavo cristatus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Common Peafowl, Indian Peafowl</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Pavo muticus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Green Peafowl</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Phasianus colchicus</w:t>
            </w:r>
          </w:p>
        </w:tc>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Common Pheasant, Ring-necked Pheasant</w:t>
            </w:r>
          </w:p>
        </w:tc>
        <w:tc>
          <w:tcPr>
            <w:tcW w:w="216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Syrmaticus reevesii</w:t>
            </w:r>
          </w:p>
        </w:tc>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Reeves’ Pheasant</w:t>
            </w:r>
          </w:p>
        </w:tc>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nil"/>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bottom w:val="nil"/>
            </w:tcBorders>
            <w:shd w:val="clear" w:color="auto" w:fill="auto"/>
          </w:tcPr>
          <w:p w:rsidR="004A192B" w:rsidRPr="004A192B" w:rsidRDefault="004A192B" w:rsidP="004A192B">
            <w:pPr>
              <w:spacing w:after="0"/>
              <w:jc w:val="left"/>
              <w:rPr>
                <w:rFonts w:eastAsia="Times New Roman"/>
                <w:szCs w:val="17"/>
              </w:rPr>
            </w:pPr>
          </w:p>
        </w:tc>
        <w:tc>
          <w:tcPr>
            <w:tcW w:w="2280" w:type="dxa"/>
            <w:tcBorders>
              <w:top w:val="single" w:sz="4" w:space="0" w:color="auto"/>
              <w:bottom w:val="nil"/>
            </w:tcBorders>
            <w:shd w:val="clear" w:color="auto" w:fill="auto"/>
          </w:tcPr>
          <w:p w:rsidR="004A192B" w:rsidRPr="004A192B" w:rsidRDefault="004A192B" w:rsidP="004A192B">
            <w:pPr>
              <w:spacing w:after="0"/>
              <w:jc w:val="left"/>
              <w:rPr>
                <w:rFonts w:eastAsia="Times New Roman"/>
                <w:szCs w:val="17"/>
              </w:rPr>
            </w:pPr>
          </w:p>
        </w:tc>
        <w:tc>
          <w:tcPr>
            <w:tcW w:w="2160" w:type="dxa"/>
            <w:tcBorders>
              <w:top w:val="single" w:sz="4" w:space="0" w:color="auto"/>
              <w:bottom w:val="nil"/>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single" w:sz="4" w:space="0" w:color="auto"/>
              <w:bottom w:val="nil"/>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single" w:sz="4" w:space="0" w:color="auto"/>
              <w:bottom w:val="nil"/>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bottom w:val="nil"/>
            </w:tcBorders>
            <w:shd w:val="clear" w:color="auto" w:fill="auto"/>
          </w:tcPr>
          <w:p w:rsidR="004A192B" w:rsidRPr="004A192B" w:rsidRDefault="004A192B" w:rsidP="004A192B">
            <w:pPr>
              <w:spacing w:after="0"/>
              <w:jc w:val="left"/>
              <w:rPr>
                <w:rFonts w:eastAsia="Times New Roman"/>
                <w:szCs w:val="17"/>
              </w:rPr>
            </w:pPr>
          </w:p>
        </w:tc>
        <w:tc>
          <w:tcPr>
            <w:tcW w:w="2280" w:type="dxa"/>
            <w:tcBorders>
              <w:bottom w:val="nil"/>
            </w:tcBorders>
            <w:shd w:val="clear" w:color="auto" w:fill="auto"/>
          </w:tcPr>
          <w:p w:rsidR="004A192B" w:rsidRPr="004A192B" w:rsidRDefault="004A192B" w:rsidP="004A192B">
            <w:pPr>
              <w:spacing w:after="0"/>
              <w:jc w:val="left"/>
              <w:rPr>
                <w:rFonts w:eastAsia="Times New Roman"/>
                <w:szCs w:val="17"/>
              </w:rPr>
            </w:pPr>
          </w:p>
        </w:tc>
        <w:tc>
          <w:tcPr>
            <w:tcW w:w="2160" w:type="dxa"/>
            <w:tcBorders>
              <w:bottom w:val="nil"/>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bottom w:val="nil"/>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bottom w:val="nil"/>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bottom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bottom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bottom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bottom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bottom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COLUMBIFORMES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before="80"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Columbidae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Caloenas nicobarica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Nicobar Pigeon</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Columba livia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Common Pigeon, Fancy Pigeon, Rock Pigeon</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Columbina talpacoti</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Talpacoti Dove, Ruddy Ground Dove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Gallicolumba jobiensis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New Guinea White-fronted Pigeon, Jobi Island Dove, White-breasted Ground Pigeon, White-bibbed Ground Pigeon</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Gallicolumba luzonica</w:t>
            </w:r>
          </w:p>
        </w:tc>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Bleeding Heart Pigeon, Luzon Bleeding Heart Pigeon</w:t>
            </w:r>
          </w:p>
        </w:tc>
        <w:tc>
          <w:tcPr>
            <w:tcW w:w="216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Geopelia striata</w:t>
            </w:r>
          </w:p>
        </w:tc>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Peaceful Dove, Zebra Dove</w:t>
            </w:r>
          </w:p>
        </w:tc>
        <w:tc>
          <w:tcPr>
            <w:tcW w:w="216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right w:val="nil"/>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Goura victoria</w:t>
            </w:r>
          </w:p>
        </w:tc>
        <w:tc>
          <w:tcPr>
            <w:tcW w:w="2280" w:type="dxa"/>
            <w:tcBorders>
              <w:left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Victoria Crowned Pigeon</w:t>
            </w:r>
          </w:p>
        </w:tc>
        <w:tc>
          <w:tcPr>
            <w:tcW w:w="2160" w:type="dxa"/>
            <w:tcBorders>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left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xml:space="preserve">Hemiphaga novaeseelandiae  </w:t>
            </w:r>
          </w:p>
        </w:tc>
        <w:tc>
          <w:tcPr>
            <w:tcW w:w="2280" w:type="dxa"/>
            <w:tcBorders>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New Zealand Pigeon</w:t>
            </w:r>
          </w:p>
        </w:tc>
        <w:tc>
          <w:tcPr>
            <w:tcW w:w="2160" w:type="dxa"/>
            <w:tcBorders>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Oena capensis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Masked Dove, Namaqua Dove, Long-tailed Dove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Spilopelia chinensis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Lace-necked Dove, Spotted Dove, Spotted Turtle Dove, Eastern Spotted Dove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Spilopelia senegalensis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Senegal Dove, Laughing Dove, Turtle Dove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Streptopelia decaocto</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Eurasian Collared Dove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Streptopelia roseogrisea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Barbary Dove, Ringed Turtle Dove, Ringed Dove, African Collared Dove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Streptopelia tranquebarica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Ruddy Dove, Ruddy Turtle Dove, Red Dove, Red Collared Dove</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PSITTACIFORMES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Cacatuidae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Cacatua alba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White Cockatoo</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Cacatua goffiniana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Goffin’s Corella, Tanimbar Corella</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Cacatua moluccensis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Salmon-crested Cockatoo</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Cacatua sulphurea citrinocristata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Yellow-crested Cockatoo, Citron-crested Cockatoo</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Psittacidae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Agapornis fischeri</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Fischer’s Lovebird</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Agapornis lilianae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Nyasa Lovebird, Lilian’s Lovebird</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Agapornis nigrigenis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Black-cheeked Lovebird</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Agapornis personatus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Masked Lovebird, Yellow-collared Lovebird, Black-masked Lovebird</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Agapornis roseicollis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Peach-faced Lovebird, Rosy-faced Lovebird</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Alipiopsitta xanthops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Yellow-faced Amazon, Yellow-faced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Alisterus amboinensis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Ambon King Parrot, Moluccan King Parrot, Aboine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Amazona aestiva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Blue-fronted Amazon, Blue-fronted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Amazona albifrons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White-fronted Amazon, White-fronted Parrot;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Amazona amazonica</w:t>
            </w:r>
          </w:p>
        </w:tc>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Orange-winged Amazon, Orange-winged Parrot</w:t>
            </w:r>
          </w:p>
        </w:tc>
        <w:tc>
          <w:tcPr>
            <w:tcW w:w="2160" w:type="dxa"/>
            <w:tcBorders>
              <w:top w:val="nil"/>
              <w:left w:val="single" w:sz="4" w:space="0" w:color="auto"/>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Amazona auropalliata</w:t>
            </w:r>
          </w:p>
        </w:tc>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Yellow-naped Amazon, Yellow-naped Parrot</w:t>
            </w:r>
          </w:p>
        </w:tc>
        <w:tc>
          <w:tcPr>
            <w:tcW w:w="2160" w:type="dxa"/>
            <w:tcBorders>
              <w:top w:val="nil"/>
              <w:left w:val="single" w:sz="4" w:space="0" w:color="auto"/>
              <w:bottom w:val="single" w:sz="4" w:space="0" w:color="auto"/>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right w:val="nil"/>
            </w:tcBorders>
            <w:shd w:val="clear" w:color="auto" w:fill="auto"/>
            <w:hideMark/>
          </w:tcPr>
          <w:p w:rsidR="004A192B" w:rsidRPr="004A192B" w:rsidRDefault="004A192B" w:rsidP="004A192B">
            <w:pPr>
              <w:spacing w:before="80" w:after="0"/>
              <w:jc w:val="left"/>
              <w:rPr>
                <w:rFonts w:eastAsia="Times New Roman"/>
                <w:i/>
                <w:iCs/>
                <w:szCs w:val="17"/>
              </w:rPr>
            </w:pPr>
            <w:r w:rsidRPr="004A192B">
              <w:rPr>
                <w:rFonts w:eastAsia="Times New Roman"/>
                <w:i/>
                <w:iCs/>
                <w:szCs w:val="17"/>
              </w:rPr>
              <w:t>Amazona autumnalis</w:t>
            </w:r>
          </w:p>
        </w:tc>
        <w:tc>
          <w:tcPr>
            <w:tcW w:w="2280" w:type="dxa"/>
            <w:tcBorders>
              <w:top w:val="single" w:sz="4" w:space="0" w:color="auto"/>
              <w:left w:val="single" w:sz="4" w:space="0" w:color="auto"/>
              <w:right w:val="nil"/>
            </w:tcBorders>
            <w:shd w:val="clear" w:color="auto" w:fill="auto"/>
            <w:hideMark/>
          </w:tcPr>
          <w:p w:rsidR="004A192B" w:rsidRPr="004A192B" w:rsidRDefault="004A192B" w:rsidP="004A192B">
            <w:pPr>
              <w:spacing w:before="80"/>
              <w:jc w:val="left"/>
              <w:rPr>
                <w:rFonts w:eastAsia="Times New Roman"/>
                <w:szCs w:val="17"/>
              </w:rPr>
            </w:pPr>
            <w:r w:rsidRPr="004A192B">
              <w:rPr>
                <w:rFonts w:eastAsia="Times New Roman"/>
                <w:szCs w:val="17"/>
              </w:rPr>
              <w:t>Red-lored Amazon, Red-lored Parrot</w:t>
            </w:r>
          </w:p>
        </w:tc>
        <w:tc>
          <w:tcPr>
            <w:tcW w:w="2160" w:type="dxa"/>
            <w:tcBorders>
              <w:top w:val="single" w:sz="4" w:space="0" w:color="auto"/>
              <w:left w:val="single" w:sz="4" w:space="0" w:color="auto"/>
              <w:right w:val="nil"/>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c>
          <w:tcPr>
            <w:tcW w:w="960" w:type="dxa"/>
            <w:tcBorders>
              <w:top w:val="single" w:sz="4" w:space="0" w:color="auto"/>
              <w:left w:val="single" w:sz="4" w:space="0" w:color="auto"/>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szCs w:val="17"/>
              </w:rPr>
            </w:pPr>
          </w:p>
        </w:tc>
        <w:tc>
          <w:tcPr>
            <w:tcW w:w="1680" w:type="dxa"/>
            <w:tcBorders>
              <w:top w:val="single" w:sz="4" w:space="0" w:color="auto"/>
              <w:left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Amazona finschi</w:t>
            </w:r>
          </w:p>
        </w:tc>
        <w:tc>
          <w:tcPr>
            <w:tcW w:w="2280" w:type="dxa"/>
            <w:tcBorders>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Lilac-crowned Amazon, Lilac-crowned Parrot</w:t>
            </w:r>
          </w:p>
        </w:tc>
        <w:tc>
          <w:tcPr>
            <w:tcW w:w="2160" w:type="dxa"/>
            <w:tcBorders>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Amazona leucocephala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Cuban Amazon, Cuban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Amazona ochrocephala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Yellow-crowned Amazon, Yellow-crowned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Amazona oratrix</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Double Yellow-headed Amazon, Double Yellow-headed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Amazona pretrei</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Red-spectacled Amazon, Red-spectacled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Amazona viridigenalis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Green-cheeked Amazon, Green-cheeked Parrot, Red-crowned Amazon, Red-crowned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Anodorhynchus hyacinthinus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Hyacinth Macaw</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Ara ambiguus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Buffon’s Macaw, Great Green Macaw</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Ara ararauna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Blue And Yellow Macaw, Blue And Gold Macaw</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xml:space="preserve">Ara chloropterus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Green-winged Macaw, Red And Green Macaw</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Ara macao</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Scarlet Macaw</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Ara militaris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Military Macaw</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Ara rubrogenys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Red-fronted Macaw</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Ara severus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Chestnut-fronted Macaw</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Aratinga auricapillus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Golden-capped Conure, Golden-capped Parakeet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Aratinga jandaya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Janday Conure, Janday Parakeet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Aratinga nenday</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Nanday Conure, Nanday Parakeet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Aratinga solstitialis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Sun Conure, Sun Parakeet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Aratinga weddellii</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Dusky-headed Conure, Dusky-headed Parakeet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Bolborhynchus lineola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Barred Parakeet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Chalcopsitta atra</w:t>
            </w:r>
          </w:p>
        </w:tc>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Black Lory</w:t>
            </w:r>
          </w:p>
        </w:tc>
        <w:tc>
          <w:tcPr>
            <w:tcW w:w="2160" w:type="dxa"/>
            <w:tcBorders>
              <w:top w:val="nil"/>
              <w:left w:val="single" w:sz="4" w:space="0" w:color="auto"/>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Chalcopsitta cardinalis</w:t>
            </w:r>
          </w:p>
        </w:tc>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Cardinal Lory </w:t>
            </w:r>
          </w:p>
        </w:tc>
        <w:tc>
          <w:tcPr>
            <w:tcW w:w="2160" w:type="dxa"/>
            <w:tcBorders>
              <w:top w:val="nil"/>
              <w:left w:val="single" w:sz="4" w:space="0" w:color="auto"/>
              <w:right w:val="nil"/>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single" w:sz="4" w:space="0" w:color="auto"/>
              <w:right w:val="nil"/>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Chalcopsitta duivenbodei</w:t>
            </w:r>
          </w:p>
        </w:tc>
        <w:tc>
          <w:tcPr>
            <w:tcW w:w="2280" w:type="dxa"/>
            <w:tcBorders>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Brown Lory, Duyvenbode’s Lory</w:t>
            </w:r>
          </w:p>
        </w:tc>
        <w:tc>
          <w:tcPr>
            <w:tcW w:w="2160" w:type="dxa"/>
            <w:tcBorders>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Chalcopsitta sintillata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Yellow-streaked Lory</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Charmosyna papou</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Papuan Lorikeet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Charmosyna toxopei</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Blue-fronted Lorikeet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Cyanoliseus patagonus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Burrowing Conure, Patagonian Conure, Burrowing Parakeet, Patagonian Parakeet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Cyanoramphus auriceps auriceps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Yellow-fronted Kakariki,  Parakeet, Yellow-fronted Conure</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Cyanoramphus novaezelandiae novaezelandiae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Red-fronted Kakariki, Red-fronted Parakeet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Cyanoramphus unicolor</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Antipodes Green Parakeet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Deroptyus accipitrinus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Hawk-Headed Parrot, Red-Fan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Diopsittaca nobilis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Red-shouldered Macaw, Hahn’s Macaw</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Eclectus roratus ssp.</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Eclectus Parrot (island subspecies)</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Eos bornea</w:t>
            </w:r>
          </w:p>
        </w:tc>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Red Lory</w:t>
            </w:r>
          </w:p>
        </w:tc>
        <w:tc>
          <w:tcPr>
            <w:tcW w:w="2160" w:type="dxa"/>
            <w:tcBorders>
              <w:top w:val="nil"/>
              <w:left w:val="single" w:sz="4" w:space="0" w:color="auto"/>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Eos cyanogenia</w:t>
            </w:r>
          </w:p>
        </w:tc>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Black-winged Lory</w:t>
            </w:r>
          </w:p>
        </w:tc>
        <w:tc>
          <w:tcPr>
            <w:tcW w:w="2160" w:type="dxa"/>
            <w:tcBorders>
              <w:top w:val="nil"/>
              <w:left w:val="single" w:sz="4" w:space="0" w:color="auto"/>
              <w:bottom w:val="single" w:sz="4" w:space="0" w:color="auto"/>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single" w:sz="4" w:space="0" w:color="auto"/>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i/>
                <w:iCs/>
                <w:szCs w:val="17"/>
              </w:rPr>
            </w:pPr>
            <w:r w:rsidRPr="004A192B">
              <w:rPr>
                <w:rFonts w:eastAsia="Times New Roman"/>
                <w:i/>
                <w:iCs/>
                <w:szCs w:val="17"/>
              </w:rPr>
              <w:t>Eos histrio</w:t>
            </w:r>
          </w:p>
        </w:tc>
        <w:tc>
          <w:tcPr>
            <w:tcW w:w="2280" w:type="dxa"/>
            <w:tcBorders>
              <w:top w:val="single" w:sz="4" w:space="0" w:color="auto"/>
              <w:left w:val="single" w:sz="4" w:space="0" w:color="auto"/>
              <w:bottom w:val="nil"/>
              <w:right w:val="nil"/>
            </w:tcBorders>
            <w:shd w:val="clear" w:color="auto" w:fill="auto"/>
            <w:hideMark/>
          </w:tcPr>
          <w:p w:rsidR="004A192B" w:rsidRPr="004A192B" w:rsidRDefault="004A192B" w:rsidP="004A192B">
            <w:pPr>
              <w:spacing w:before="80"/>
              <w:jc w:val="left"/>
              <w:rPr>
                <w:rFonts w:eastAsia="Times New Roman"/>
                <w:szCs w:val="17"/>
              </w:rPr>
            </w:pPr>
            <w:r w:rsidRPr="004A192B">
              <w:rPr>
                <w:rFonts w:eastAsia="Times New Roman"/>
                <w:szCs w:val="17"/>
              </w:rPr>
              <w:t>Red And Blue Lory</w:t>
            </w:r>
          </w:p>
        </w:tc>
        <w:tc>
          <w:tcPr>
            <w:tcW w:w="2160" w:type="dxa"/>
            <w:tcBorders>
              <w:top w:val="single" w:sz="4" w:space="0" w:color="auto"/>
              <w:left w:val="single" w:sz="4" w:space="0" w:color="auto"/>
              <w:bottom w:val="nil"/>
              <w:right w:val="nil"/>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c>
          <w:tcPr>
            <w:tcW w:w="960" w:type="dxa"/>
            <w:tcBorders>
              <w:top w:val="single" w:sz="4" w:space="0" w:color="auto"/>
              <w:left w:val="single" w:sz="4" w:space="0" w:color="auto"/>
              <w:bottom w:val="nil"/>
              <w:right w:val="nil"/>
            </w:tcBorders>
            <w:shd w:val="clear" w:color="auto" w:fill="auto"/>
            <w:noWrap/>
            <w:vAlign w:val="bottom"/>
            <w:hideMark/>
          </w:tcPr>
          <w:p w:rsidR="004A192B" w:rsidRPr="004A192B" w:rsidRDefault="004A192B" w:rsidP="004A192B">
            <w:pPr>
              <w:spacing w:before="80" w:after="0"/>
              <w:jc w:val="center"/>
              <w:rPr>
                <w:rFonts w:eastAsia="Times New Roman"/>
                <w:szCs w:val="17"/>
              </w:rPr>
            </w:pPr>
          </w:p>
        </w:tc>
        <w:tc>
          <w:tcPr>
            <w:tcW w:w="1680" w:type="dxa"/>
            <w:tcBorders>
              <w:top w:val="single" w:sz="4" w:space="0" w:color="auto"/>
              <w:left w:val="single" w:sz="4" w:space="0" w:color="auto"/>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Eos reticulata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Blue-streaked Lory</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Eos semilarvata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Black-eared Lory</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Eos squamata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Violet-necked Lory</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Eupsittula aurea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Peach-fronted Conure, Golden-crowned Conure, Peach-fronted Parakeet, Golden-crowned Parakeet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Eupsittula pertinax</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Brown-throated Conure, St Thomas Conure</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Forpus coelestis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Pacific Parrotlet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Guaruba guarouba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Golden Conure, Golden Parakeet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Loriculus galgulus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Blue-crowned Hanging Lory, Blue-crowned Hanging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Lorius chlorocercus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Yellow-bibbed Lory</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Lorius domicella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Purple-naped Lory, Purple-capped Lory</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Lorius garrulus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Chattering Lory</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Lorius lory</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Black-capped Lory</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Myiopsitta monachus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Monk Parrot, Quaker Parrot, Monk Parakeet, Quaker Parakeet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Neopsittacus musschenbroekii</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Musschenbroek’s Lorikeet, Yellow-billed Lorikeet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Orthopsittaca manilatus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Red-bellied Macaw</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Phigys solitarius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Collared Lory</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Pionites leucogaster</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White-bellied Caique, White-bellied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Pionites melanocephalus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Black-headed Caique, Black-headed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Pionus chalcopterus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Bronze-winged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Pionus menstruus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Blue-headed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Pionus senilis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White-crowned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Poicephalus gulielmi</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Red-fronted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Poicephalus meyeri</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Meyer’s Parrot, Brown Parrot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Poicephalus robustus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Brown-necked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Poicephalus rufiventris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Red-bellied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Poicephalus senegalus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Senegal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Primolius auricollis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Yellow-collared Macaw, Golden-collared Macaw</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Primolius maracana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Illiger Macaw, Blue-winged Macaw</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Prosopeia personata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Masked Shining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Prosopeia tabuensis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Red Shining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Pseudeos fuscata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Dusky Lory</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Psittacara acuticaudatus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Blue-crowned Conure, Blue-crowned Parakeet</w:t>
            </w:r>
          </w:p>
        </w:tc>
        <w:tc>
          <w:tcPr>
            <w:tcW w:w="2160" w:type="dxa"/>
            <w:tcBorders>
              <w:top w:val="nil"/>
              <w:left w:val="nil"/>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Psittacula alexandri</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Moustached Parakeet, Red-breasted Parakeet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Psittacula columboides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Malabar Parakeet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Psittacula cyanocephala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Plum-headed Parakeet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Psittacula derbiana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Derbyan Parakeet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Psittacula eupatria</w:t>
            </w:r>
          </w:p>
        </w:tc>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Alexandrine Parakeet</w:t>
            </w:r>
          </w:p>
        </w:tc>
        <w:tc>
          <w:tcPr>
            <w:tcW w:w="2160" w:type="dxa"/>
            <w:tcBorders>
              <w:top w:val="nil"/>
              <w:left w:val="single" w:sz="4" w:space="0" w:color="auto"/>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Psittacula himalayana</w:t>
            </w:r>
          </w:p>
        </w:tc>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Slaty-Headed Parakeet</w:t>
            </w:r>
          </w:p>
        </w:tc>
        <w:tc>
          <w:tcPr>
            <w:tcW w:w="2160" w:type="dxa"/>
            <w:tcBorders>
              <w:top w:val="nil"/>
              <w:left w:val="single" w:sz="4" w:space="0" w:color="auto"/>
              <w:bottom w:val="single" w:sz="4" w:space="0" w:color="auto"/>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single" w:sz="4" w:space="0" w:color="auto"/>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tcBorders>
            <w:shd w:val="clear" w:color="auto" w:fill="auto"/>
          </w:tcPr>
          <w:p w:rsidR="004A192B" w:rsidRPr="004A192B" w:rsidRDefault="004A192B" w:rsidP="004A192B">
            <w:pPr>
              <w:spacing w:after="0"/>
              <w:jc w:val="left"/>
              <w:rPr>
                <w:rFonts w:eastAsia="Times New Roman"/>
                <w:i/>
                <w:iCs/>
                <w:szCs w:val="17"/>
              </w:rPr>
            </w:pPr>
          </w:p>
        </w:tc>
        <w:tc>
          <w:tcPr>
            <w:tcW w:w="2280" w:type="dxa"/>
            <w:tcBorders>
              <w:top w:val="single" w:sz="4" w:space="0" w:color="auto"/>
            </w:tcBorders>
            <w:shd w:val="clear" w:color="auto" w:fill="auto"/>
          </w:tcPr>
          <w:p w:rsidR="004A192B" w:rsidRPr="004A192B" w:rsidRDefault="004A192B" w:rsidP="004A192B">
            <w:pPr>
              <w:jc w:val="left"/>
              <w:rPr>
                <w:rFonts w:eastAsia="Times New Roman"/>
                <w:szCs w:val="17"/>
              </w:rPr>
            </w:pPr>
          </w:p>
        </w:tc>
        <w:tc>
          <w:tcPr>
            <w:tcW w:w="2160" w:type="dxa"/>
            <w:tcBorders>
              <w:top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single" w:sz="4" w:space="0" w:color="auto"/>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tcBorders>
            <w:shd w:val="clear" w:color="auto" w:fill="auto"/>
          </w:tcPr>
          <w:p w:rsidR="004A192B" w:rsidRPr="004A192B" w:rsidRDefault="004A192B" w:rsidP="004A192B">
            <w:pPr>
              <w:spacing w:after="0"/>
              <w:jc w:val="left"/>
              <w:rPr>
                <w:rFonts w:eastAsia="Times New Roman"/>
                <w:i/>
                <w:iCs/>
                <w:szCs w:val="17"/>
              </w:rPr>
            </w:pPr>
          </w:p>
        </w:tc>
        <w:tc>
          <w:tcPr>
            <w:tcW w:w="2280" w:type="dxa"/>
            <w:tcBorders>
              <w:top w:val="nil"/>
            </w:tcBorders>
            <w:shd w:val="clear" w:color="auto" w:fill="auto"/>
          </w:tcPr>
          <w:p w:rsidR="004A192B" w:rsidRPr="004A192B" w:rsidRDefault="004A192B" w:rsidP="004A192B">
            <w:pPr>
              <w:jc w:val="left"/>
              <w:rPr>
                <w:rFonts w:eastAsia="Times New Roman"/>
                <w:szCs w:val="17"/>
              </w:rPr>
            </w:pPr>
          </w:p>
        </w:tc>
        <w:tc>
          <w:tcPr>
            <w:tcW w:w="2160" w:type="dxa"/>
            <w:tcBorders>
              <w:top w:val="nil"/>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tcBorders>
            <w:shd w:val="clear" w:color="auto" w:fill="auto"/>
          </w:tcPr>
          <w:p w:rsidR="004A192B" w:rsidRPr="004A192B" w:rsidRDefault="004A192B" w:rsidP="004A192B">
            <w:pPr>
              <w:spacing w:after="0"/>
              <w:jc w:val="left"/>
              <w:rPr>
                <w:rFonts w:eastAsia="Times New Roman"/>
                <w:i/>
                <w:iCs/>
                <w:szCs w:val="17"/>
              </w:rPr>
            </w:pPr>
          </w:p>
        </w:tc>
        <w:tc>
          <w:tcPr>
            <w:tcW w:w="2280" w:type="dxa"/>
            <w:tcBorders>
              <w:top w:val="nil"/>
            </w:tcBorders>
            <w:shd w:val="clear" w:color="auto" w:fill="auto"/>
          </w:tcPr>
          <w:p w:rsidR="004A192B" w:rsidRPr="004A192B" w:rsidRDefault="004A192B" w:rsidP="004A192B">
            <w:pPr>
              <w:jc w:val="left"/>
              <w:rPr>
                <w:rFonts w:eastAsia="Times New Roman"/>
                <w:szCs w:val="17"/>
              </w:rPr>
            </w:pPr>
          </w:p>
        </w:tc>
        <w:tc>
          <w:tcPr>
            <w:tcW w:w="2160" w:type="dxa"/>
            <w:tcBorders>
              <w:top w:val="nil"/>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i/>
                <w:iCs/>
                <w:szCs w:val="17"/>
              </w:rPr>
            </w:pPr>
            <w:r w:rsidRPr="004A192B">
              <w:rPr>
                <w:rFonts w:eastAsia="Times New Roman"/>
                <w:i/>
                <w:iCs/>
                <w:szCs w:val="17"/>
              </w:rPr>
              <w:t>Psittacula krameri</w:t>
            </w:r>
          </w:p>
        </w:tc>
        <w:tc>
          <w:tcPr>
            <w:tcW w:w="2280" w:type="dxa"/>
            <w:tcBorders>
              <w:left w:val="single" w:sz="4" w:space="0" w:color="auto"/>
              <w:bottom w:val="nil"/>
              <w:right w:val="nil"/>
            </w:tcBorders>
            <w:shd w:val="clear" w:color="auto" w:fill="auto"/>
            <w:hideMark/>
          </w:tcPr>
          <w:p w:rsidR="004A192B" w:rsidRPr="004A192B" w:rsidRDefault="004A192B" w:rsidP="004A192B">
            <w:pPr>
              <w:spacing w:before="80"/>
              <w:jc w:val="left"/>
              <w:rPr>
                <w:rFonts w:eastAsia="Times New Roman"/>
                <w:szCs w:val="17"/>
              </w:rPr>
            </w:pPr>
            <w:r w:rsidRPr="004A192B">
              <w:rPr>
                <w:rFonts w:eastAsia="Times New Roman"/>
                <w:szCs w:val="17"/>
              </w:rPr>
              <w:t xml:space="preserve">Rose-Ringed Parakeet, Indian Ringneck Parakeet, African Ringneck Parakeet, Rose-Ringed Parrot , Indian Ringneck Parrot , African Ringneck Parrot </w:t>
            </w:r>
          </w:p>
        </w:tc>
        <w:tc>
          <w:tcPr>
            <w:tcW w:w="2160" w:type="dxa"/>
            <w:tcBorders>
              <w:left w:val="single" w:sz="4" w:space="0" w:color="auto"/>
              <w:bottom w:val="nil"/>
              <w:right w:val="nil"/>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c>
          <w:tcPr>
            <w:tcW w:w="960" w:type="dxa"/>
            <w:tcBorders>
              <w:left w:val="single" w:sz="4" w:space="0" w:color="auto"/>
              <w:bottom w:val="nil"/>
              <w:right w:val="nil"/>
            </w:tcBorders>
            <w:shd w:val="clear" w:color="auto" w:fill="auto"/>
            <w:noWrap/>
            <w:vAlign w:val="bottom"/>
            <w:hideMark/>
          </w:tcPr>
          <w:p w:rsidR="004A192B" w:rsidRPr="004A192B" w:rsidRDefault="004A192B" w:rsidP="004A192B">
            <w:pPr>
              <w:spacing w:before="80" w:after="0"/>
              <w:jc w:val="center"/>
              <w:rPr>
                <w:rFonts w:eastAsia="Times New Roman"/>
                <w:szCs w:val="17"/>
              </w:rPr>
            </w:pPr>
          </w:p>
        </w:tc>
        <w:tc>
          <w:tcPr>
            <w:tcW w:w="1680" w:type="dxa"/>
            <w:tcBorders>
              <w:left w:val="single" w:sz="4" w:space="0" w:color="auto"/>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Psittacula roseata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Blossom-headed Parakeet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Psittacus erithacus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African Grey Parrot, Western Grey Parrot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Psitteuteles goldiei</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Goldie’s Lorikeet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Pyrrhura cruentata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Blue-throated Conure</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Pyrrhura egregia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Fiery-shouldered Conure, Fiery-shouldered Parakeet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Pyrrhura frontalis</w:t>
            </w:r>
          </w:p>
        </w:tc>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Maroon-Bellied Conure</w:t>
            </w:r>
          </w:p>
        </w:tc>
        <w:tc>
          <w:tcPr>
            <w:tcW w:w="2160" w:type="dxa"/>
            <w:tcBorders>
              <w:top w:val="nil"/>
              <w:left w:val="single" w:sz="4" w:space="0" w:color="auto"/>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Pyrrhura lepida</w:t>
            </w:r>
          </w:p>
        </w:tc>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Pearly Conure, Pearly Parakeet</w:t>
            </w:r>
          </w:p>
        </w:tc>
        <w:tc>
          <w:tcPr>
            <w:tcW w:w="2160" w:type="dxa"/>
            <w:tcBorders>
              <w:top w:val="nil"/>
              <w:left w:val="single" w:sz="4" w:space="0" w:color="auto"/>
              <w:right w:val="nil"/>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single" w:sz="4" w:space="0" w:color="auto"/>
              <w:right w:val="nil"/>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Pyrrhura leucotis</w:t>
            </w:r>
          </w:p>
        </w:tc>
        <w:tc>
          <w:tcPr>
            <w:tcW w:w="2280" w:type="dxa"/>
            <w:tcBorders>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White-eared Conure, White-eared Parakeet</w:t>
            </w:r>
          </w:p>
        </w:tc>
        <w:tc>
          <w:tcPr>
            <w:tcW w:w="2160" w:type="dxa"/>
            <w:tcBorders>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Pyrrhura melanura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Maroon-tailed Conure, Maroon-tailed Parakeet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Pyrrhura molinae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Green-cheeked Conure, Green-cheeked Parakeet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xml:space="preserve">Pyrrhura perlata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Crimson-bellied Conure, Crimson-bellied Parakeet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Pyrrhura picta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Painted Conure, Painted Parakeet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Pyrrhura rhodocephala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Rose-headed Conure, Rose-crowned Conure, Rose-headed Parakeet, Rose-crowned Parakeet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Pyrrhura roseifrons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Rose-fronted Conure, Rose-fronted Parakeet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Pyrrhura rupicola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Black-capped Conure, Black-capped Parakeet</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Rhynchopsitta pachyrhyncha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Thick-Billed Parrot</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Trichoglossus capistratus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Edward’s Lorikeet, Marigold Lorikeet</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Trichoglossus euteles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Perfect Lorikeet, Olive-headed Lorikeet</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Trichoglossus haematodus haematodes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Green-naped Lorikeet</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Trichoglossus haematodus mitchelli</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Mitchell’s Lorikeet</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Trichoglossus johnstoniae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Johnstone’s Lorikeet, Mindanao Lorikeet</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Trichoglossus ornatus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Ornate Lorikeet</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p>
          <w:p w:rsidR="004A192B" w:rsidRPr="004A192B" w:rsidRDefault="004A192B" w:rsidP="004A192B">
            <w:pPr>
              <w:spacing w:after="0"/>
              <w:jc w:val="left"/>
              <w:rPr>
                <w:rFonts w:eastAsia="Times New Roman"/>
                <w:b/>
                <w:bCs/>
                <w:szCs w:val="17"/>
              </w:rPr>
            </w:pPr>
            <w:r w:rsidRPr="004A192B">
              <w:rPr>
                <w:rFonts w:eastAsia="Times New Roman"/>
                <w:b/>
                <w:bCs/>
                <w:szCs w:val="17"/>
              </w:rPr>
              <w:t>PASSERIFORMES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Alaudidae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Alauda arvensis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Skylark, Eurasian Skylark</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Emberizidae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Emberiza citrinella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Yellowhammer</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Estrildidae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Amandava amandava amandava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Red Strawberry Finch, Red Munia, Red Avadavat, Indian Avadavat, Tiger Finch, Red Waxbill</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Amadina erythrocephala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Aberdeen Finch, Red-headed Finch, Paradise Sparrow, Red-headed Amadina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Amadina fasciata</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Cutthroat, Cut-throat Weaver, Cut-throat Finch, Ribbon Finch</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Amandava formosa</w:t>
            </w:r>
          </w:p>
        </w:tc>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Green Strawberry Finch, Green Munia, Green Avadavat</w:t>
            </w:r>
          </w:p>
        </w:tc>
        <w:tc>
          <w:tcPr>
            <w:tcW w:w="21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i/>
                <w:iCs/>
                <w:szCs w:val="17"/>
              </w:rPr>
            </w:pPr>
            <w:r w:rsidRPr="004A192B">
              <w:rPr>
                <w:rFonts w:eastAsia="Times New Roman"/>
                <w:i/>
                <w:iCs/>
                <w:szCs w:val="17"/>
              </w:rPr>
              <w:t>Amandava subflava</w:t>
            </w:r>
          </w:p>
        </w:tc>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80"/>
              <w:jc w:val="left"/>
              <w:rPr>
                <w:rFonts w:eastAsia="Times New Roman"/>
                <w:szCs w:val="17"/>
              </w:rPr>
            </w:pPr>
            <w:r w:rsidRPr="004A192B">
              <w:rPr>
                <w:rFonts w:eastAsia="Times New Roman"/>
                <w:szCs w:val="17"/>
              </w:rPr>
              <w:t>Orange-breasted Waxbill, Zebra Waxbill, Golden-breasted Waxbill</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Erythrura cyaneovirens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Red-headed Parrotfinch</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Erythrura hyperythra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Bamboo Parrotfinch, Tawny-breasted Parrotfinch</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Erythrura pealii</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Peale’s Parrotfinch, Fiji Parrotfinch</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Erythrura prasina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Pin-tailed Nonpareil, Pin-tailed Parrotfinch</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Erythrura psittacea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Red-faced Parrotfinch, Red-throated Parrotfinch</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Erythrura trichroa (</w:t>
            </w:r>
            <w:r w:rsidRPr="004A192B">
              <w:rPr>
                <w:rFonts w:eastAsia="Times New Roman"/>
                <w:szCs w:val="17"/>
              </w:rPr>
              <w:t>excl</w:t>
            </w:r>
            <w:r w:rsidRPr="004A192B">
              <w:rPr>
                <w:rFonts w:eastAsia="Times New Roman"/>
                <w:i/>
                <w:iCs/>
                <w:szCs w:val="17"/>
              </w:rPr>
              <w:t>. E.t. sigillifera)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Blue-faced Parrotfinch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Erythrura tricolor</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Tri-coloured Parrotfinch, Three-coloured Parrotfinch, Tanimbar Parrotfinch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Estrilda astrild</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St Helena Waxbill, Common Waxbill</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Estrilda coerulescens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Lavender Finch, Lavendar Waxbill</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Estrilda melpoda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Orange-cheeked Waxbill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Estrilda troglodytes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Black-rumped Waxbill, Red-eared Waxbill</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Euodice cantans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Silverbill, African Silverbill</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Euodice malabarica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Indian Silverbill, White-throated Munia, Common Silverbill</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Euschistospiza dybowskii</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Dybowski’s Twin-spot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Granatina granatina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Violet-eared Waxbill, Common Grenadier</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Granatina ianthinogaster</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Grenadier Waxbill, Purple Grenadier, Purple Grenadier Waxbill</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Hypargos niveoguttatus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Peters’ Twinspot, Red-Throated Twinspot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Lagonosticta rubricata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African Firefinch, Blue-billed Firefinch</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Lagonosticta senegala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Fire Finch, Ruddy Waxbill, Red-billed Firefinch</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Lonchura atricapilla</w:t>
            </w:r>
          </w:p>
        </w:tc>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Black-headed Nun, Chestnut Munia, Blacked Nun</w:t>
            </w:r>
          </w:p>
        </w:tc>
        <w:tc>
          <w:tcPr>
            <w:tcW w:w="2160" w:type="dxa"/>
            <w:tcBorders>
              <w:top w:val="nil"/>
              <w:left w:val="single" w:sz="4" w:space="0" w:color="auto"/>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Lonchura ferruginosa</w:t>
            </w:r>
          </w:p>
        </w:tc>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White-capped Munia</w:t>
            </w:r>
          </w:p>
        </w:tc>
        <w:tc>
          <w:tcPr>
            <w:tcW w:w="2160" w:type="dxa"/>
            <w:tcBorders>
              <w:top w:val="nil"/>
              <w:left w:val="single" w:sz="4" w:space="0" w:color="auto"/>
              <w:right w:val="nil"/>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single" w:sz="4" w:space="0" w:color="auto"/>
              <w:right w:val="nil"/>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left w:val="single" w:sz="4" w:space="0" w:color="auto"/>
              <w:bottom w:val="nil"/>
              <w:right w:val="nil"/>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Lonchura leucogastra</w:t>
            </w:r>
          </w:p>
        </w:tc>
        <w:tc>
          <w:tcPr>
            <w:tcW w:w="2280" w:type="dxa"/>
            <w:tcBorders>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White-bellied Munia, White-bellied Mannikin</w:t>
            </w:r>
          </w:p>
        </w:tc>
        <w:tc>
          <w:tcPr>
            <w:tcW w:w="2160" w:type="dxa"/>
            <w:tcBorders>
              <w:left w:val="single" w:sz="4" w:space="0" w:color="auto"/>
              <w:bottom w:val="nil"/>
              <w:right w:val="nil"/>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left w:val="single" w:sz="4" w:space="0" w:color="auto"/>
              <w:bottom w:val="nil"/>
              <w:right w:val="nil"/>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left w:val="single" w:sz="4" w:space="0" w:color="auto"/>
              <w:bottom w:val="nil"/>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xml:space="preserve">Lonchura leucogastroides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Javan Munia</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Lonchura maja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Silver-headed Nun, White-headed Munia</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Lonchura malacca (</w:t>
            </w:r>
            <w:r w:rsidRPr="004A192B">
              <w:rPr>
                <w:rFonts w:eastAsia="Times New Roman"/>
                <w:szCs w:val="17"/>
              </w:rPr>
              <w:t>incl.</w:t>
            </w:r>
            <w:r w:rsidRPr="004A192B">
              <w:rPr>
                <w:rFonts w:eastAsia="Times New Roman"/>
                <w:i/>
                <w:iCs/>
                <w:szCs w:val="17"/>
              </w:rPr>
              <w:t xml:space="preserve">  L.m. malacca)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Black-headed Nun, Tri-coloured Nun, Black-headed Munia, Black-headed Nun, Black-headed Mannikin</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Lonchura oryzivora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Jave Sparrow, Paddy Finch</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Lonchura striata (</w:t>
            </w:r>
            <w:r w:rsidRPr="004A192B">
              <w:rPr>
                <w:rFonts w:eastAsia="Times New Roman"/>
                <w:szCs w:val="17"/>
              </w:rPr>
              <w:t>incl.</w:t>
            </w:r>
            <w:r w:rsidRPr="004A192B">
              <w:rPr>
                <w:rFonts w:eastAsia="Times New Roman"/>
                <w:i/>
                <w:iCs/>
                <w:szCs w:val="17"/>
              </w:rPr>
              <w:t xml:space="preserve"> L.S. domestica)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Striated Finch, White-rumped Munia, Bengalese Mannikin, Bengalese Finch, Society Finch</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Mandingoa nitidula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Green Twinspot, Green-backed Twinspot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Odontospiza griseicapilla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Grey-headed Silverbill</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Pytilia afra</w:t>
            </w:r>
          </w:p>
        </w:tc>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Red-headed Pytilia, Orange-winged Pytilia</w:t>
            </w:r>
          </w:p>
        </w:tc>
        <w:tc>
          <w:tcPr>
            <w:tcW w:w="2160" w:type="dxa"/>
            <w:tcBorders>
              <w:top w:val="nil"/>
              <w:left w:val="single" w:sz="4" w:space="0" w:color="auto"/>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Pytilia hypogrammica</w:t>
            </w:r>
          </w:p>
        </w:tc>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Yellow-winged Pytilia, Red-faced Pytilia</w:t>
            </w:r>
          </w:p>
        </w:tc>
        <w:tc>
          <w:tcPr>
            <w:tcW w:w="2160" w:type="dxa"/>
            <w:tcBorders>
              <w:top w:val="nil"/>
              <w:left w:val="single" w:sz="4" w:space="0" w:color="auto"/>
              <w:bottom w:val="single" w:sz="4" w:space="0" w:color="auto"/>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single" w:sz="4" w:space="0" w:color="auto"/>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i/>
                <w:iCs/>
                <w:szCs w:val="17"/>
              </w:rPr>
            </w:pPr>
            <w:r w:rsidRPr="004A192B">
              <w:rPr>
                <w:rFonts w:eastAsia="Times New Roman"/>
                <w:i/>
                <w:iCs/>
                <w:szCs w:val="17"/>
              </w:rPr>
              <w:t>Pytilia melba</w:t>
            </w:r>
          </w:p>
        </w:tc>
        <w:tc>
          <w:tcPr>
            <w:tcW w:w="2280" w:type="dxa"/>
            <w:tcBorders>
              <w:top w:val="single" w:sz="4" w:space="0" w:color="auto"/>
              <w:left w:val="single" w:sz="4" w:space="0" w:color="auto"/>
              <w:bottom w:val="nil"/>
              <w:right w:val="nil"/>
            </w:tcBorders>
            <w:shd w:val="clear" w:color="auto" w:fill="auto"/>
            <w:hideMark/>
          </w:tcPr>
          <w:p w:rsidR="004A192B" w:rsidRPr="004A192B" w:rsidRDefault="004A192B" w:rsidP="004A192B">
            <w:pPr>
              <w:spacing w:before="80"/>
              <w:jc w:val="left"/>
              <w:rPr>
                <w:rFonts w:eastAsia="Times New Roman"/>
                <w:szCs w:val="17"/>
              </w:rPr>
            </w:pPr>
            <w:r w:rsidRPr="004A192B">
              <w:rPr>
                <w:rFonts w:eastAsia="Times New Roman"/>
                <w:szCs w:val="17"/>
              </w:rPr>
              <w:t xml:space="preserve">Melba Finch, Green-winged Pytilia </w:t>
            </w:r>
          </w:p>
        </w:tc>
        <w:tc>
          <w:tcPr>
            <w:tcW w:w="2160" w:type="dxa"/>
            <w:tcBorders>
              <w:top w:val="single" w:sz="4" w:space="0" w:color="auto"/>
              <w:left w:val="single" w:sz="4" w:space="0" w:color="auto"/>
              <w:bottom w:val="nil"/>
              <w:right w:val="nil"/>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Pytilia phoenicoptera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Aurora Finch, Crimson-winged Pytilia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Spermestes bicolor</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Rufous-backed Mannikin, Black and White Munia, Red-backed Munia, Blue-billed Munia, Fernando Po Munia</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Uraeginthus angolensis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Blue-breasted Waxbill, Cordon-Bleu, Blue-breated Cordon-Bleu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Uraeginthus bengalus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Cordon-Bleu, Cordon-Bleu Red-cheeked</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Uraeginthus cyanocephalus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Blue-capped Waxbill, Blue-capped Cordon-Bleu, Blue-headed Cordon-Bleu</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b/>
                <w:bCs/>
                <w:szCs w:val="17"/>
                <w:u w:val="single"/>
              </w:rPr>
              <w:t>Fringillidae</w:t>
            </w:r>
          </w:p>
          <w:p w:rsidR="004A192B" w:rsidRPr="004A192B" w:rsidRDefault="004A192B" w:rsidP="004A192B">
            <w:pPr>
              <w:spacing w:after="0"/>
              <w:jc w:val="left"/>
              <w:rPr>
                <w:rFonts w:eastAsia="Times New Roman"/>
                <w:i/>
                <w:iCs/>
                <w:szCs w:val="17"/>
              </w:rPr>
            </w:pPr>
            <w:r w:rsidRPr="004A192B">
              <w:rPr>
                <w:rFonts w:eastAsia="Times New Roman"/>
                <w:i/>
                <w:iCs/>
                <w:szCs w:val="17"/>
              </w:rPr>
              <w:t>Acanthis cabaret</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p>
          <w:p w:rsidR="004A192B" w:rsidRPr="004A192B" w:rsidRDefault="004A192B" w:rsidP="004A192B">
            <w:pPr>
              <w:jc w:val="left"/>
              <w:rPr>
                <w:rFonts w:eastAsia="Times New Roman"/>
                <w:szCs w:val="17"/>
              </w:rPr>
            </w:pPr>
            <w:r w:rsidRPr="004A192B">
              <w:rPr>
                <w:rFonts w:eastAsia="Times New Roman"/>
                <w:szCs w:val="17"/>
              </w:rPr>
              <w:t>Redpoll, Lesser Redpoll</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Acanthis flammea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Redpoll, Common Redpoll</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Carduelis carduelis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Goldfinch, European Goldfinch</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Chloris chloris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Greenfinch, European Greenfinch</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Chloris sinica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Oriental Greenfinch</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Chloris spinoides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Himalayan Greenfinch, Yellow-breasted Greenfinch</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Crithagra dorsostriatus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White-Bellied Canary</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Crithagra flaviventris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Yellow Canary</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Crithagra leucopygia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Grey Singing Finch, White-rumped Seedeater</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Crithagra mozambica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Green Singing Finch, Yellow-fronted Canary</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Crithagra xanthopygia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Yellow-rumped Serin, Yellow-rumped Seedeater</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Fringilla coelebs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Chaffinch</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Haemorhous mexicanus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Mexican Rose Finch, House Finch</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Haemorhous purpureus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Purple Finch</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Linaria cannabina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Eurasian Linnet, Common Linnet</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Serinus canaria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Common Canary, Island Canary</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Serinus serinus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European Serin</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Spinus atriceps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Black-capped Siskin</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Spinus cucullatus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Hooded Siskin,  Red Siskin, Venezuelan Siskin, Black-hooded Red Siskin</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Spinus magellanicus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Mexican Siskin, Black-hooded Yellow Siskin, Hooded Siskin, Yellow Siskin</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Spinus notatus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Black-headed Siskin</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Spinus spinus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European Siskin, Spruce Siskin, Eurasian Siskin</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Spinus uropygialis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Yellow-rumped Siskin</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Leiotrichidae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Leiothrix argentauris</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Silver-eared Mesia</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Leiothrix lutea</w:t>
            </w:r>
          </w:p>
        </w:tc>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Pekin Robin, Red-Billed Leiothrix</w:t>
            </w:r>
          </w:p>
        </w:tc>
        <w:tc>
          <w:tcPr>
            <w:tcW w:w="21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bottom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single" w:sz="4" w:space="0" w:color="auto"/>
              <w:bottom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single" w:sz="4" w:space="0" w:color="auto"/>
              <w:bottom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single" w:sz="4" w:space="0" w:color="auto"/>
              <w:bottom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single" w:sz="4" w:space="0" w:color="auto"/>
              <w:bottom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bottom w:val="nil"/>
            </w:tcBorders>
            <w:shd w:val="clear" w:color="auto" w:fill="auto"/>
          </w:tcPr>
          <w:p w:rsidR="004A192B" w:rsidRPr="004A192B" w:rsidRDefault="004A192B" w:rsidP="004A192B">
            <w:pPr>
              <w:spacing w:after="0"/>
              <w:jc w:val="left"/>
              <w:rPr>
                <w:rFonts w:eastAsia="Times New Roman"/>
                <w:b/>
                <w:bCs/>
                <w:szCs w:val="17"/>
                <w:u w:val="single"/>
              </w:rPr>
            </w:pPr>
          </w:p>
        </w:tc>
        <w:tc>
          <w:tcPr>
            <w:tcW w:w="2280" w:type="dxa"/>
            <w:tcBorders>
              <w:top w:val="nil"/>
              <w:bottom w:val="nil"/>
            </w:tcBorders>
            <w:shd w:val="clear" w:color="auto" w:fill="auto"/>
          </w:tcPr>
          <w:p w:rsidR="004A192B" w:rsidRPr="004A192B" w:rsidRDefault="004A192B" w:rsidP="004A192B">
            <w:pPr>
              <w:spacing w:after="0"/>
              <w:jc w:val="left"/>
              <w:rPr>
                <w:rFonts w:eastAsia="Times New Roman"/>
                <w:szCs w:val="17"/>
              </w:rPr>
            </w:pPr>
          </w:p>
        </w:tc>
        <w:tc>
          <w:tcPr>
            <w:tcW w:w="2160" w:type="dxa"/>
            <w:tcBorders>
              <w:top w:val="nil"/>
              <w:bottom w:val="nil"/>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bottom w:val="nil"/>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bottom w:val="nil"/>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bottom w:val="nil"/>
            </w:tcBorders>
            <w:shd w:val="clear" w:color="auto" w:fill="auto"/>
          </w:tcPr>
          <w:p w:rsidR="004A192B" w:rsidRPr="004A192B" w:rsidRDefault="004A192B" w:rsidP="004A192B">
            <w:pPr>
              <w:spacing w:after="0"/>
              <w:jc w:val="left"/>
              <w:rPr>
                <w:rFonts w:eastAsia="Times New Roman"/>
                <w:b/>
                <w:bCs/>
                <w:szCs w:val="17"/>
                <w:u w:val="single"/>
              </w:rPr>
            </w:pPr>
          </w:p>
        </w:tc>
        <w:tc>
          <w:tcPr>
            <w:tcW w:w="2280" w:type="dxa"/>
            <w:tcBorders>
              <w:top w:val="nil"/>
              <w:bottom w:val="nil"/>
            </w:tcBorders>
            <w:shd w:val="clear" w:color="auto" w:fill="auto"/>
          </w:tcPr>
          <w:p w:rsidR="004A192B" w:rsidRPr="004A192B" w:rsidRDefault="004A192B" w:rsidP="004A192B">
            <w:pPr>
              <w:spacing w:after="0"/>
              <w:jc w:val="left"/>
              <w:rPr>
                <w:rFonts w:eastAsia="Times New Roman"/>
                <w:szCs w:val="17"/>
              </w:rPr>
            </w:pPr>
          </w:p>
        </w:tc>
        <w:tc>
          <w:tcPr>
            <w:tcW w:w="2160" w:type="dxa"/>
            <w:tcBorders>
              <w:top w:val="nil"/>
              <w:bottom w:val="nil"/>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bottom w:val="nil"/>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bottom w:val="nil"/>
            </w:tcBorders>
            <w:shd w:val="clear" w:color="auto" w:fill="auto"/>
            <w:noWrap/>
            <w:vAlign w:val="bottom"/>
          </w:tcPr>
          <w:p w:rsidR="004A192B" w:rsidRPr="004A192B" w:rsidRDefault="004A192B" w:rsidP="004A192B">
            <w:pPr>
              <w:spacing w:after="0"/>
              <w:jc w:val="left"/>
              <w:rPr>
                <w:rFonts w:eastAsia="Times New Roman"/>
                <w:szCs w:val="17"/>
              </w:rPr>
            </w:pPr>
          </w:p>
        </w:tc>
      </w:tr>
      <w:tr w:rsidR="00002A24" w:rsidRPr="004A192B" w:rsidTr="00805B8E">
        <w:trPr>
          <w:trHeight w:val="20"/>
        </w:trPr>
        <w:tc>
          <w:tcPr>
            <w:tcW w:w="2280" w:type="dxa"/>
            <w:tcBorders>
              <w:top w:val="nil"/>
              <w:bottom w:val="nil"/>
            </w:tcBorders>
            <w:shd w:val="clear" w:color="auto" w:fill="auto"/>
          </w:tcPr>
          <w:p w:rsidR="00002A24" w:rsidRPr="004A192B" w:rsidRDefault="00002A24" w:rsidP="004A192B">
            <w:pPr>
              <w:spacing w:after="0"/>
              <w:jc w:val="left"/>
              <w:rPr>
                <w:rFonts w:eastAsia="Times New Roman"/>
                <w:b/>
                <w:bCs/>
                <w:szCs w:val="17"/>
                <w:u w:val="single"/>
              </w:rPr>
            </w:pPr>
          </w:p>
        </w:tc>
        <w:tc>
          <w:tcPr>
            <w:tcW w:w="2280" w:type="dxa"/>
            <w:tcBorders>
              <w:top w:val="nil"/>
              <w:bottom w:val="nil"/>
            </w:tcBorders>
            <w:shd w:val="clear" w:color="auto" w:fill="auto"/>
          </w:tcPr>
          <w:p w:rsidR="00002A24" w:rsidRPr="004A192B" w:rsidRDefault="00002A24" w:rsidP="004A192B">
            <w:pPr>
              <w:spacing w:after="0"/>
              <w:jc w:val="left"/>
              <w:rPr>
                <w:rFonts w:eastAsia="Times New Roman"/>
                <w:szCs w:val="17"/>
              </w:rPr>
            </w:pPr>
          </w:p>
        </w:tc>
        <w:tc>
          <w:tcPr>
            <w:tcW w:w="2160" w:type="dxa"/>
            <w:tcBorders>
              <w:top w:val="nil"/>
              <w:bottom w:val="nil"/>
            </w:tcBorders>
            <w:shd w:val="clear" w:color="auto" w:fill="auto"/>
            <w:noWrap/>
            <w:vAlign w:val="bottom"/>
          </w:tcPr>
          <w:p w:rsidR="00002A24" w:rsidRPr="004A192B" w:rsidRDefault="00002A24" w:rsidP="004A192B">
            <w:pPr>
              <w:spacing w:after="0"/>
              <w:jc w:val="left"/>
              <w:rPr>
                <w:rFonts w:eastAsia="Times New Roman"/>
                <w:szCs w:val="17"/>
              </w:rPr>
            </w:pPr>
          </w:p>
        </w:tc>
        <w:tc>
          <w:tcPr>
            <w:tcW w:w="960" w:type="dxa"/>
            <w:tcBorders>
              <w:top w:val="nil"/>
              <w:bottom w:val="nil"/>
            </w:tcBorders>
            <w:shd w:val="clear" w:color="auto" w:fill="auto"/>
            <w:noWrap/>
            <w:vAlign w:val="bottom"/>
          </w:tcPr>
          <w:p w:rsidR="00002A24" w:rsidRPr="004A192B" w:rsidRDefault="00002A24" w:rsidP="004A192B">
            <w:pPr>
              <w:spacing w:after="0"/>
              <w:jc w:val="center"/>
              <w:rPr>
                <w:rFonts w:eastAsia="Times New Roman"/>
                <w:szCs w:val="17"/>
              </w:rPr>
            </w:pPr>
          </w:p>
        </w:tc>
        <w:tc>
          <w:tcPr>
            <w:tcW w:w="1680" w:type="dxa"/>
            <w:tcBorders>
              <w:top w:val="nil"/>
              <w:bottom w:val="nil"/>
            </w:tcBorders>
            <w:shd w:val="clear" w:color="auto" w:fill="auto"/>
            <w:noWrap/>
            <w:vAlign w:val="bottom"/>
          </w:tcPr>
          <w:p w:rsidR="00002A24" w:rsidRPr="004A192B" w:rsidRDefault="00002A24" w:rsidP="004A192B">
            <w:pPr>
              <w:spacing w:after="0"/>
              <w:jc w:val="left"/>
              <w:rPr>
                <w:rFonts w:eastAsia="Times New Roman"/>
                <w:szCs w:val="17"/>
              </w:rPr>
            </w:pPr>
          </w:p>
        </w:tc>
      </w:tr>
      <w:tr w:rsidR="004A192B" w:rsidRPr="004A192B" w:rsidTr="00805B8E">
        <w:trPr>
          <w:trHeight w:val="20"/>
        </w:trPr>
        <w:tc>
          <w:tcPr>
            <w:tcW w:w="2280" w:type="dxa"/>
            <w:tcBorders>
              <w:top w:val="nil"/>
              <w:bottom w:val="nil"/>
            </w:tcBorders>
            <w:shd w:val="clear" w:color="auto" w:fill="auto"/>
          </w:tcPr>
          <w:p w:rsidR="004A192B" w:rsidRPr="004A192B" w:rsidRDefault="004A192B" w:rsidP="004A192B">
            <w:pPr>
              <w:spacing w:after="0"/>
              <w:jc w:val="left"/>
              <w:rPr>
                <w:rFonts w:eastAsia="Times New Roman"/>
                <w:b/>
                <w:bCs/>
                <w:szCs w:val="17"/>
                <w:u w:val="single"/>
              </w:rPr>
            </w:pPr>
          </w:p>
        </w:tc>
        <w:tc>
          <w:tcPr>
            <w:tcW w:w="2280" w:type="dxa"/>
            <w:tcBorders>
              <w:top w:val="nil"/>
              <w:bottom w:val="nil"/>
            </w:tcBorders>
            <w:shd w:val="clear" w:color="auto" w:fill="auto"/>
          </w:tcPr>
          <w:p w:rsidR="004A192B" w:rsidRPr="004A192B" w:rsidRDefault="004A192B" w:rsidP="004A192B">
            <w:pPr>
              <w:spacing w:after="0"/>
              <w:jc w:val="left"/>
              <w:rPr>
                <w:rFonts w:eastAsia="Times New Roman"/>
                <w:szCs w:val="17"/>
              </w:rPr>
            </w:pPr>
          </w:p>
        </w:tc>
        <w:tc>
          <w:tcPr>
            <w:tcW w:w="2160" w:type="dxa"/>
            <w:tcBorders>
              <w:top w:val="nil"/>
              <w:bottom w:val="nil"/>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bottom w:val="nil"/>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bottom w:val="nil"/>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before="80" w:after="0"/>
              <w:jc w:val="left"/>
              <w:rPr>
                <w:rFonts w:eastAsia="Times New Roman"/>
                <w:b/>
                <w:bCs/>
                <w:szCs w:val="17"/>
                <w:u w:val="single"/>
              </w:rPr>
            </w:pPr>
            <w:r w:rsidRPr="004A192B">
              <w:rPr>
                <w:rFonts w:eastAsia="Times New Roman"/>
                <w:b/>
                <w:bCs/>
                <w:szCs w:val="17"/>
                <w:u w:val="single"/>
              </w:rPr>
              <w:t>Muscicapidae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Copsychus saularis</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Magpie-robin, Oriental Magpie-robin</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Kittacincla malabarica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Shama, White-rumped Shama</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Passeridae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Passer domesticus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House Sparrow</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Passer flaveolus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Plain-Backed Sparrow, Pegu House Sparrow</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Passer luteus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Golden Song Sparrow, Sudan Golden Sparrow</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Passer montanus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Tree Sparrow, Eurasian Tree Sparrow</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Ploceidae</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p>
        </w:tc>
        <w:tc>
          <w:tcPr>
            <w:tcW w:w="96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Euplectes afer</w:t>
            </w:r>
          </w:p>
        </w:tc>
        <w:tc>
          <w:tcPr>
            <w:tcW w:w="2280" w:type="dxa"/>
            <w:tcBorders>
              <w:top w:val="nil"/>
              <w:left w:val="single" w:sz="4" w:space="0" w:color="auto"/>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Napolean Weaver, Yellow-crowned Bishop, Golden Bishop</w:t>
            </w:r>
          </w:p>
        </w:tc>
        <w:tc>
          <w:tcPr>
            <w:tcW w:w="2160" w:type="dxa"/>
            <w:tcBorders>
              <w:top w:val="nil"/>
              <w:left w:val="single" w:sz="4" w:space="0" w:color="auto"/>
              <w:right w:val="nil"/>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single" w:sz="4" w:space="0" w:color="auto"/>
              <w:right w:val="nil"/>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Euplectes axillaris</w:t>
            </w:r>
          </w:p>
        </w:tc>
        <w:tc>
          <w:tcPr>
            <w:tcW w:w="2280" w:type="dxa"/>
            <w:tcBorders>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Red-shouldered Whydah, Fan-Tailed Widowbird</w:t>
            </w:r>
          </w:p>
        </w:tc>
        <w:tc>
          <w:tcPr>
            <w:tcW w:w="2160" w:type="dxa"/>
            <w:tcBorders>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Euplectes franciscanus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Orange Bishop, Northern Red Bishop</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Euplectes orix</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Grenadier Weaver, Red Bishop, Southern Red Bishop</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Foudia eminentissima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Comoro Weaver, Comoro Fody, Red-headed Fody, Comoros Fody</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Foudia madagascariensis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Madagascar Weaver, Madagascan Red Fody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Ploceus bicolor</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Forest Weaver, Dark-backed Weaver</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Sturnidae</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9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b/>
                <w:bCs/>
                <w:szCs w:val="17"/>
              </w:rPr>
            </w:pPr>
          </w:p>
        </w:tc>
        <w:tc>
          <w:tcPr>
            <w:tcW w:w="168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Sturnus vulgaris</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Starling, Common Starling, European Starling</w:t>
            </w:r>
          </w:p>
        </w:tc>
        <w:tc>
          <w:tcPr>
            <w:tcW w:w="2160" w:type="dxa"/>
            <w:tcBorders>
              <w:top w:val="nil"/>
              <w:left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vAlign w:val="center"/>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Thraupidae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Coryphospingus cucullatus</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Red-crested Finch, red-pileated Finch</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Paroaria coronata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Red-crested Cardinal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Phonipara canora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Cuban Finch, Cuban Grassquit, Melodius Grassquit, Melodius Finch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Sicalis flaveola (</w:t>
            </w:r>
            <w:r w:rsidRPr="004A192B">
              <w:rPr>
                <w:rFonts w:eastAsia="Times New Roman"/>
                <w:szCs w:val="17"/>
              </w:rPr>
              <w:t>incl.</w:t>
            </w:r>
            <w:r w:rsidRPr="004A192B">
              <w:rPr>
                <w:rFonts w:eastAsia="Times New Roman"/>
                <w:i/>
                <w:iCs/>
                <w:szCs w:val="17"/>
              </w:rPr>
              <w:t xml:space="preserve"> S.f. pelzelni)</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Saffron Finch, Pelzeln’s Saffron Finch</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Volatinia jacarina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Jacarini, Blue-black Grassquit, Jacarini Finch</w:t>
            </w: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Turdidae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Turdus merula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Blackbird, Common Blackbird, Eurasian Blackbird</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 </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Viduidae</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Vidua macroura</w:t>
            </w:r>
          </w:p>
        </w:tc>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Pin-tailed Whydah</w:t>
            </w:r>
          </w:p>
        </w:tc>
        <w:tc>
          <w:tcPr>
            <w:tcW w:w="21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AMPHIBIA</w:t>
            </w:r>
          </w:p>
        </w:tc>
        <w:tc>
          <w:tcPr>
            <w:tcW w:w="2280" w:type="dxa"/>
            <w:tcBorders>
              <w:top w:val="nil"/>
              <w:left w:val="nil"/>
              <w:bottom w:val="nil"/>
              <w:right w:val="nil"/>
            </w:tcBorders>
            <w:shd w:val="clear" w:color="auto" w:fill="auto"/>
            <w:hideMark/>
          </w:tcPr>
          <w:p w:rsidR="004A192B" w:rsidRPr="004A192B" w:rsidRDefault="004A192B" w:rsidP="004A192B">
            <w:pPr>
              <w:spacing w:after="0"/>
              <w:jc w:val="left"/>
              <w:rPr>
                <w:rFonts w:eastAsia="Times New Roman"/>
                <w:b/>
                <w:bCs/>
                <w:szCs w:val="17"/>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nil"/>
            </w:tcBorders>
            <w:shd w:val="clear" w:color="auto" w:fill="auto"/>
            <w:hideMark/>
          </w:tcPr>
          <w:p w:rsidR="004A192B" w:rsidRPr="004A192B" w:rsidRDefault="004A192B" w:rsidP="004A192B">
            <w:pPr>
              <w:spacing w:after="0"/>
              <w:jc w:val="left"/>
              <w:rPr>
                <w:rFonts w:eastAsia="Times New Roman"/>
                <w:b/>
                <w:bCs/>
                <w:szCs w:val="17"/>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CAUDATA</w:t>
            </w:r>
          </w:p>
        </w:tc>
        <w:tc>
          <w:tcPr>
            <w:tcW w:w="2280" w:type="dxa"/>
            <w:tcBorders>
              <w:top w:val="nil"/>
              <w:left w:val="nil"/>
              <w:bottom w:val="nil"/>
              <w:right w:val="nil"/>
            </w:tcBorders>
            <w:shd w:val="clear" w:color="auto" w:fill="auto"/>
            <w:hideMark/>
          </w:tcPr>
          <w:p w:rsidR="004A192B" w:rsidRPr="004A192B" w:rsidRDefault="004A192B" w:rsidP="004A192B">
            <w:pPr>
              <w:spacing w:after="0"/>
              <w:jc w:val="left"/>
              <w:rPr>
                <w:rFonts w:eastAsia="Times New Roman"/>
                <w:b/>
                <w:bCs/>
                <w:szCs w:val="17"/>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Ambystomatidae</w:t>
            </w:r>
          </w:p>
        </w:tc>
        <w:tc>
          <w:tcPr>
            <w:tcW w:w="2280" w:type="dxa"/>
            <w:tcBorders>
              <w:top w:val="nil"/>
              <w:left w:val="nil"/>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p>
        </w:tc>
        <w:tc>
          <w:tcPr>
            <w:tcW w:w="21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nil"/>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Ambystoma mexicanum</w:t>
            </w:r>
          </w:p>
        </w:tc>
        <w:tc>
          <w:tcPr>
            <w:tcW w:w="2280" w:type="dxa"/>
            <w:tcBorders>
              <w:top w:val="nil"/>
              <w:left w:val="nil"/>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Axolotl </w:t>
            </w:r>
          </w:p>
        </w:tc>
        <w:tc>
          <w:tcPr>
            <w:tcW w:w="21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nil"/>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5</w:t>
            </w:r>
          </w:p>
        </w:tc>
        <w:tc>
          <w:tcPr>
            <w:tcW w:w="2280" w:type="dxa"/>
            <w:tcBorders>
              <w:top w:val="single" w:sz="4" w:space="0" w:color="auto"/>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186(1)(3), 187(1), 188, 189, 192(2)</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r w:rsidRPr="004A192B">
              <w:rPr>
                <w:rFonts w:eastAsia="Times New Roman"/>
                <w:szCs w:val="17"/>
              </w:rPr>
              <w:t>2</w:t>
            </w:r>
          </w:p>
        </w:tc>
        <w:tc>
          <w:tcPr>
            <w:tcW w:w="16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xml:space="preserve">Whole of the State (excluding any areas specified in other classes)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CARNIVORA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Canidae</w:t>
            </w:r>
          </w:p>
        </w:tc>
        <w:tc>
          <w:tcPr>
            <w:tcW w:w="2280" w:type="dxa"/>
            <w:tcBorders>
              <w:top w:val="nil"/>
              <w:left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Vulpes vulpes</w:t>
            </w:r>
          </w:p>
        </w:tc>
        <w:tc>
          <w:tcPr>
            <w:tcW w:w="2280" w:type="dxa"/>
            <w:tcBorders>
              <w:top w:val="nil"/>
              <w:left w:val="nil"/>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Fox, Red Fox, European Fox</w:t>
            </w:r>
          </w:p>
        </w:tc>
        <w:tc>
          <w:tcPr>
            <w:tcW w:w="21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bottom w:val="nil"/>
            </w:tcBorders>
            <w:shd w:val="clear" w:color="auto" w:fill="auto"/>
          </w:tcPr>
          <w:p w:rsidR="004A192B" w:rsidRPr="004A192B" w:rsidRDefault="004A192B" w:rsidP="004A192B">
            <w:pPr>
              <w:spacing w:before="120" w:after="0"/>
              <w:jc w:val="left"/>
              <w:rPr>
                <w:rFonts w:eastAsia="Times New Roman"/>
                <w:b/>
                <w:bCs/>
                <w:szCs w:val="17"/>
              </w:rPr>
            </w:pPr>
          </w:p>
        </w:tc>
        <w:tc>
          <w:tcPr>
            <w:tcW w:w="2280" w:type="dxa"/>
            <w:tcBorders>
              <w:top w:val="single" w:sz="4" w:space="0" w:color="auto"/>
              <w:bottom w:val="nil"/>
            </w:tcBorders>
            <w:shd w:val="clear" w:color="auto" w:fill="auto"/>
          </w:tcPr>
          <w:p w:rsidR="004A192B" w:rsidRPr="004A192B" w:rsidRDefault="004A192B" w:rsidP="004A192B">
            <w:pPr>
              <w:spacing w:before="80" w:after="0"/>
              <w:jc w:val="left"/>
              <w:rPr>
                <w:rFonts w:eastAsia="Times New Roman"/>
                <w:b/>
                <w:bCs/>
                <w:szCs w:val="17"/>
              </w:rPr>
            </w:pPr>
          </w:p>
        </w:tc>
        <w:tc>
          <w:tcPr>
            <w:tcW w:w="2160" w:type="dxa"/>
            <w:tcBorders>
              <w:top w:val="single" w:sz="4" w:space="0" w:color="auto"/>
              <w:bottom w:val="nil"/>
            </w:tcBorders>
            <w:shd w:val="clear" w:color="auto" w:fill="auto"/>
            <w:noWrap/>
            <w:vAlign w:val="bottom"/>
          </w:tcPr>
          <w:p w:rsidR="004A192B" w:rsidRPr="004A192B" w:rsidRDefault="004A192B" w:rsidP="004A192B">
            <w:pPr>
              <w:spacing w:before="80" w:after="0"/>
              <w:jc w:val="left"/>
              <w:rPr>
                <w:rFonts w:eastAsia="Times New Roman"/>
                <w:b/>
                <w:bCs/>
                <w:szCs w:val="17"/>
              </w:rPr>
            </w:pPr>
          </w:p>
        </w:tc>
        <w:tc>
          <w:tcPr>
            <w:tcW w:w="960" w:type="dxa"/>
            <w:tcBorders>
              <w:top w:val="single" w:sz="4" w:space="0" w:color="auto"/>
              <w:bottom w:val="nil"/>
            </w:tcBorders>
            <w:shd w:val="clear" w:color="auto" w:fill="auto"/>
            <w:noWrap/>
            <w:vAlign w:val="bottom"/>
          </w:tcPr>
          <w:p w:rsidR="004A192B" w:rsidRPr="004A192B" w:rsidRDefault="004A192B" w:rsidP="004A192B">
            <w:pPr>
              <w:spacing w:before="80" w:after="0"/>
              <w:jc w:val="center"/>
              <w:rPr>
                <w:rFonts w:eastAsia="Times New Roman"/>
                <w:b/>
                <w:bCs/>
                <w:szCs w:val="17"/>
              </w:rPr>
            </w:pPr>
          </w:p>
        </w:tc>
        <w:tc>
          <w:tcPr>
            <w:tcW w:w="1680" w:type="dxa"/>
            <w:tcBorders>
              <w:top w:val="single" w:sz="4" w:space="0" w:color="auto"/>
              <w:bottom w:val="nil"/>
            </w:tcBorders>
            <w:shd w:val="clear" w:color="auto" w:fill="auto"/>
            <w:noWrap/>
            <w:vAlign w:val="bottom"/>
          </w:tcPr>
          <w:p w:rsidR="004A192B" w:rsidRPr="004A192B" w:rsidRDefault="004A192B" w:rsidP="004A192B">
            <w:pPr>
              <w:spacing w:before="80" w:after="0"/>
              <w:jc w:val="left"/>
              <w:rPr>
                <w:rFonts w:eastAsia="Times New Roman"/>
                <w:b/>
                <w:bCs/>
                <w:szCs w:val="17"/>
              </w:rPr>
            </w:pP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6</w:t>
            </w:r>
          </w:p>
        </w:tc>
        <w:tc>
          <w:tcPr>
            <w:tcW w:w="2280" w:type="dxa"/>
            <w:tcBorders>
              <w:top w:val="single" w:sz="4" w:space="0" w:color="auto"/>
              <w:left w:val="nil"/>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center"/>
            <w:hideMark/>
          </w:tcPr>
          <w:p w:rsidR="004A192B" w:rsidRPr="004A192B" w:rsidRDefault="004A192B" w:rsidP="004A192B">
            <w:pPr>
              <w:spacing w:after="0"/>
              <w:jc w:val="left"/>
              <w:rPr>
                <w:rFonts w:eastAsia="Times New Roman"/>
                <w:szCs w:val="17"/>
              </w:rPr>
            </w:pPr>
            <w:r w:rsidRPr="004A192B">
              <w:rPr>
                <w:rFonts w:eastAsia="Times New Roman"/>
                <w:szCs w:val="17"/>
              </w:rPr>
              <w:t>186(1)(3), 187(1a), 188, 189, 190, 192(1)</w:t>
            </w:r>
          </w:p>
        </w:tc>
        <w:tc>
          <w:tcPr>
            <w:tcW w:w="96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center"/>
              <w:rPr>
                <w:rFonts w:eastAsia="Times New Roman"/>
                <w:szCs w:val="17"/>
              </w:rPr>
            </w:pPr>
            <w:r w:rsidRPr="004A192B">
              <w:rPr>
                <w:rFonts w:eastAsia="Times New Roman"/>
                <w:szCs w:val="17"/>
              </w:rPr>
              <w:t>1</w:t>
            </w:r>
          </w:p>
        </w:tc>
        <w:tc>
          <w:tcPr>
            <w:tcW w:w="168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All offshore islands and any vessel adjacent to any such island</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CARNIVORA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Canidae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Vulpes vulpes</w:t>
            </w:r>
          </w:p>
        </w:tc>
        <w:tc>
          <w:tcPr>
            <w:tcW w:w="2280" w:type="dxa"/>
            <w:tcBorders>
              <w:top w:val="nil"/>
              <w:left w:val="nil"/>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Fox, Red Fox, European Fox</w:t>
            </w:r>
          </w:p>
        </w:tc>
        <w:tc>
          <w:tcPr>
            <w:tcW w:w="2160" w:type="dxa"/>
            <w:tcBorders>
              <w:top w:val="nil"/>
              <w:left w:val="nil"/>
              <w:bottom w:val="single" w:sz="4" w:space="0" w:color="auto"/>
              <w:right w:val="single" w:sz="4" w:space="0" w:color="auto"/>
            </w:tcBorders>
            <w:shd w:val="clear" w:color="auto" w:fill="auto"/>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7</w:t>
            </w:r>
          </w:p>
        </w:tc>
        <w:tc>
          <w:tcPr>
            <w:tcW w:w="2280" w:type="dxa"/>
            <w:tcBorders>
              <w:top w:val="single" w:sz="4" w:space="0" w:color="auto"/>
              <w:left w:val="nil"/>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center"/>
            <w:hideMark/>
          </w:tcPr>
          <w:p w:rsidR="004A192B" w:rsidRPr="004A192B" w:rsidRDefault="004A192B" w:rsidP="004A192B">
            <w:pPr>
              <w:spacing w:after="0"/>
              <w:jc w:val="left"/>
              <w:rPr>
                <w:rFonts w:eastAsia="Times New Roman"/>
                <w:szCs w:val="17"/>
              </w:rPr>
            </w:pPr>
            <w:r w:rsidRPr="004A192B">
              <w:rPr>
                <w:rFonts w:eastAsia="Times New Roman"/>
                <w:szCs w:val="17"/>
              </w:rPr>
              <w:t>186(1)(3), 187(1a), 188, 189, 191(1), 192(1)</w:t>
            </w:r>
          </w:p>
        </w:tc>
        <w:tc>
          <w:tcPr>
            <w:tcW w:w="960" w:type="dxa"/>
            <w:tcBorders>
              <w:top w:val="nil"/>
              <w:left w:val="nil"/>
              <w:bottom w:val="nil"/>
              <w:right w:val="single" w:sz="4" w:space="0" w:color="auto"/>
            </w:tcBorders>
            <w:shd w:val="clear" w:color="auto" w:fill="auto"/>
            <w:noWrap/>
            <w:vAlign w:val="center"/>
            <w:hideMark/>
          </w:tcPr>
          <w:p w:rsidR="004A192B" w:rsidRPr="004A192B" w:rsidRDefault="004A192B" w:rsidP="004A192B">
            <w:pPr>
              <w:spacing w:after="0"/>
              <w:jc w:val="center"/>
              <w:rPr>
                <w:rFonts w:eastAsia="Times New Roman"/>
                <w:szCs w:val="17"/>
              </w:rPr>
            </w:pPr>
            <w:r w:rsidRPr="004A192B">
              <w:rPr>
                <w:rFonts w:eastAsia="Times New Roman"/>
                <w:szCs w:val="17"/>
              </w:rPr>
              <w:t>2</w:t>
            </w:r>
          </w:p>
        </w:tc>
        <w:tc>
          <w:tcPr>
            <w:tcW w:w="168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South of the Dog Fence</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CARNIVORA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Canidae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Canis familiaris</w:t>
            </w:r>
          </w:p>
        </w:tc>
        <w:tc>
          <w:tcPr>
            <w:tcW w:w="2280" w:type="dxa"/>
            <w:tcBorders>
              <w:top w:val="nil"/>
              <w:left w:val="nil"/>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Dingo </w:t>
            </w:r>
          </w:p>
        </w:tc>
        <w:tc>
          <w:tcPr>
            <w:tcW w:w="2160" w:type="dxa"/>
            <w:tcBorders>
              <w:top w:val="nil"/>
              <w:left w:val="nil"/>
              <w:bottom w:val="single" w:sz="4" w:space="0" w:color="auto"/>
              <w:right w:val="single" w:sz="4" w:space="0" w:color="auto"/>
            </w:tcBorders>
            <w:shd w:val="clear" w:color="auto" w:fill="auto"/>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8</w:t>
            </w:r>
          </w:p>
        </w:tc>
        <w:tc>
          <w:tcPr>
            <w:tcW w:w="2280" w:type="dxa"/>
            <w:tcBorders>
              <w:top w:val="single" w:sz="4" w:space="0" w:color="auto"/>
              <w:left w:val="nil"/>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center"/>
            <w:hideMark/>
          </w:tcPr>
          <w:p w:rsidR="004A192B" w:rsidRPr="004A192B" w:rsidRDefault="004A192B" w:rsidP="004A192B">
            <w:pPr>
              <w:spacing w:after="0"/>
              <w:jc w:val="left"/>
              <w:rPr>
                <w:rFonts w:eastAsia="Times New Roman"/>
                <w:szCs w:val="17"/>
              </w:rPr>
            </w:pPr>
            <w:r w:rsidRPr="004A192B">
              <w:rPr>
                <w:rFonts w:eastAsia="Times New Roman"/>
                <w:szCs w:val="17"/>
              </w:rPr>
              <w:t>186(1)(3), 187(1a), 188, 189, 190, 192(1)</w:t>
            </w:r>
          </w:p>
        </w:tc>
        <w:tc>
          <w:tcPr>
            <w:tcW w:w="960" w:type="dxa"/>
            <w:tcBorders>
              <w:top w:val="nil"/>
              <w:left w:val="nil"/>
              <w:bottom w:val="nil"/>
              <w:right w:val="single" w:sz="4" w:space="0" w:color="auto"/>
            </w:tcBorders>
            <w:shd w:val="clear" w:color="auto" w:fill="auto"/>
            <w:noWrap/>
            <w:vAlign w:val="center"/>
            <w:hideMark/>
          </w:tcPr>
          <w:p w:rsidR="004A192B" w:rsidRPr="004A192B" w:rsidRDefault="004A192B" w:rsidP="004A192B">
            <w:pPr>
              <w:spacing w:after="0"/>
              <w:jc w:val="center"/>
              <w:rPr>
                <w:rFonts w:eastAsia="Times New Roman"/>
                <w:szCs w:val="17"/>
              </w:rPr>
            </w:pPr>
            <w:r w:rsidRPr="004A192B">
              <w:rPr>
                <w:rFonts w:eastAsia="Times New Roman"/>
                <w:szCs w:val="17"/>
              </w:rPr>
              <w:t>1</w:t>
            </w:r>
          </w:p>
        </w:tc>
        <w:tc>
          <w:tcPr>
            <w:tcW w:w="168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All offshore islands (including Kangaroo Island but excluding Wardang Island) and any vessel adjacent to any such island.</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LAGOMORPHA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Leporidae</w:t>
            </w:r>
          </w:p>
        </w:tc>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Lepus europeus</w:t>
            </w:r>
          </w:p>
        </w:tc>
        <w:tc>
          <w:tcPr>
            <w:tcW w:w="2280" w:type="dxa"/>
            <w:tcBorders>
              <w:top w:val="nil"/>
              <w:left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Hare, European Hare</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Oryctolagus cuniculus</w:t>
            </w:r>
          </w:p>
        </w:tc>
        <w:tc>
          <w:tcPr>
            <w:tcW w:w="2280" w:type="dxa"/>
            <w:tcBorders>
              <w:top w:val="nil"/>
              <w:left w:val="nil"/>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Rabbit, European Rabbit (wild &amp; domestic forms)</w:t>
            </w:r>
          </w:p>
        </w:tc>
        <w:tc>
          <w:tcPr>
            <w:tcW w:w="2160" w:type="dxa"/>
            <w:tcBorders>
              <w:top w:val="nil"/>
              <w:left w:val="nil"/>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hideMark/>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nil"/>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9</w:t>
            </w:r>
          </w:p>
        </w:tc>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nil"/>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nil"/>
            </w:tcBorders>
            <w:shd w:val="clear" w:color="auto" w:fill="auto"/>
            <w:vAlign w:val="center"/>
            <w:hideMark/>
          </w:tcPr>
          <w:p w:rsidR="004A192B" w:rsidRPr="004A192B" w:rsidRDefault="004A192B" w:rsidP="004A192B">
            <w:pPr>
              <w:spacing w:after="0"/>
              <w:jc w:val="left"/>
              <w:rPr>
                <w:rFonts w:eastAsia="Times New Roman"/>
                <w:szCs w:val="17"/>
              </w:rPr>
            </w:pPr>
            <w:r w:rsidRPr="004A192B">
              <w:rPr>
                <w:rFonts w:eastAsia="Times New Roman"/>
                <w:szCs w:val="17"/>
              </w:rPr>
              <w:t>186(1)(3), 187(1a), 188, 189, 192(2), 194(1)</w:t>
            </w:r>
          </w:p>
        </w:tc>
        <w:tc>
          <w:tcPr>
            <w:tcW w:w="960" w:type="dxa"/>
            <w:tcBorders>
              <w:top w:val="nil"/>
              <w:left w:val="single" w:sz="4" w:space="0" w:color="auto"/>
              <w:bottom w:val="nil"/>
              <w:right w:val="single" w:sz="4" w:space="0" w:color="auto"/>
            </w:tcBorders>
            <w:shd w:val="clear" w:color="auto" w:fill="auto"/>
            <w:noWrap/>
            <w:vAlign w:val="center"/>
            <w:hideMark/>
          </w:tcPr>
          <w:p w:rsidR="004A192B" w:rsidRPr="004A192B" w:rsidRDefault="004A192B" w:rsidP="004A192B">
            <w:pPr>
              <w:spacing w:after="0"/>
              <w:jc w:val="center"/>
              <w:rPr>
                <w:rFonts w:eastAsia="Times New Roman"/>
                <w:szCs w:val="17"/>
              </w:rPr>
            </w:pPr>
            <w:r w:rsidRPr="004A192B">
              <w:rPr>
                <w:rFonts w:eastAsia="Times New Roman"/>
                <w:szCs w:val="17"/>
              </w:rPr>
              <w:t>3</w:t>
            </w:r>
          </w:p>
        </w:tc>
        <w:tc>
          <w:tcPr>
            <w:tcW w:w="168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Whole of the State (excluding any areas specified in other classes)</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LAGOMORPHA</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nil"/>
            </w:tcBorders>
            <w:shd w:val="clear" w:color="auto" w:fill="auto"/>
            <w:noWrap/>
            <w:vAlign w:val="bottom"/>
            <w:hideMark/>
          </w:tcPr>
          <w:p w:rsidR="004A192B" w:rsidRPr="004A192B" w:rsidRDefault="004A192B" w:rsidP="004A192B">
            <w:pPr>
              <w:spacing w:after="0"/>
              <w:jc w:val="left"/>
              <w:rPr>
                <w:rFonts w:eastAsia="Times New Roman"/>
                <w:szCs w:val="17"/>
              </w:rPr>
            </w:pP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Leporidae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nil"/>
            </w:tcBorders>
            <w:shd w:val="clear" w:color="auto" w:fill="auto"/>
            <w:vAlign w:val="bottom"/>
            <w:hideMark/>
          </w:tcPr>
          <w:p w:rsidR="004A192B" w:rsidRPr="004A192B" w:rsidRDefault="004A192B" w:rsidP="004A192B">
            <w:pPr>
              <w:spacing w:after="0"/>
              <w:jc w:val="left"/>
              <w:rPr>
                <w:rFonts w:eastAsia="Times New Roman"/>
                <w:szCs w:val="17"/>
              </w:rPr>
            </w:pPr>
          </w:p>
        </w:tc>
        <w:tc>
          <w:tcPr>
            <w:tcW w:w="960" w:type="dxa"/>
            <w:tcBorders>
              <w:top w:val="nil"/>
              <w:left w:val="single" w:sz="4" w:space="0" w:color="auto"/>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Oryctolagus cuniculus</w:t>
            </w:r>
          </w:p>
        </w:tc>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Rabbit, European Rabbit (wild forms)</w:t>
            </w:r>
          </w:p>
        </w:tc>
        <w:tc>
          <w:tcPr>
            <w:tcW w:w="2160" w:type="dxa"/>
            <w:tcBorders>
              <w:top w:val="nil"/>
              <w:left w:val="nil"/>
              <w:bottom w:val="single" w:sz="4" w:space="0" w:color="auto"/>
              <w:right w:val="nil"/>
            </w:tcBorders>
            <w:shd w:val="clear" w:color="auto" w:fill="auto"/>
            <w:vAlign w:val="bottom"/>
            <w:hideMark/>
          </w:tcPr>
          <w:p w:rsidR="004A192B" w:rsidRPr="004A192B" w:rsidRDefault="004A192B" w:rsidP="004A192B">
            <w:pPr>
              <w:jc w:val="left"/>
              <w:rPr>
                <w:rFonts w:eastAsia="Times New Roman"/>
                <w:szCs w:val="17"/>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10</w:t>
            </w:r>
          </w:p>
        </w:tc>
        <w:tc>
          <w:tcPr>
            <w:tcW w:w="2280" w:type="dxa"/>
            <w:tcBorders>
              <w:top w:val="single" w:sz="4" w:space="0" w:color="auto"/>
              <w:left w:val="nil"/>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center"/>
            <w:hideMark/>
          </w:tcPr>
          <w:p w:rsidR="004A192B" w:rsidRPr="004A192B" w:rsidRDefault="004A192B" w:rsidP="004A192B">
            <w:pPr>
              <w:spacing w:after="0"/>
              <w:jc w:val="left"/>
              <w:rPr>
                <w:rFonts w:eastAsia="Times New Roman"/>
                <w:szCs w:val="17"/>
              </w:rPr>
            </w:pPr>
            <w:r w:rsidRPr="004A192B">
              <w:rPr>
                <w:rFonts w:eastAsia="Times New Roman"/>
                <w:szCs w:val="17"/>
              </w:rPr>
              <w:t>189, 191(1)</w:t>
            </w:r>
          </w:p>
        </w:tc>
        <w:tc>
          <w:tcPr>
            <w:tcW w:w="960" w:type="dxa"/>
            <w:tcBorders>
              <w:top w:val="nil"/>
              <w:left w:val="nil"/>
              <w:bottom w:val="nil"/>
              <w:right w:val="single" w:sz="4" w:space="0" w:color="auto"/>
            </w:tcBorders>
            <w:shd w:val="clear" w:color="auto" w:fill="auto"/>
            <w:noWrap/>
            <w:vAlign w:val="center"/>
            <w:hideMark/>
          </w:tcPr>
          <w:p w:rsidR="004A192B" w:rsidRPr="004A192B" w:rsidRDefault="004A192B" w:rsidP="004A192B">
            <w:pPr>
              <w:spacing w:after="0"/>
              <w:jc w:val="center"/>
              <w:rPr>
                <w:rFonts w:eastAsia="Times New Roman"/>
                <w:szCs w:val="17"/>
              </w:rPr>
            </w:pPr>
            <w:r w:rsidRPr="004A192B">
              <w:rPr>
                <w:rFonts w:eastAsia="Times New Roman"/>
                <w:szCs w:val="17"/>
              </w:rPr>
              <w:t>3</w:t>
            </w:r>
          </w:p>
        </w:tc>
        <w:tc>
          <w:tcPr>
            <w:tcW w:w="168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Whole of the State (excluding any areas specified in other classes)</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LAGOMORPHA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Leporidae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129"/>
        </w:trPr>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Oryctolagus cuniculus</w:t>
            </w:r>
          </w:p>
        </w:tc>
        <w:tc>
          <w:tcPr>
            <w:tcW w:w="2280" w:type="dxa"/>
            <w:tcBorders>
              <w:top w:val="nil"/>
              <w:left w:val="nil"/>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Rabbit, European Rabbit (domestic forms)</w:t>
            </w:r>
          </w:p>
        </w:tc>
        <w:tc>
          <w:tcPr>
            <w:tcW w:w="2160" w:type="dxa"/>
            <w:tcBorders>
              <w:top w:val="nil"/>
              <w:left w:val="nil"/>
              <w:bottom w:val="single" w:sz="4" w:space="0" w:color="auto"/>
              <w:right w:val="single" w:sz="4" w:space="0" w:color="auto"/>
            </w:tcBorders>
            <w:shd w:val="clear" w:color="auto" w:fill="auto"/>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11</w:t>
            </w:r>
          </w:p>
        </w:tc>
        <w:tc>
          <w:tcPr>
            <w:tcW w:w="2280" w:type="dxa"/>
            <w:tcBorders>
              <w:top w:val="single" w:sz="4" w:space="0" w:color="auto"/>
              <w:left w:val="nil"/>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center"/>
            <w:hideMark/>
          </w:tcPr>
          <w:p w:rsidR="004A192B" w:rsidRPr="004A192B" w:rsidRDefault="004A192B" w:rsidP="004A192B">
            <w:pPr>
              <w:spacing w:after="0"/>
              <w:jc w:val="left"/>
              <w:rPr>
                <w:rFonts w:eastAsia="Times New Roman"/>
                <w:szCs w:val="17"/>
              </w:rPr>
            </w:pPr>
            <w:r w:rsidRPr="004A192B">
              <w:rPr>
                <w:rFonts w:eastAsia="Times New Roman"/>
                <w:szCs w:val="17"/>
              </w:rPr>
              <w:t>187(1a), 189, 190, 192(3)</w:t>
            </w:r>
          </w:p>
        </w:tc>
        <w:tc>
          <w:tcPr>
            <w:tcW w:w="960" w:type="dxa"/>
            <w:tcBorders>
              <w:top w:val="nil"/>
              <w:left w:val="nil"/>
              <w:bottom w:val="nil"/>
              <w:right w:val="single" w:sz="4" w:space="0" w:color="auto"/>
            </w:tcBorders>
            <w:shd w:val="clear" w:color="auto" w:fill="auto"/>
            <w:noWrap/>
            <w:vAlign w:val="center"/>
            <w:hideMark/>
          </w:tcPr>
          <w:p w:rsidR="004A192B" w:rsidRPr="004A192B" w:rsidRDefault="004A192B" w:rsidP="004A192B">
            <w:pPr>
              <w:spacing w:after="0"/>
              <w:jc w:val="center"/>
              <w:rPr>
                <w:rFonts w:eastAsia="Times New Roman"/>
                <w:szCs w:val="17"/>
              </w:rPr>
            </w:pPr>
            <w:r w:rsidRPr="004A192B">
              <w:rPr>
                <w:rFonts w:eastAsia="Times New Roman"/>
                <w:szCs w:val="17"/>
              </w:rPr>
              <w:t>3</w:t>
            </w:r>
          </w:p>
        </w:tc>
        <w:tc>
          <w:tcPr>
            <w:tcW w:w="168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Whole of the area comprising the Flinders Ranges Development Plan</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ARTIODACTYLA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Bovidae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Capra hircus</w:t>
            </w:r>
          </w:p>
        </w:tc>
        <w:tc>
          <w:tcPr>
            <w:tcW w:w="2280" w:type="dxa"/>
            <w:tcBorders>
              <w:top w:val="nil"/>
              <w:left w:val="nil"/>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Goat</w:t>
            </w:r>
          </w:p>
        </w:tc>
        <w:tc>
          <w:tcPr>
            <w:tcW w:w="2160" w:type="dxa"/>
            <w:tcBorders>
              <w:top w:val="nil"/>
              <w:left w:val="nil"/>
              <w:bottom w:val="single" w:sz="4" w:space="0" w:color="auto"/>
              <w:right w:val="single" w:sz="4" w:space="0" w:color="auto"/>
            </w:tcBorders>
            <w:shd w:val="clear" w:color="auto" w:fill="auto"/>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12</w:t>
            </w:r>
          </w:p>
        </w:tc>
        <w:tc>
          <w:tcPr>
            <w:tcW w:w="2280" w:type="dxa"/>
            <w:tcBorders>
              <w:top w:val="single" w:sz="4" w:space="0" w:color="auto"/>
              <w:left w:val="nil"/>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center"/>
            <w:hideMark/>
          </w:tcPr>
          <w:p w:rsidR="004A192B" w:rsidRPr="004A192B" w:rsidRDefault="004A192B" w:rsidP="004A192B">
            <w:pPr>
              <w:spacing w:after="0"/>
              <w:jc w:val="left"/>
              <w:rPr>
                <w:rFonts w:eastAsia="Times New Roman"/>
                <w:szCs w:val="17"/>
              </w:rPr>
            </w:pPr>
            <w:r w:rsidRPr="004A192B">
              <w:rPr>
                <w:rFonts w:eastAsia="Times New Roman"/>
                <w:szCs w:val="17"/>
              </w:rPr>
              <w:t>186(1), 187(1a), 189, 190, 192(3)</w:t>
            </w:r>
          </w:p>
        </w:tc>
        <w:tc>
          <w:tcPr>
            <w:tcW w:w="960" w:type="dxa"/>
            <w:tcBorders>
              <w:top w:val="nil"/>
              <w:left w:val="nil"/>
              <w:bottom w:val="nil"/>
              <w:right w:val="single" w:sz="4" w:space="0" w:color="auto"/>
            </w:tcBorders>
            <w:shd w:val="clear" w:color="auto" w:fill="auto"/>
            <w:noWrap/>
            <w:vAlign w:val="center"/>
            <w:hideMark/>
          </w:tcPr>
          <w:p w:rsidR="004A192B" w:rsidRPr="004A192B" w:rsidRDefault="004A192B" w:rsidP="004A192B">
            <w:pPr>
              <w:spacing w:after="0"/>
              <w:jc w:val="center"/>
              <w:rPr>
                <w:rFonts w:eastAsia="Times New Roman"/>
                <w:szCs w:val="17"/>
              </w:rPr>
            </w:pPr>
            <w:r w:rsidRPr="004A192B">
              <w:rPr>
                <w:rFonts w:eastAsia="Times New Roman"/>
                <w:szCs w:val="17"/>
              </w:rPr>
              <w:t>3</w:t>
            </w:r>
          </w:p>
        </w:tc>
        <w:tc>
          <w:tcPr>
            <w:tcW w:w="168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All offshore islands (excluding Wardang Island and Kangaroo Island)</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ARTIODACTYLA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Bovidae</w:t>
            </w:r>
          </w:p>
        </w:tc>
        <w:tc>
          <w:tcPr>
            <w:tcW w:w="2280" w:type="dxa"/>
            <w:tcBorders>
              <w:top w:val="nil"/>
              <w:left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Capra hircus</w:t>
            </w:r>
          </w:p>
        </w:tc>
        <w:tc>
          <w:tcPr>
            <w:tcW w:w="2280" w:type="dxa"/>
            <w:tcBorders>
              <w:top w:val="nil"/>
              <w:left w:val="nil"/>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Goat</w:t>
            </w:r>
          </w:p>
        </w:tc>
        <w:tc>
          <w:tcPr>
            <w:tcW w:w="2160" w:type="dxa"/>
            <w:tcBorders>
              <w:top w:val="nil"/>
              <w:left w:val="nil"/>
              <w:bottom w:val="single" w:sz="4" w:space="0" w:color="auto"/>
              <w:right w:val="single" w:sz="4" w:space="0" w:color="auto"/>
            </w:tcBorders>
            <w:shd w:val="clear" w:color="auto" w:fill="auto"/>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tcBorders>
            <w:shd w:val="clear" w:color="auto" w:fill="auto"/>
          </w:tcPr>
          <w:p w:rsidR="004A192B" w:rsidRPr="004A192B" w:rsidRDefault="004A192B" w:rsidP="004A192B">
            <w:pPr>
              <w:spacing w:after="0"/>
              <w:jc w:val="left"/>
              <w:rPr>
                <w:rFonts w:eastAsia="Times New Roman"/>
                <w:b/>
                <w:bCs/>
                <w:szCs w:val="17"/>
              </w:rPr>
            </w:pPr>
          </w:p>
        </w:tc>
        <w:tc>
          <w:tcPr>
            <w:tcW w:w="2280" w:type="dxa"/>
            <w:tcBorders>
              <w:top w:val="single" w:sz="4" w:space="0" w:color="auto"/>
            </w:tcBorders>
            <w:shd w:val="clear" w:color="auto" w:fill="auto"/>
          </w:tcPr>
          <w:p w:rsidR="004A192B" w:rsidRPr="004A192B" w:rsidRDefault="004A192B" w:rsidP="004A192B">
            <w:pPr>
              <w:spacing w:after="0"/>
              <w:jc w:val="left"/>
              <w:rPr>
                <w:rFonts w:eastAsia="Times New Roman"/>
                <w:b/>
                <w:bCs/>
                <w:szCs w:val="17"/>
              </w:rPr>
            </w:pPr>
          </w:p>
        </w:tc>
        <w:tc>
          <w:tcPr>
            <w:tcW w:w="2160" w:type="dxa"/>
            <w:tcBorders>
              <w:top w:val="single" w:sz="4" w:space="0" w:color="auto"/>
            </w:tcBorders>
            <w:shd w:val="clear" w:color="auto" w:fill="auto"/>
            <w:noWrap/>
            <w:vAlign w:val="bottom"/>
          </w:tcPr>
          <w:p w:rsidR="004A192B" w:rsidRPr="004A192B" w:rsidRDefault="004A192B" w:rsidP="004A192B">
            <w:pPr>
              <w:spacing w:after="0"/>
              <w:jc w:val="left"/>
              <w:rPr>
                <w:rFonts w:eastAsia="Times New Roman"/>
                <w:b/>
                <w:bCs/>
                <w:szCs w:val="17"/>
              </w:rPr>
            </w:pPr>
          </w:p>
        </w:tc>
        <w:tc>
          <w:tcPr>
            <w:tcW w:w="960" w:type="dxa"/>
            <w:tcBorders>
              <w:top w:val="single" w:sz="4" w:space="0" w:color="auto"/>
            </w:tcBorders>
            <w:shd w:val="clear" w:color="auto" w:fill="auto"/>
            <w:noWrap/>
            <w:vAlign w:val="bottom"/>
          </w:tcPr>
          <w:p w:rsidR="004A192B" w:rsidRPr="004A192B" w:rsidRDefault="004A192B" w:rsidP="004A192B">
            <w:pPr>
              <w:spacing w:after="0"/>
              <w:jc w:val="center"/>
              <w:rPr>
                <w:rFonts w:eastAsia="Times New Roman"/>
                <w:b/>
                <w:bCs/>
                <w:szCs w:val="17"/>
              </w:rPr>
            </w:pPr>
          </w:p>
        </w:tc>
        <w:tc>
          <w:tcPr>
            <w:tcW w:w="1680" w:type="dxa"/>
            <w:tcBorders>
              <w:top w:val="single" w:sz="4" w:space="0" w:color="auto"/>
            </w:tcBorders>
            <w:shd w:val="clear" w:color="auto" w:fill="auto"/>
            <w:noWrap/>
            <w:vAlign w:val="bottom"/>
          </w:tcPr>
          <w:p w:rsidR="004A192B" w:rsidRPr="004A192B" w:rsidRDefault="004A192B" w:rsidP="004A192B">
            <w:pPr>
              <w:spacing w:after="0"/>
              <w:jc w:val="left"/>
              <w:rPr>
                <w:rFonts w:eastAsia="Times New Roman"/>
                <w:b/>
                <w:bCs/>
                <w:szCs w:val="17"/>
              </w:rPr>
            </w:pPr>
          </w:p>
        </w:tc>
      </w:tr>
      <w:tr w:rsidR="004A192B" w:rsidRPr="004A192B" w:rsidTr="00805B8E">
        <w:trPr>
          <w:trHeight w:val="20"/>
        </w:trPr>
        <w:tc>
          <w:tcPr>
            <w:tcW w:w="2280" w:type="dxa"/>
            <w:shd w:val="clear" w:color="auto" w:fill="auto"/>
          </w:tcPr>
          <w:p w:rsidR="004A192B" w:rsidRPr="004A192B" w:rsidRDefault="004A192B" w:rsidP="004A192B">
            <w:pPr>
              <w:spacing w:after="0"/>
              <w:jc w:val="left"/>
              <w:rPr>
                <w:rFonts w:eastAsia="Times New Roman"/>
                <w:b/>
                <w:bCs/>
                <w:szCs w:val="17"/>
              </w:rPr>
            </w:pPr>
          </w:p>
        </w:tc>
        <w:tc>
          <w:tcPr>
            <w:tcW w:w="2280" w:type="dxa"/>
            <w:shd w:val="clear" w:color="auto" w:fill="auto"/>
          </w:tcPr>
          <w:p w:rsidR="004A192B" w:rsidRPr="004A192B" w:rsidRDefault="004A192B" w:rsidP="004A192B">
            <w:pPr>
              <w:spacing w:after="0"/>
              <w:jc w:val="left"/>
              <w:rPr>
                <w:rFonts w:eastAsia="Times New Roman"/>
                <w:b/>
                <w:bCs/>
                <w:szCs w:val="17"/>
              </w:rPr>
            </w:pPr>
          </w:p>
        </w:tc>
        <w:tc>
          <w:tcPr>
            <w:tcW w:w="2160" w:type="dxa"/>
            <w:shd w:val="clear" w:color="auto" w:fill="auto"/>
            <w:noWrap/>
            <w:vAlign w:val="bottom"/>
          </w:tcPr>
          <w:p w:rsidR="004A192B" w:rsidRPr="004A192B" w:rsidRDefault="004A192B" w:rsidP="004A192B">
            <w:pPr>
              <w:spacing w:after="0"/>
              <w:jc w:val="left"/>
              <w:rPr>
                <w:rFonts w:eastAsia="Times New Roman"/>
                <w:b/>
                <w:bCs/>
                <w:szCs w:val="17"/>
              </w:rPr>
            </w:pPr>
          </w:p>
        </w:tc>
        <w:tc>
          <w:tcPr>
            <w:tcW w:w="960" w:type="dxa"/>
            <w:shd w:val="clear" w:color="auto" w:fill="auto"/>
            <w:noWrap/>
            <w:vAlign w:val="bottom"/>
          </w:tcPr>
          <w:p w:rsidR="004A192B" w:rsidRPr="004A192B" w:rsidRDefault="004A192B" w:rsidP="004A192B">
            <w:pPr>
              <w:spacing w:after="0"/>
              <w:jc w:val="center"/>
              <w:rPr>
                <w:rFonts w:eastAsia="Times New Roman"/>
                <w:b/>
                <w:bCs/>
                <w:szCs w:val="17"/>
              </w:rPr>
            </w:pPr>
          </w:p>
        </w:tc>
        <w:tc>
          <w:tcPr>
            <w:tcW w:w="1680" w:type="dxa"/>
            <w:shd w:val="clear" w:color="auto" w:fill="auto"/>
            <w:noWrap/>
            <w:vAlign w:val="bottom"/>
          </w:tcPr>
          <w:p w:rsidR="004A192B" w:rsidRPr="004A192B" w:rsidRDefault="004A192B" w:rsidP="004A192B">
            <w:pPr>
              <w:spacing w:after="0"/>
              <w:jc w:val="left"/>
              <w:rPr>
                <w:rFonts w:eastAsia="Times New Roman"/>
                <w:b/>
                <w:bCs/>
                <w:szCs w:val="17"/>
              </w:rPr>
            </w:pPr>
          </w:p>
        </w:tc>
      </w:tr>
      <w:tr w:rsidR="004A192B" w:rsidRPr="004A192B" w:rsidTr="00805B8E">
        <w:trPr>
          <w:trHeight w:val="20"/>
        </w:trPr>
        <w:tc>
          <w:tcPr>
            <w:tcW w:w="2280" w:type="dxa"/>
            <w:tcBorders>
              <w:bottom w:val="nil"/>
            </w:tcBorders>
            <w:shd w:val="clear" w:color="auto" w:fill="auto"/>
          </w:tcPr>
          <w:p w:rsidR="004A192B" w:rsidRPr="004A192B" w:rsidRDefault="004A192B" w:rsidP="004A192B">
            <w:pPr>
              <w:spacing w:after="0"/>
              <w:jc w:val="left"/>
              <w:rPr>
                <w:rFonts w:eastAsia="Times New Roman"/>
                <w:b/>
                <w:bCs/>
                <w:szCs w:val="17"/>
              </w:rPr>
            </w:pPr>
          </w:p>
        </w:tc>
        <w:tc>
          <w:tcPr>
            <w:tcW w:w="2280" w:type="dxa"/>
            <w:tcBorders>
              <w:bottom w:val="nil"/>
            </w:tcBorders>
            <w:shd w:val="clear" w:color="auto" w:fill="auto"/>
          </w:tcPr>
          <w:p w:rsidR="004A192B" w:rsidRPr="004A192B" w:rsidRDefault="004A192B" w:rsidP="004A192B">
            <w:pPr>
              <w:spacing w:after="0"/>
              <w:jc w:val="left"/>
              <w:rPr>
                <w:rFonts w:eastAsia="Times New Roman"/>
                <w:b/>
                <w:bCs/>
                <w:szCs w:val="17"/>
              </w:rPr>
            </w:pPr>
          </w:p>
        </w:tc>
        <w:tc>
          <w:tcPr>
            <w:tcW w:w="2160" w:type="dxa"/>
            <w:tcBorders>
              <w:bottom w:val="nil"/>
            </w:tcBorders>
            <w:shd w:val="clear" w:color="auto" w:fill="auto"/>
            <w:noWrap/>
            <w:vAlign w:val="bottom"/>
          </w:tcPr>
          <w:p w:rsidR="004A192B" w:rsidRPr="004A192B" w:rsidRDefault="004A192B" w:rsidP="004A192B">
            <w:pPr>
              <w:spacing w:after="0"/>
              <w:jc w:val="left"/>
              <w:rPr>
                <w:rFonts w:eastAsia="Times New Roman"/>
                <w:b/>
                <w:bCs/>
                <w:szCs w:val="17"/>
              </w:rPr>
            </w:pPr>
          </w:p>
        </w:tc>
        <w:tc>
          <w:tcPr>
            <w:tcW w:w="960" w:type="dxa"/>
            <w:tcBorders>
              <w:bottom w:val="nil"/>
            </w:tcBorders>
            <w:shd w:val="clear" w:color="auto" w:fill="auto"/>
            <w:noWrap/>
            <w:vAlign w:val="bottom"/>
          </w:tcPr>
          <w:p w:rsidR="004A192B" w:rsidRPr="004A192B" w:rsidRDefault="004A192B" w:rsidP="004A192B">
            <w:pPr>
              <w:spacing w:after="0"/>
              <w:jc w:val="center"/>
              <w:rPr>
                <w:rFonts w:eastAsia="Times New Roman"/>
                <w:b/>
                <w:bCs/>
                <w:szCs w:val="17"/>
              </w:rPr>
            </w:pPr>
          </w:p>
        </w:tc>
        <w:tc>
          <w:tcPr>
            <w:tcW w:w="1680" w:type="dxa"/>
            <w:tcBorders>
              <w:bottom w:val="nil"/>
            </w:tcBorders>
            <w:shd w:val="clear" w:color="auto" w:fill="auto"/>
            <w:noWrap/>
            <w:vAlign w:val="bottom"/>
          </w:tcPr>
          <w:p w:rsidR="004A192B" w:rsidRPr="004A192B" w:rsidRDefault="004A192B" w:rsidP="004A192B">
            <w:pPr>
              <w:spacing w:after="0"/>
              <w:jc w:val="left"/>
              <w:rPr>
                <w:rFonts w:eastAsia="Times New Roman"/>
                <w:b/>
                <w:bCs/>
                <w:szCs w:val="17"/>
              </w:rPr>
            </w:pP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13</w:t>
            </w:r>
          </w:p>
        </w:tc>
        <w:tc>
          <w:tcPr>
            <w:tcW w:w="2280" w:type="dxa"/>
            <w:tcBorders>
              <w:top w:val="single" w:sz="4" w:space="0" w:color="auto"/>
              <w:left w:val="nil"/>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center"/>
            <w:hideMark/>
          </w:tcPr>
          <w:p w:rsidR="004A192B" w:rsidRPr="004A192B" w:rsidRDefault="004A192B" w:rsidP="004A192B">
            <w:pPr>
              <w:spacing w:after="0"/>
              <w:jc w:val="left"/>
              <w:rPr>
                <w:rFonts w:eastAsia="Times New Roman"/>
                <w:szCs w:val="17"/>
              </w:rPr>
            </w:pPr>
            <w:r w:rsidRPr="004A192B">
              <w:rPr>
                <w:rFonts w:eastAsia="Times New Roman"/>
                <w:szCs w:val="17"/>
              </w:rPr>
              <w:t>189, 192(3)</w:t>
            </w:r>
          </w:p>
        </w:tc>
        <w:tc>
          <w:tcPr>
            <w:tcW w:w="960" w:type="dxa"/>
            <w:tcBorders>
              <w:top w:val="nil"/>
              <w:left w:val="nil"/>
              <w:bottom w:val="nil"/>
              <w:right w:val="single" w:sz="4" w:space="0" w:color="auto"/>
            </w:tcBorders>
            <w:shd w:val="clear" w:color="auto" w:fill="auto"/>
            <w:noWrap/>
            <w:vAlign w:val="center"/>
            <w:hideMark/>
          </w:tcPr>
          <w:p w:rsidR="004A192B" w:rsidRPr="004A192B" w:rsidRDefault="004A192B" w:rsidP="004A192B">
            <w:pPr>
              <w:spacing w:after="0"/>
              <w:jc w:val="center"/>
              <w:rPr>
                <w:rFonts w:eastAsia="Times New Roman"/>
                <w:szCs w:val="17"/>
              </w:rPr>
            </w:pPr>
            <w:r w:rsidRPr="004A192B">
              <w:rPr>
                <w:rFonts w:eastAsia="Times New Roman"/>
                <w:szCs w:val="17"/>
              </w:rPr>
              <w:t>3</w:t>
            </w:r>
          </w:p>
        </w:tc>
        <w:tc>
          <w:tcPr>
            <w:tcW w:w="168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Whole of the State (excluding any areas specified in other classes)</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ARTIODACTYLA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Bovidae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Capra hircus</w:t>
            </w:r>
          </w:p>
        </w:tc>
        <w:tc>
          <w:tcPr>
            <w:tcW w:w="2280" w:type="dxa"/>
            <w:tcBorders>
              <w:top w:val="nil"/>
              <w:left w:val="nil"/>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Goat </w:t>
            </w:r>
          </w:p>
        </w:tc>
        <w:tc>
          <w:tcPr>
            <w:tcW w:w="2160" w:type="dxa"/>
            <w:tcBorders>
              <w:top w:val="nil"/>
              <w:left w:val="nil"/>
              <w:bottom w:val="single" w:sz="4" w:space="0" w:color="auto"/>
              <w:right w:val="single" w:sz="4" w:space="0" w:color="auto"/>
            </w:tcBorders>
            <w:shd w:val="clear" w:color="auto" w:fill="auto"/>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14</w:t>
            </w:r>
          </w:p>
        </w:tc>
        <w:tc>
          <w:tcPr>
            <w:tcW w:w="2280" w:type="dxa"/>
            <w:tcBorders>
              <w:top w:val="single" w:sz="4" w:space="0" w:color="auto"/>
              <w:left w:val="nil"/>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center"/>
            <w:hideMark/>
          </w:tcPr>
          <w:p w:rsidR="004A192B" w:rsidRPr="004A192B" w:rsidRDefault="004A192B" w:rsidP="004A192B">
            <w:pPr>
              <w:spacing w:after="0"/>
              <w:jc w:val="left"/>
              <w:rPr>
                <w:rFonts w:eastAsia="Times New Roman"/>
                <w:szCs w:val="17"/>
              </w:rPr>
            </w:pPr>
            <w:r w:rsidRPr="004A192B">
              <w:rPr>
                <w:rFonts w:eastAsia="Times New Roman"/>
                <w:szCs w:val="17"/>
              </w:rPr>
              <w:t>186(1)(3), 187(1), 189, 192(3)</w:t>
            </w:r>
          </w:p>
        </w:tc>
        <w:tc>
          <w:tcPr>
            <w:tcW w:w="960" w:type="dxa"/>
            <w:tcBorders>
              <w:top w:val="nil"/>
              <w:left w:val="nil"/>
              <w:bottom w:val="nil"/>
              <w:right w:val="single" w:sz="4" w:space="0" w:color="auto"/>
            </w:tcBorders>
            <w:shd w:val="clear" w:color="auto" w:fill="auto"/>
            <w:noWrap/>
            <w:vAlign w:val="center"/>
            <w:hideMark/>
          </w:tcPr>
          <w:p w:rsidR="004A192B" w:rsidRPr="004A192B" w:rsidRDefault="004A192B" w:rsidP="004A192B">
            <w:pPr>
              <w:spacing w:after="0"/>
              <w:jc w:val="center"/>
              <w:rPr>
                <w:rFonts w:eastAsia="Times New Roman"/>
                <w:szCs w:val="17"/>
              </w:rPr>
            </w:pPr>
            <w:r w:rsidRPr="004A192B">
              <w:rPr>
                <w:rFonts w:eastAsia="Times New Roman"/>
                <w:szCs w:val="17"/>
              </w:rPr>
              <w:t>3</w:t>
            </w:r>
          </w:p>
        </w:tc>
        <w:tc>
          <w:tcPr>
            <w:tcW w:w="168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Whole of the State (excluding any areas specified in other classes)</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ARTIODACTYLA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Bovidae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Capra hircus</w:t>
            </w:r>
          </w:p>
        </w:tc>
        <w:tc>
          <w:tcPr>
            <w:tcW w:w="2280" w:type="dxa"/>
            <w:tcBorders>
              <w:top w:val="nil"/>
              <w:left w:val="nil"/>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Goat (captured feral goat held in captivity for less than 3 months)</w:t>
            </w:r>
          </w:p>
        </w:tc>
        <w:tc>
          <w:tcPr>
            <w:tcW w:w="2160" w:type="dxa"/>
            <w:tcBorders>
              <w:top w:val="nil"/>
              <w:left w:val="nil"/>
              <w:bottom w:val="single" w:sz="4" w:space="0" w:color="auto"/>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15</w:t>
            </w:r>
          </w:p>
        </w:tc>
        <w:tc>
          <w:tcPr>
            <w:tcW w:w="2280" w:type="dxa"/>
            <w:tcBorders>
              <w:top w:val="single" w:sz="4" w:space="0" w:color="auto"/>
              <w:left w:val="nil"/>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center"/>
            <w:hideMark/>
          </w:tcPr>
          <w:p w:rsidR="004A192B" w:rsidRPr="004A192B" w:rsidRDefault="004A192B" w:rsidP="004A192B">
            <w:pPr>
              <w:spacing w:after="0"/>
              <w:jc w:val="left"/>
              <w:rPr>
                <w:rFonts w:eastAsia="Times New Roman"/>
                <w:szCs w:val="17"/>
              </w:rPr>
            </w:pPr>
            <w:r w:rsidRPr="004A192B">
              <w:rPr>
                <w:rFonts w:eastAsia="Times New Roman"/>
                <w:szCs w:val="17"/>
              </w:rPr>
              <w:t>186(1)(3), 187(1), 188, 189, 192(1)</w:t>
            </w:r>
          </w:p>
        </w:tc>
        <w:tc>
          <w:tcPr>
            <w:tcW w:w="960" w:type="dxa"/>
            <w:tcBorders>
              <w:top w:val="nil"/>
              <w:left w:val="nil"/>
              <w:bottom w:val="nil"/>
              <w:right w:val="single" w:sz="4" w:space="0" w:color="auto"/>
            </w:tcBorders>
            <w:shd w:val="clear" w:color="auto" w:fill="auto"/>
            <w:noWrap/>
            <w:vAlign w:val="center"/>
            <w:hideMark/>
          </w:tcPr>
          <w:p w:rsidR="004A192B" w:rsidRPr="004A192B" w:rsidRDefault="004A192B" w:rsidP="004A192B">
            <w:pPr>
              <w:spacing w:after="0"/>
              <w:jc w:val="center"/>
              <w:rPr>
                <w:rFonts w:eastAsia="Times New Roman"/>
                <w:szCs w:val="17"/>
              </w:rPr>
            </w:pPr>
            <w:r w:rsidRPr="004A192B">
              <w:rPr>
                <w:rFonts w:eastAsia="Times New Roman"/>
                <w:szCs w:val="17"/>
              </w:rPr>
              <w:t>3</w:t>
            </w:r>
          </w:p>
        </w:tc>
        <w:tc>
          <w:tcPr>
            <w:tcW w:w="168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The whole of the State (excluding any areas specified in other classes)</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ARTIODACTYLA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Cervidae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Axis axis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Chital Deer, Axis Deer, Spotted Deer (feral)</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Axis porcinus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Hog Deer (feral)</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Cervus elaphus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Red Deer (incl. elk/wapiti)  (feral)</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tcPr>
          <w:p w:rsidR="004A192B" w:rsidRPr="004A192B" w:rsidRDefault="004A192B" w:rsidP="004A192B">
            <w:pPr>
              <w:spacing w:after="0"/>
              <w:jc w:val="left"/>
              <w:rPr>
                <w:rFonts w:eastAsia="Times New Roman"/>
                <w:i/>
                <w:iCs/>
                <w:szCs w:val="17"/>
              </w:rPr>
            </w:pPr>
            <w:r w:rsidRPr="004A192B">
              <w:rPr>
                <w:rFonts w:eastAsia="Times New Roman"/>
                <w:i/>
                <w:iCs/>
                <w:szCs w:val="17"/>
              </w:rPr>
              <w:t>Cervus nippon</w:t>
            </w:r>
          </w:p>
        </w:tc>
        <w:tc>
          <w:tcPr>
            <w:tcW w:w="2280" w:type="dxa"/>
            <w:tcBorders>
              <w:top w:val="nil"/>
              <w:left w:val="nil"/>
              <w:bottom w:val="nil"/>
              <w:right w:val="single" w:sz="4" w:space="0" w:color="auto"/>
            </w:tcBorders>
            <w:shd w:val="clear" w:color="auto" w:fill="auto"/>
          </w:tcPr>
          <w:p w:rsidR="004A192B" w:rsidRPr="004A192B" w:rsidRDefault="004A192B" w:rsidP="004A192B">
            <w:pPr>
              <w:jc w:val="left"/>
              <w:rPr>
                <w:rFonts w:eastAsia="Times New Roman"/>
                <w:szCs w:val="17"/>
              </w:rPr>
            </w:pPr>
            <w:r w:rsidRPr="004A192B">
              <w:rPr>
                <w:rFonts w:eastAsia="Times New Roman"/>
                <w:szCs w:val="17"/>
              </w:rPr>
              <w:t>Sika Deer (feral)</w:t>
            </w:r>
          </w:p>
        </w:tc>
        <w:tc>
          <w:tcPr>
            <w:tcW w:w="2160" w:type="dxa"/>
            <w:tcBorders>
              <w:top w:val="nil"/>
              <w:left w:val="nil"/>
              <w:bottom w:val="nil"/>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left w:val="nil"/>
              <w:bottom w:val="nil"/>
              <w:right w:val="single" w:sz="4" w:space="0" w:color="auto"/>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Dama dama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Fallow Deer (incl. Persian/Mesopotamian fallow) (feral)</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Rusa timoriensis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Rusa Deer, Javan Deer, Timor Deer (feral)</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66"/>
        </w:trPr>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Rusa unicolor</w:t>
            </w:r>
          </w:p>
        </w:tc>
        <w:tc>
          <w:tcPr>
            <w:tcW w:w="2280" w:type="dxa"/>
            <w:tcBorders>
              <w:top w:val="nil"/>
              <w:left w:val="nil"/>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Sambar, Sambar Deer (feral)</w:t>
            </w:r>
          </w:p>
        </w:tc>
        <w:tc>
          <w:tcPr>
            <w:tcW w:w="21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16</w:t>
            </w:r>
          </w:p>
        </w:tc>
        <w:tc>
          <w:tcPr>
            <w:tcW w:w="2280" w:type="dxa"/>
            <w:tcBorders>
              <w:top w:val="single" w:sz="4" w:space="0" w:color="auto"/>
              <w:left w:val="nil"/>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center"/>
            <w:hideMark/>
          </w:tcPr>
          <w:p w:rsidR="004A192B" w:rsidRPr="004A192B" w:rsidRDefault="004A192B" w:rsidP="004A192B">
            <w:pPr>
              <w:spacing w:after="0"/>
              <w:jc w:val="left"/>
              <w:rPr>
                <w:rFonts w:eastAsia="Times New Roman"/>
                <w:szCs w:val="17"/>
              </w:rPr>
            </w:pPr>
            <w:r w:rsidRPr="004A192B">
              <w:rPr>
                <w:rFonts w:eastAsia="Times New Roman"/>
                <w:szCs w:val="17"/>
              </w:rPr>
              <w:t>189, 191(1), 192(3)</w:t>
            </w:r>
          </w:p>
        </w:tc>
        <w:tc>
          <w:tcPr>
            <w:tcW w:w="960" w:type="dxa"/>
            <w:tcBorders>
              <w:top w:val="nil"/>
              <w:left w:val="nil"/>
              <w:bottom w:val="nil"/>
              <w:right w:val="single" w:sz="4" w:space="0" w:color="auto"/>
            </w:tcBorders>
            <w:shd w:val="clear" w:color="auto" w:fill="auto"/>
            <w:noWrap/>
            <w:vAlign w:val="center"/>
            <w:hideMark/>
          </w:tcPr>
          <w:p w:rsidR="004A192B" w:rsidRPr="004A192B" w:rsidRDefault="004A192B" w:rsidP="004A192B">
            <w:pPr>
              <w:spacing w:after="0"/>
              <w:jc w:val="center"/>
              <w:rPr>
                <w:rFonts w:eastAsia="Times New Roman"/>
                <w:szCs w:val="17"/>
              </w:rPr>
            </w:pPr>
            <w:r w:rsidRPr="004A192B">
              <w:rPr>
                <w:rFonts w:eastAsia="Times New Roman"/>
                <w:szCs w:val="17"/>
              </w:rPr>
              <w:t>3</w:t>
            </w:r>
          </w:p>
        </w:tc>
        <w:tc>
          <w:tcPr>
            <w:tcW w:w="168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Whole of the State (excluding any areas specified in other classes</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ARTIODACTYLA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single" w:sz="4" w:space="0" w:color="auto"/>
            </w:tcBorders>
            <w:shd w:val="clear" w:color="auto" w:fill="auto"/>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Cervidae</w:t>
            </w:r>
          </w:p>
        </w:tc>
        <w:tc>
          <w:tcPr>
            <w:tcW w:w="2280" w:type="dxa"/>
            <w:tcBorders>
              <w:top w:val="nil"/>
              <w:left w:val="nil"/>
              <w:right w:val="single" w:sz="4" w:space="0" w:color="auto"/>
            </w:tcBorders>
            <w:shd w:val="clear" w:color="auto" w:fill="auto"/>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left w:val="nil"/>
              <w:right w:val="single" w:sz="4" w:space="0" w:color="auto"/>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left w:val="single" w:sz="4" w:space="0" w:color="auto"/>
              <w:right w:val="single" w:sz="4" w:space="0" w:color="auto"/>
            </w:tcBorders>
            <w:shd w:val="clear" w:color="auto" w:fill="auto"/>
          </w:tcPr>
          <w:p w:rsidR="004A192B" w:rsidRPr="004A192B" w:rsidRDefault="004A192B" w:rsidP="004A192B">
            <w:pPr>
              <w:spacing w:after="0"/>
              <w:jc w:val="left"/>
              <w:rPr>
                <w:rFonts w:eastAsia="Times New Roman"/>
                <w:i/>
                <w:iCs/>
                <w:szCs w:val="17"/>
              </w:rPr>
            </w:pPr>
            <w:r w:rsidRPr="004A192B">
              <w:rPr>
                <w:rFonts w:eastAsia="Times New Roman"/>
                <w:i/>
                <w:iCs/>
                <w:szCs w:val="17"/>
              </w:rPr>
              <w:t>Axis axis</w:t>
            </w:r>
          </w:p>
        </w:tc>
        <w:tc>
          <w:tcPr>
            <w:tcW w:w="2280" w:type="dxa"/>
            <w:tcBorders>
              <w:top w:val="nil"/>
              <w:left w:val="single" w:sz="4" w:space="0" w:color="auto"/>
              <w:right w:val="single" w:sz="4" w:space="0" w:color="auto"/>
            </w:tcBorders>
            <w:shd w:val="clear" w:color="auto" w:fill="auto"/>
          </w:tcPr>
          <w:p w:rsidR="004A192B" w:rsidRPr="004A192B" w:rsidRDefault="004A192B" w:rsidP="004A192B">
            <w:pPr>
              <w:jc w:val="left"/>
              <w:rPr>
                <w:rFonts w:eastAsia="Times New Roman"/>
                <w:szCs w:val="17"/>
              </w:rPr>
            </w:pPr>
            <w:r w:rsidRPr="004A192B">
              <w:rPr>
                <w:rFonts w:eastAsia="Times New Roman"/>
                <w:szCs w:val="17"/>
              </w:rPr>
              <w:t>Chital Deer, Axis Deer, Spotted Deer (feral)</w:t>
            </w:r>
          </w:p>
        </w:tc>
        <w:tc>
          <w:tcPr>
            <w:tcW w:w="2160" w:type="dxa"/>
            <w:tcBorders>
              <w:top w:val="nil"/>
              <w:left w:val="single" w:sz="4" w:space="0" w:color="auto"/>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left w:val="single" w:sz="4" w:space="0" w:color="auto"/>
              <w:right w:val="single" w:sz="4" w:space="0" w:color="auto"/>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left w:val="single" w:sz="4" w:space="0" w:color="auto"/>
              <w:right w:val="single" w:sz="4" w:space="0" w:color="auto"/>
            </w:tcBorders>
            <w:shd w:val="clear" w:color="auto" w:fill="auto"/>
          </w:tcPr>
          <w:p w:rsidR="004A192B" w:rsidRPr="004A192B" w:rsidRDefault="004A192B" w:rsidP="004A192B">
            <w:pPr>
              <w:spacing w:after="0"/>
              <w:jc w:val="left"/>
              <w:rPr>
                <w:rFonts w:eastAsia="Times New Roman"/>
                <w:i/>
                <w:iCs/>
                <w:szCs w:val="17"/>
              </w:rPr>
            </w:pPr>
            <w:r w:rsidRPr="004A192B">
              <w:rPr>
                <w:rFonts w:eastAsia="Times New Roman"/>
                <w:i/>
                <w:iCs/>
                <w:szCs w:val="17"/>
              </w:rPr>
              <w:t>Axis porcinus</w:t>
            </w:r>
          </w:p>
        </w:tc>
        <w:tc>
          <w:tcPr>
            <w:tcW w:w="2280" w:type="dxa"/>
            <w:tcBorders>
              <w:top w:val="nil"/>
              <w:left w:val="single" w:sz="4" w:space="0" w:color="auto"/>
              <w:right w:val="single" w:sz="4" w:space="0" w:color="auto"/>
            </w:tcBorders>
            <w:shd w:val="clear" w:color="auto" w:fill="auto"/>
          </w:tcPr>
          <w:p w:rsidR="004A192B" w:rsidRPr="004A192B" w:rsidRDefault="004A192B" w:rsidP="004A192B">
            <w:pPr>
              <w:jc w:val="left"/>
              <w:rPr>
                <w:rFonts w:eastAsia="Times New Roman"/>
                <w:szCs w:val="17"/>
              </w:rPr>
            </w:pPr>
            <w:r w:rsidRPr="004A192B">
              <w:rPr>
                <w:rFonts w:eastAsia="Times New Roman"/>
                <w:szCs w:val="17"/>
              </w:rPr>
              <w:t>Hog Deer (feral)</w:t>
            </w:r>
          </w:p>
        </w:tc>
        <w:tc>
          <w:tcPr>
            <w:tcW w:w="2160" w:type="dxa"/>
            <w:tcBorders>
              <w:top w:val="nil"/>
              <w:left w:val="single" w:sz="4" w:space="0" w:color="auto"/>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left w:val="single" w:sz="4" w:space="0" w:color="auto"/>
              <w:right w:val="single" w:sz="4" w:space="0" w:color="auto"/>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left w:val="single" w:sz="4" w:space="0" w:color="auto"/>
              <w:right w:val="single" w:sz="4" w:space="0" w:color="auto"/>
            </w:tcBorders>
            <w:shd w:val="clear" w:color="auto" w:fill="auto"/>
          </w:tcPr>
          <w:p w:rsidR="004A192B" w:rsidRPr="004A192B" w:rsidRDefault="004A192B" w:rsidP="004A192B">
            <w:pPr>
              <w:spacing w:after="0"/>
              <w:jc w:val="left"/>
              <w:rPr>
                <w:rFonts w:eastAsia="Times New Roman"/>
                <w:i/>
                <w:iCs/>
                <w:szCs w:val="17"/>
              </w:rPr>
            </w:pPr>
            <w:r w:rsidRPr="004A192B">
              <w:rPr>
                <w:rFonts w:eastAsia="Times New Roman"/>
                <w:i/>
                <w:iCs/>
                <w:szCs w:val="17"/>
              </w:rPr>
              <w:t>Cervus elaphus</w:t>
            </w:r>
          </w:p>
        </w:tc>
        <w:tc>
          <w:tcPr>
            <w:tcW w:w="2280" w:type="dxa"/>
            <w:tcBorders>
              <w:top w:val="nil"/>
              <w:left w:val="single" w:sz="4" w:space="0" w:color="auto"/>
              <w:right w:val="single" w:sz="4" w:space="0" w:color="auto"/>
            </w:tcBorders>
            <w:shd w:val="clear" w:color="auto" w:fill="auto"/>
          </w:tcPr>
          <w:p w:rsidR="004A192B" w:rsidRPr="004A192B" w:rsidRDefault="004A192B" w:rsidP="004A192B">
            <w:pPr>
              <w:jc w:val="left"/>
              <w:rPr>
                <w:rFonts w:eastAsia="Times New Roman"/>
                <w:szCs w:val="17"/>
              </w:rPr>
            </w:pPr>
            <w:r w:rsidRPr="004A192B">
              <w:rPr>
                <w:rFonts w:eastAsia="Times New Roman"/>
                <w:szCs w:val="17"/>
              </w:rPr>
              <w:t>Red Deer (incl. elk/wapiti)  (feral)</w:t>
            </w:r>
          </w:p>
        </w:tc>
        <w:tc>
          <w:tcPr>
            <w:tcW w:w="2160" w:type="dxa"/>
            <w:tcBorders>
              <w:top w:val="nil"/>
              <w:left w:val="single" w:sz="4" w:space="0" w:color="auto"/>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left w:val="single" w:sz="4" w:space="0" w:color="auto"/>
              <w:right w:val="single" w:sz="4" w:space="0" w:color="auto"/>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left w:val="single" w:sz="4" w:space="0" w:color="auto"/>
              <w:right w:val="single" w:sz="4" w:space="0" w:color="auto"/>
            </w:tcBorders>
            <w:shd w:val="clear" w:color="auto" w:fill="auto"/>
          </w:tcPr>
          <w:p w:rsidR="004A192B" w:rsidRPr="004A192B" w:rsidRDefault="004A192B" w:rsidP="004A192B">
            <w:pPr>
              <w:spacing w:after="0"/>
              <w:jc w:val="left"/>
              <w:rPr>
                <w:rFonts w:eastAsia="Times New Roman"/>
                <w:i/>
                <w:iCs/>
                <w:szCs w:val="17"/>
              </w:rPr>
            </w:pPr>
            <w:r w:rsidRPr="004A192B">
              <w:rPr>
                <w:rFonts w:eastAsia="Times New Roman"/>
                <w:i/>
                <w:iCs/>
                <w:szCs w:val="17"/>
              </w:rPr>
              <w:t>Cervus nippon</w:t>
            </w:r>
          </w:p>
        </w:tc>
        <w:tc>
          <w:tcPr>
            <w:tcW w:w="2280" w:type="dxa"/>
            <w:tcBorders>
              <w:top w:val="nil"/>
              <w:left w:val="single" w:sz="4" w:space="0" w:color="auto"/>
              <w:right w:val="single" w:sz="4" w:space="0" w:color="auto"/>
            </w:tcBorders>
            <w:shd w:val="clear" w:color="auto" w:fill="auto"/>
          </w:tcPr>
          <w:p w:rsidR="004A192B" w:rsidRPr="004A192B" w:rsidRDefault="004A192B" w:rsidP="004A192B">
            <w:pPr>
              <w:jc w:val="left"/>
              <w:rPr>
                <w:rFonts w:eastAsia="Times New Roman"/>
                <w:szCs w:val="17"/>
              </w:rPr>
            </w:pPr>
            <w:r w:rsidRPr="004A192B">
              <w:rPr>
                <w:rFonts w:eastAsia="Times New Roman"/>
                <w:szCs w:val="17"/>
              </w:rPr>
              <w:t>Sika Deer (feral)</w:t>
            </w:r>
          </w:p>
        </w:tc>
        <w:tc>
          <w:tcPr>
            <w:tcW w:w="2160" w:type="dxa"/>
            <w:tcBorders>
              <w:top w:val="nil"/>
              <w:left w:val="single" w:sz="4" w:space="0" w:color="auto"/>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left w:val="single" w:sz="4" w:space="0" w:color="auto"/>
              <w:right w:val="single" w:sz="4" w:space="0" w:color="auto"/>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left w:val="single" w:sz="4" w:space="0" w:color="auto"/>
              <w:right w:val="single" w:sz="4" w:space="0" w:color="auto"/>
            </w:tcBorders>
            <w:shd w:val="clear" w:color="auto" w:fill="auto"/>
          </w:tcPr>
          <w:p w:rsidR="004A192B" w:rsidRPr="004A192B" w:rsidRDefault="004A192B" w:rsidP="004A192B">
            <w:pPr>
              <w:spacing w:after="0"/>
              <w:jc w:val="left"/>
              <w:rPr>
                <w:rFonts w:eastAsia="Times New Roman"/>
                <w:i/>
                <w:iCs/>
                <w:szCs w:val="17"/>
              </w:rPr>
            </w:pPr>
            <w:r w:rsidRPr="004A192B">
              <w:rPr>
                <w:rFonts w:eastAsia="Times New Roman"/>
                <w:i/>
                <w:iCs/>
                <w:szCs w:val="17"/>
              </w:rPr>
              <w:t>Dama dama</w:t>
            </w:r>
          </w:p>
        </w:tc>
        <w:tc>
          <w:tcPr>
            <w:tcW w:w="2280" w:type="dxa"/>
            <w:tcBorders>
              <w:top w:val="nil"/>
              <w:left w:val="single" w:sz="4" w:space="0" w:color="auto"/>
              <w:right w:val="single" w:sz="4" w:space="0" w:color="auto"/>
            </w:tcBorders>
            <w:shd w:val="clear" w:color="auto" w:fill="auto"/>
          </w:tcPr>
          <w:p w:rsidR="004A192B" w:rsidRPr="004A192B" w:rsidRDefault="004A192B" w:rsidP="004A192B">
            <w:pPr>
              <w:jc w:val="left"/>
              <w:rPr>
                <w:rFonts w:eastAsia="Times New Roman"/>
                <w:szCs w:val="17"/>
              </w:rPr>
            </w:pPr>
            <w:r w:rsidRPr="004A192B">
              <w:rPr>
                <w:rFonts w:eastAsia="Times New Roman"/>
                <w:szCs w:val="17"/>
              </w:rPr>
              <w:t>Fallow Deer (incl. Persian/Mesopotamian fallow) (feral)</w:t>
            </w:r>
          </w:p>
        </w:tc>
        <w:tc>
          <w:tcPr>
            <w:tcW w:w="2160" w:type="dxa"/>
            <w:tcBorders>
              <w:top w:val="nil"/>
              <w:left w:val="single" w:sz="4" w:space="0" w:color="auto"/>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left w:val="single" w:sz="4" w:space="0" w:color="auto"/>
              <w:right w:val="single" w:sz="4" w:space="0" w:color="auto"/>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left w:val="single" w:sz="4" w:space="0" w:color="auto"/>
              <w:right w:val="single" w:sz="4" w:space="0" w:color="auto"/>
            </w:tcBorders>
            <w:shd w:val="clear" w:color="auto" w:fill="auto"/>
          </w:tcPr>
          <w:p w:rsidR="004A192B" w:rsidRPr="004A192B" w:rsidRDefault="004A192B" w:rsidP="004A192B">
            <w:pPr>
              <w:spacing w:after="0"/>
              <w:jc w:val="left"/>
              <w:rPr>
                <w:rFonts w:eastAsia="Times New Roman"/>
                <w:i/>
                <w:iCs/>
                <w:szCs w:val="17"/>
              </w:rPr>
            </w:pPr>
            <w:r w:rsidRPr="004A192B">
              <w:rPr>
                <w:rFonts w:eastAsia="Times New Roman"/>
                <w:i/>
                <w:iCs/>
                <w:szCs w:val="17"/>
              </w:rPr>
              <w:t>Rusa timoriensis</w:t>
            </w:r>
          </w:p>
        </w:tc>
        <w:tc>
          <w:tcPr>
            <w:tcW w:w="2280" w:type="dxa"/>
            <w:tcBorders>
              <w:top w:val="nil"/>
              <w:left w:val="single" w:sz="4" w:space="0" w:color="auto"/>
              <w:right w:val="single" w:sz="4" w:space="0" w:color="auto"/>
            </w:tcBorders>
            <w:shd w:val="clear" w:color="auto" w:fill="auto"/>
          </w:tcPr>
          <w:p w:rsidR="004A192B" w:rsidRPr="004A192B" w:rsidRDefault="004A192B" w:rsidP="004A192B">
            <w:pPr>
              <w:jc w:val="left"/>
              <w:rPr>
                <w:rFonts w:eastAsia="Times New Roman"/>
                <w:szCs w:val="17"/>
              </w:rPr>
            </w:pPr>
            <w:r w:rsidRPr="004A192B">
              <w:rPr>
                <w:rFonts w:eastAsia="Times New Roman"/>
                <w:szCs w:val="17"/>
              </w:rPr>
              <w:t>Rusa Deer, Javan Deer, Timor Deer (feral)</w:t>
            </w:r>
          </w:p>
        </w:tc>
        <w:tc>
          <w:tcPr>
            <w:tcW w:w="2160" w:type="dxa"/>
            <w:tcBorders>
              <w:top w:val="nil"/>
              <w:left w:val="single" w:sz="4" w:space="0" w:color="auto"/>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left w:val="single" w:sz="4" w:space="0" w:color="auto"/>
              <w:right w:val="single" w:sz="4" w:space="0" w:color="auto"/>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left w:val="single" w:sz="4" w:space="0" w:color="auto"/>
              <w:bottom w:val="single" w:sz="4" w:space="0" w:color="auto"/>
              <w:right w:val="single" w:sz="4" w:space="0" w:color="auto"/>
            </w:tcBorders>
            <w:shd w:val="clear" w:color="auto" w:fill="auto"/>
          </w:tcPr>
          <w:p w:rsidR="004A192B" w:rsidRPr="004A192B" w:rsidRDefault="004A192B" w:rsidP="004A192B">
            <w:pPr>
              <w:jc w:val="left"/>
              <w:rPr>
                <w:rFonts w:eastAsia="Times New Roman"/>
                <w:i/>
                <w:iCs/>
                <w:szCs w:val="17"/>
              </w:rPr>
            </w:pPr>
            <w:r w:rsidRPr="004A192B">
              <w:rPr>
                <w:rFonts w:eastAsia="Times New Roman"/>
                <w:i/>
                <w:iCs/>
                <w:szCs w:val="17"/>
              </w:rPr>
              <w:t>Rusa unicolor</w:t>
            </w:r>
          </w:p>
        </w:tc>
        <w:tc>
          <w:tcPr>
            <w:tcW w:w="2280" w:type="dxa"/>
            <w:tcBorders>
              <w:top w:val="nil"/>
              <w:left w:val="single" w:sz="4" w:space="0" w:color="auto"/>
              <w:bottom w:val="single" w:sz="4" w:space="0" w:color="auto"/>
              <w:right w:val="single" w:sz="4" w:space="0" w:color="auto"/>
            </w:tcBorders>
            <w:shd w:val="clear" w:color="auto" w:fill="auto"/>
          </w:tcPr>
          <w:p w:rsidR="004A192B" w:rsidRPr="004A192B" w:rsidRDefault="004A192B" w:rsidP="004A192B">
            <w:pPr>
              <w:jc w:val="left"/>
              <w:rPr>
                <w:rFonts w:eastAsia="Times New Roman"/>
                <w:szCs w:val="17"/>
              </w:rPr>
            </w:pPr>
            <w:r w:rsidRPr="004A192B">
              <w:rPr>
                <w:rFonts w:eastAsia="Times New Roman"/>
                <w:szCs w:val="17"/>
              </w:rPr>
              <w:t>Sambar, Sambar Deer (feral)</w:t>
            </w:r>
          </w:p>
        </w:tc>
        <w:tc>
          <w:tcPr>
            <w:tcW w:w="2160" w:type="dxa"/>
            <w:tcBorders>
              <w:top w:val="nil"/>
              <w:left w:val="single" w:sz="4" w:space="0" w:color="auto"/>
              <w:bottom w:val="single" w:sz="4" w:space="0" w:color="auto"/>
              <w:right w:val="single" w:sz="4" w:space="0" w:color="auto"/>
            </w:tcBorders>
            <w:shd w:val="clear" w:color="auto" w:fill="auto"/>
            <w:noWrap/>
            <w:vAlign w:val="bottom"/>
          </w:tcPr>
          <w:p w:rsidR="004A192B" w:rsidRPr="004A192B" w:rsidRDefault="004A192B" w:rsidP="004A192B">
            <w:pPr>
              <w:jc w:val="left"/>
              <w:rPr>
                <w:rFonts w:eastAsia="Times New Roman"/>
                <w:szCs w:val="17"/>
              </w:rPr>
            </w:pP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4A192B" w:rsidRPr="004A192B" w:rsidRDefault="004A192B" w:rsidP="004A192B">
            <w:pPr>
              <w:jc w:val="center"/>
              <w:rPr>
                <w:rFonts w:eastAsia="Times New Roman"/>
                <w:szCs w:val="17"/>
              </w:rPr>
            </w:pPr>
          </w:p>
        </w:tc>
        <w:tc>
          <w:tcPr>
            <w:tcW w:w="1680" w:type="dxa"/>
            <w:tcBorders>
              <w:top w:val="nil"/>
              <w:left w:val="single" w:sz="4" w:space="0" w:color="auto"/>
              <w:bottom w:val="single" w:sz="4" w:space="0" w:color="auto"/>
              <w:right w:val="single" w:sz="4" w:space="0" w:color="auto"/>
            </w:tcBorders>
            <w:shd w:val="clear" w:color="auto" w:fill="auto"/>
            <w:noWrap/>
            <w:vAlign w:val="bottom"/>
          </w:tcPr>
          <w:p w:rsidR="004A192B" w:rsidRPr="004A192B" w:rsidRDefault="004A192B" w:rsidP="004A192B">
            <w:pPr>
              <w:jc w:val="left"/>
              <w:rPr>
                <w:rFonts w:eastAsia="Times New Roman"/>
                <w:szCs w:val="17"/>
              </w:rPr>
            </w:pPr>
          </w:p>
        </w:tc>
      </w:tr>
      <w:tr w:rsidR="004A192B" w:rsidRPr="004A192B" w:rsidTr="00805B8E">
        <w:trPr>
          <w:trHeight w:val="20"/>
        </w:trPr>
        <w:tc>
          <w:tcPr>
            <w:tcW w:w="2280" w:type="dxa"/>
            <w:tcBorders>
              <w:top w:val="single" w:sz="4" w:space="0" w:color="auto"/>
              <w:bottom w:val="nil"/>
            </w:tcBorders>
            <w:shd w:val="clear" w:color="auto" w:fill="auto"/>
          </w:tcPr>
          <w:p w:rsidR="004A192B" w:rsidRPr="004A192B" w:rsidRDefault="004A192B" w:rsidP="004A192B">
            <w:pPr>
              <w:spacing w:after="0"/>
              <w:jc w:val="left"/>
              <w:rPr>
                <w:rFonts w:eastAsia="Times New Roman"/>
                <w:b/>
                <w:bCs/>
                <w:szCs w:val="17"/>
              </w:rPr>
            </w:pPr>
          </w:p>
        </w:tc>
        <w:tc>
          <w:tcPr>
            <w:tcW w:w="2280" w:type="dxa"/>
            <w:tcBorders>
              <w:top w:val="single" w:sz="4" w:space="0" w:color="auto"/>
              <w:bottom w:val="nil"/>
            </w:tcBorders>
            <w:shd w:val="clear" w:color="auto" w:fill="auto"/>
          </w:tcPr>
          <w:p w:rsidR="004A192B" w:rsidRPr="004A192B" w:rsidRDefault="004A192B" w:rsidP="004A192B">
            <w:pPr>
              <w:spacing w:after="0"/>
              <w:jc w:val="left"/>
              <w:rPr>
                <w:rFonts w:eastAsia="Times New Roman"/>
                <w:b/>
                <w:bCs/>
                <w:szCs w:val="17"/>
              </w:rPr>
            </w:pPr>
          </w:p>
        </w:tc>
        <w:tc>
          <w:tcPr>
            <w:tcW w:w="2160" w:type="dxa"/>
            <w:tcBorders>
              <w:top w:val="single" w:sz="4" w:space="0" w:color="auto"/>
              <w:bottom w:val="nil"/>
            </w:tcBorders>
            <w:shd w:val="clear" w:color="auto" w:fill="auto"/>
            <w:noWrap/>
            <w:vAlign w:val="bottom"/>
          </w:tcPr>
          <w:p w:rsidR="004A192B" w:rsidRPr="004A192B" w:rsidRDefault="004A192B" w:rsidP="004A192B">
            <w:pPr>
              <w:spacing w:after="0"/>
              <w:jc w:val="left"/>
              <w:rPr>
                <w:rFonts w:eastAsia="Times New Roman"/>
                <w:b/>
                <w:bCs/>
                <w:szCs w:val="17"/>
              </w:rPr>
            </w:pPr>
          </w:p>
        </w:tc>
        <w:tc>
          <w:tcPr>
            <w:tcW w:w="960" w:type="dxa"/>
            <w:tcBorders>
              <w:top w:val="single" w:sz="4" w:space="0" w:color="auto"/>
              <w:bottom w:val="nil"/>
            </w:tcBorders>
            <w:shd w:val="clear" w:color="auto" w:fill="auto"/>
            <w:noWrap/>
            <w:vAlign w:val="bottom"/>
          </w:tcPr>
          <w:p w:rsidR="004A192B" w:rsidRPr="004A192B" w:rsidRDefault="004A192B" w:rsidP="004A192B">
            <w:pPr>
              <w:spacing w:after="0"/>
              <w:jc w:val="center"/>
              <w:rPr>
                <w:rFonts w:eastAsia="Times New Roman"/>
                <w:b/>
                <w:bCs/>
                <w:szCs w:val="17"/>
              </w:rPr>
            </w:pPr>
          </w:p>
        </w:tc>
        <w:tc>
          <w:tcPr>
            <w:tcW w:w="1680" w:type="dxa"/>
            <w:tcBorders>
              <w:top w:val="single" w:sz="4" w:space="0" w:color="auto"/>
              <w:bottom w:val="nil"/>
            </w:tcBorders>
            <w:shd w:val="clear" w:color="auto" w:fill="auto"/>
            <w:noWrap/>
            <w:vAlign w:val="bottom"/>
          </w:tcPr>
          <w:p w:rsidR="004A192B" w:rsidRPr="004A192B" w:rsidRDefault="004A192B" w:rsidP="004A192B">
            <w:pPr>
              <w:spacing w:after="0"/>
              <w:jc w:val="left"/>
              <w:rPr>
                <w:rFonts w:eastAsia="Times New Roman"/>
                <w:b/>
                <w:bCs/>
                <w:szCs w:val="17"/>
              </w:rPr>
            </w:pPr>
          </w:p>
        </w:tc>
      </w:tr>
      <w:tr w:rsidR="004A192B" w:rsidRPr="004A192B" w:rsidTr="00805B8E">
        <w:trPr>
          <w:trHeight w:val="20"/>
        </w:trPr>
        <w:tc>
          <w:tcPr>
            <w:tcW w:w="2280" w:type="dxa"/>
            <w:tcBorders>
              <w:bottom w:val="nil"/>
            </w:tcBorders>
            <w:shd w:val="clear" w:color="auto" w:fill="auto"/>
          </w:tcPr>
          <w:p w:rsidR="004A192B" w:rsidRPr="004A192B" w:rsidRDefault="004A192B" w:rsidP="004A192B">
            <w:pPr>
              <w:spacing w:after="0"/>
              <w:jc w:val="left"/>
              <w:rPr>
                <w:rFonts w:eastAsia="Times New Roman"/>
                <w:b/>
                <w:bCs/>
                <w:szCs w:val="17"/>
              </w:rPr>
            </w:pPr>
          </w:p>
        </w:tc>
        <w:tc>
          <w:tcPr>
            <w:tcW w:w="2280" w:type="dxa"/>
            <w:tcBorders>
              <w:bottom w:val="nil"/>
            </w:tcBorders>
            <w:shd w:val="clear" w:color="auto" w:fill="auto"/>
          </w:tcPr>
          <w:p w:rsidR="004A192B" w:rsidRPr="004A192B" w:rsidRDefault="004A192B" w:rsidP="004A192B">
            <w:pPr>
              <w:spacing w:after="0"/>
              <w:jc w:val="left"/>
              <w:rPr>
                <w:rFonts w:eastAsia="Times New Roman"/>
                <w:b/>
                <w:bCs/>
                <w:szCs w:val="17"/>
              </w:rPr>
            </w:pPr>
          </w:p>
        </w:tc>
        <w:tc>
          <w:tcPr>
            <w:tcW w:w="2160" w:type="dxa"/>
            <w:tcBorders>
              <w:bottom w:val="nil"/>
            </w:tcBorders>
            <w:shd w:val="clear" w:color="auto" w:fill="auto"/>
            <w:noWrap/>
            <w:vAlign w:val="bottom"/>
          </w:tcPr>
          <w:p w:rsidR="004A192B" w:rsidRPr="004A192B" w:rsidRDefault="004A192B" w:rsidP="004A192B">
            <w:pPr>
              <w:spacing w:after="0"/>
              <w:jc w:val="left"/>
              <w:rPr>
                <w:rFonts w:eastAsia="Times New Roman"/>
                <w:b/>
                <w:bCs/>
                <w:szCs w:val="17"/>
              </w:rPr>
            </w:pPr>
          </w:p>
        </w:tc>
        <w:tc>
          <w:tcPr>
            <w:tcW w:w="960" w:type="dxa"/>
            <w:tcBorders>
              <w:bottom w:val="nil"/>
            </w:tcBorders>
            <w:shd w:val="clear" w:color="auto" w:fill="auto"/>
            <w:noWrap/>
            <w:vAlign w:val="bottom"/>
          </w:tcPr>
          <w:p w:rsidR="004A192B" w:rsidRPr="004A192B" w:rsidRDefault="004A192B" w:rsidP="004A192B">
            <w:pPr>
              <w:spacing w:after="0"/>
              <w:jc w:val="center"/>
              <w:rPr>
                <w:rFonts w:eastAsia="Times New Roman"/>
                <w:b/>
                <w:bCs/>
                <w:szCs w:val="17"/>
              </w:rPr>
            </w:pPr>
          </w:p>
        </w:tc>
        <w:tc>
          <w:tcPr>
            <w:tcW w:w="1680" w:type="dxa"/>
            <w:tcBorders>
              <w:bottom w:val="nil"/>
            </w:tcBorders>
            <w:shd w:val="clear" w:color="auto" w:fill="auto"/>
            <w:noWrap/>
            <w:vAlign w:val="bottom"/>
          </w:tcPr>
          <w:p w:rsidR="004A192B" w:rsidRPr="004A192B" w:rsidRDefault="004A192B" w:rsidP="004A192B">
            <w:pPr>
              <w:spacing w:after="0"/>
              <w:jc w:val="left"/>
              <w:rPr>
                <w:rFonts w:eastAsia="Times New Roman"/>
                <w:b/>
                <w:bCs/>
                <w:szCs w:val="17"/>
              </w:rPr>
            </w:pPr>
          </w:p>
        </w:tc>
      </w:tr>
      <w:tr w:rsidR="004A192B" w:rsidRPr="004A192B" w:rsidTr="00805B8E">
        <w:trPr>
          <w:trHeight w:val="20"/>
        </w:trPr>
        <w:tc>
          <w:tcPr>
            <w:tcW w:w="2280" w:type="dxa"/>
            <w:tcBorders>
              <w:bottom w:val="nil"/>
            </w:tcBorders>
            <w:shd w:val="clear" w:color="auto" w:fill="auto"/>
          </w:tcPr>
          <w:p w:rsidR="004A192B" w:rsidRPr="004A192B" w:rsidRDefault="004A192B" w:rsidP="004A192B">
            <w:pPr>
              <w:spacing w:after="0"/>
              <w:jc w:val="left"/>
              <w:rPr>
                <w:rFonts w:eastAsia="Times New Roman"/>
                <w:b/>
                <w:bCs/>
                <w:szCs w:val="17"/>
              </w:rPr>
            </w:pPr>
          </w:p>
        </w:tc>
        <w:tc>
          <w:tcPr>
            <w:tcW w:w="2280" w:type="dxa"/>
            <w:tcBorders>
              <w:bottom w:val="nil"/>
            </w:tcBorders>
            <w:shd w:val="clear" w:color="auto" w:fill="auto"/>
          </w:tcPr>
          <w:p w:rsidR="004A192B" w:rsidRPr="004A192B" w:rsidRDefault="004A192B" w:rsidP="004A192B">
            <w:pPr>
              <w:spacing w:after="0"/>
              <w:jc w:val="left"/>
              <w:rPr>
                <w:rFonts w:eastAsia="Times New Roman"/>
                <w:b/>
                <w:bCs/>
                <w:szCs w:val="17"/>
              </w:rPr>
            </w:pPr>
          </w:p>
        </w:tc>
        <w:tc>
          <w:tcPr>
            <w:tcW w:w="2160" w:type="dxa"/>
            <w:tcBorders>
              <w:bottom w:val="nil"/>
            </w:tcBorders>
            <w:shd w:val="clear" w:color="auto" w:fill="auto"/>
            <w:noWrap/>
            <w:vAlign w:val="bottom"/>
          </w:tcPr>
          <w:p w:rsidR="004A192B" w:rsidRPr="004A192B" w:rsidRDefault="004A192B" w:rsidP="004A192B">
            <w:pPr>
              <w:spacing w:after="0"/>
              <w:jc w:val="left"/>
              <w:rPr>
                <w:rFonts w:eastAsia="Times New Roman"/>
                <w:b/>
                <w:bCs/>
                <w:szCs w:val="17"/>
              </w:rPr>
            </w:pPr>
          </w:p>
        </w:tc>
        <w:tc>
          <w:tcPr>
            <w:tcW w:w="960" w:type="dxa"/>
            <w:tcBorders>
              <w:bottom w:val="nil"/>
            </w:tcBorders>
            <w:shd w:val="clear" w:color="auto" w:fill="auto"/>
            <w:noWrap/>
            <w:vAlign w:val="bottom"/>
          </w:tcPr>
          <w:p w:rsidR="004A192B" w:rsidRPr="004A192B" w:rsidRDefault="004A192B" w:rsidP="004A192B">
            <w:pPr>
              <w:spacing w:after="0"/>
              <w:jc w:val="center"/>
              <w:rPr>
                <w:rFonts w:eastAsia="Times New Roman"/>
                <w:b/>
                <w:bCs/>
                <w:szCs w:val="17"/>
              </w:rPr>
            </w:pPr>
          </w:p>
        </w:tc>
        <w:tc>
          <w:tcPr>
            <w:tcW w:w="1680" w:type="dxa"/>
            <w:tcBorders>
              <w:bottom w:val="nil"/>
            </w:tcBorders>
            <w:shd w:val="clear" w:color="auto" w:fill="auto"/>
            <w:noWrap/>
            <w:vAlign w:val="bottom"/>
          </w:tcPr>
          <w:p w:rsidR="004A192B" w:rsidRPr="004A192B" w:rsidRDefault="004A192B" w:rsidP="004A192B">
            <w:pPr>
              <w:spacing w:after="0"/>
              <w:jc w:val="left"/>
              <w:rPr>
                <w:rFonts w:eastAsia="Times New Roman"/>
                <w:b/>
                <w:bCs/>
                <w:szCs w:val="17"/>
              </w:rPr>
            </w:pPr>
          </w:p>
        </w:tc>
      </w:tr>
      <w:tr w:rsidR="004A192B" w:rsidRPr="004A192B" w:rsidTr="00805B8E">
        <w:trPr>
          <w:trHeight w:val="20"/>
        </w:trPr>
        <w:tc>
          <w:tcPr>
            <w:tcW w:w="2280" w:type="dxa"/>
            <w:tcBorders>
              <w:bottom w:val="nil"/>
            </w:tcBorders>
            <w:shd w:val="clear" w:color="auto" w:fill="auto"/>
          </w:tcPr>
          <w:p w:rsidR="004A192B" w:rsidRPr="004A192B" w:rsidRDefault="004A192B" w:rsidP="004A192B">
            <w:pPr>
              <w:spacing w:after="0"/>
              <w:jc w:val="left"/>
              <w:rPr>
                <w:rFonts w:eastAsia="Times New Roman"/>
                <w:b/>
                <w:bCs/>
                <w:szCs w:val="17"/>
              </w:rPr>
            </w:pPr>
          </w:p>
        </w:tc>
        <w:tc>
          <w:tcPr>
            <w:tcW w:w="2280" w:type="dxa"/>
            <w:tcBorders>
              <w:bottom w:val="nil"/>
            </w:tcBorders>
            <w:shd w:val="clear" w:color="auto" w:fill="auto"/>
          </w:tcPr>
          <w:p w:rsidR="004A192B" w:rsidRPr="004A192B" w:rsidRDefault="004A192B" w:rsidP="004A192B">
            <w:pPr>
              <w:spacing w:after="0"/>
              <w:jc w:val="left"/>
              <w:rPr>
                <w:rFonts w:eastAsia="Times New Roman"/>
                <w:b/>
                <w:bCs/>
                <w:szCs w:val="17"/>
              </w:rPr>
            </w:pPr>
          </w:p>
        </w:tc>
        <w:tc>
          <w:tcPr>
            <w:tcW w:w="2160" w:type="dxa"/>
            <w:tcBorders>
              <w:bottom w:val="nil"/>
            </w:tcBorders>
            <w:shd w:val="clear" w:color="auto" w:fill="auto"/>
            <w:noWrap/>
            <w:vAlign w:val="bottom"/>
          </w:tcPr>
          <w:p w:rsidR="004A192B" w:rsidRPr="004A192B" w:rsidRDefault="004A192B" w:rsidP="004A192B">
            <w:pPr>
              <w:spacing w:after="0"/>
              <w:jc w:val="left"/>
              <w:rPr>
                <w:rFonts w:eastAsia="Times New Roman"/>
                <w:b/>
                <w:bCs/>
                <w:szCs w:val="17"/>
              </w:rPr>
            </w:pPr>
          </w:p>
        </w:tc>
        <w:tc>
          <w:tcPr>
            <w:tcW w:w="960" w:type="dxa"/>
            <w:tcBorders>
              <w:bottom w:val="nil"/>
            </w:tcBorders>
            <w:shd w:val="clear" w:color="auto" w:fill="auto"/>
            <w:noWrap/>
            <w:vAlign w:val="bottom"/>
          </w:tcPr>
          <w:p w:rsidR="004A192B" w:rsidRPr="004A192B" w:rsidRDefault="004A192B" w:rsidP="004A192B">
            <w:pPr>
              <w:spacing w:after="0"/>
              <w:jc w:val="center"/>
              <w:rPr>
                <w:rFonts w:eastAsia="Times New Roman"/>
                <w:b/>
                <w:bCs/>
                <w:szCs w:val="17"/>
              </w:rPr>
            </w:pPr>
          </w:p>
        </w:tc>
        <w:tc>
          <w:tcPr>
            <w:tcW w:w="1680" w:type="dxa"/>
            <w:tcBorders>
              <w:bottom w:val="nil"/>
            </w:tcBorders>
            <w:shd w:val="clear" w:color="auto" w:fill="auto"/>
            <w:noWrap/>
            <w:vAlign w:val="bottom"/>
          </w:tcPr>
          <w:p w:rsidR="004A192B" w:rsidRPr="004A192B" w:rsidRDefault="004A192B" w:rsidP="004A192B">
            <w:pPr>
              <w:spacing w:after="0"/>
              <w:jc w:val="left"/>
              <w:rPr>
                <w:rFonts w:eastAsia="Times New Roman"/>
                <w:b/>
                <w:bCs/>
                <w:szCs w:val="17"/>
              </w:rPr>
            </w:pPr>
          </w:p>
        </w:tc>
      </w:tr>
      <w:tr w:rsidR="004A192B" w:rsidRPr="004A192B" w:rsidTr="00805B8E">
        <w:trPr>
          <w:trHeight w:val="20"/>
        </w:trPr>
        <w:tc>
          <w:tcPr>
            <w:tcW w:w="2280" w:type="dxa"/>
            <w:shd w:val="clear" w:color="auto" w:fill="auto"/>
          </w:tcPr>
          <w:p w:rsidR="004A192B" w:rsidRPr="004A192B" w:rsidRDefault="004A192B" w:rsidP="004A192B">
            <w:pPr>
              <w:spacing w:after="0"/>
              <w:jc w:val="left"/>
              <w:rPr>
                <w:rFonts w:eastAsia="Times New Roman"/>
                <w:b/>
                <w:bCs/>
                <w:szCs w:val="17"/>
              </w:rPr>
            </w:pPr>
          </w:p>
        </w:tc>
        <w:tc>
          <w:tcPr>
            <w:tcW w:w="2280" w:type="dxa"/>
            <w:shd w:val="clear" w:color="auto" w:fill="auto"/>
          </w:tcPr>
          <w:p w:rsidR="004A192B" w:rsidRPr="004A192B" w:rsidRDefault="004A192B" w:rsidP="004A192B">
            <w:pPr>
              <w:spacing w:after="0"/>
              <w:jc w:val="left"/>
              <w:rPr>
                <w:rFonts w:eastAsia="Times New Roman"/>
                <w:b/>
                <w:bCs/>
                <w:szCs w:val="17"/>
              </w:rPr>
            </w:pPr>
          </w:p>
        </w:tc>
        <w:tc>
          <w:tcPr>
            <w:tcW w:w="2160" w:type="dxa"/>
            <w:shd w:val="clear" w:color="auto" w:fill="auto"/>
            <w:noWrap/>
            <w:vAlign w:val="bottom"/>
          </w:tcPr>
          <w:p w:rsidR="004A192B" w:rsidRPr="004A192B" w:rsidRDefault="004A192B" w:rsidP="004A192B">
            <w:pPr>
              <w:spacing w:after="0"/>
              <w:jc w:val="left"/>
              <w:rPr>
                <w:rFonts w:eastAsia="Times New Roman"/>
                <w:b/>
                <w:bCs/>
                <w:szCs w:val="17"/>
              </w:rPr>
            </w:pPr>
          </w:p>
        </w:tc>
        <w:tc>
          <w:tcPr>
            <w:tcW w:w="960" w:type="dxa"/>
            <w:shd w:val="clear" w:color="auto" w:fill="auto"/>
            <w:noWrap/>
            <w:vAlign w:val="bottom"/>
          </w:tcPr>
          <w:p w:rsidR="004A192B" w:rsidRPr="004A192B" w:rsidRDefault="004A192B" w:rsidP="004A192B">
            <w:pPr>
              <w:spacing w:after="0"/>
              <w:jc w:val="center"/>
              <w:rPr>
                <w:rFonts w:eastAsia="Times New Roman"/>
                <w:b/>
                <w:bCs/>
                <w:szCs w:val="17"/>
              </w:rPr>
            </w:pPr>
          </w:p>
        </w:tc>
        <w:tc>
          <w:tcPr>
            <w:tcW w:w="1680" w:type="dxa"/>
            <w:shd w:val="clear" w:color="auto" w:fill="auto"/>
            <w:noWrap/>
            <w:vAlign w:val="bottom"/>
          </w:tcPr>
          <w:p w:rsidR="004A192B" w:rsidRPr="004A192B" w:rsidRDefault="004A192B" w:rsidP="004A192B">
            <w:pPr>
              <w:spacing w:after="0"/>
              <w:jc w:val="left"/>
              <w:rPr>
                <w:rFonts w:eastAsia="Times New Roman"/>
                <w:b/>
                <w:bCs/>
                <w:szCs w:val="17"/>
              </w:rPr>
            </w:pPr>
          </w:p>
        </w:tc>
      </w:tr>
      <w:tr w:rsidR="004A192B" w:rsidRPr="004A192B" w:rsidTr="00805B8E">
        <w:trPr>
          <w:trHeight w:val="20"/>
        </w:trPr>
        <w:tc>
          <w:tcPr>
            <w:tcW w:w="2280" w:type="dxa"/>
            <w:shd w:val="clear" w:color="auto" w:fill="auto"/>
          </w:tcPr>
          <w:p w:rsidR="004A192B" w:rsidRPr="004A192B" w:rsidRDefault="004A192B" w:rsidP="004A192B">
            <w:pPr>
              <w:spacing w:after="0"/>
              <w:jc w:val="left"/>
              <w:rPr>
                <w:rFonts w:eastAsia="Times New Roman"/>
                <w:b/>
                <w:bCs/>
                <w:szCs w:val="17"/>
              </w:rPr>
            </w:pPr>
          </w:p>
        </w:tc>
        <w:tc>
          <w:tcPr>
            <w:tcW w:w="2280" w:type="dxa"/>
            <w:shd w:val="clear" w:color="auto" w:fill="auto"/>
          </w:tcPr>
          <w:p w:rsidR="004A192B" w:rsidRPr="004A192B" w:rsidRDefault="004A192B" w:rsidP="004A192B">
            <w:pPr>
              <w:spacing w:after="0"/>
              <w:jc w:val="left"/>
              <w:rPr>
                <w:rFonts w:eastAsia="Times New Roman"/>
                <w:b/>
                <w:bCs/>
                <w:szCs w:val="17"/>
              </w:rPr>
            </w:pPr>
          </w:p>
        </w:tc>
        <w:tc>
          <w:tcPr>
            <w:tcW w:w="2160" w:type="dxa"/>
            <w:shd w:val="clear" w:color="auto" w:fill="auto"/>
            <w:noWrap/>
            <w:vAlign w:val="bottom"/>
          </w:tcPr>
          <w:p w:rsidR="004A192B" w:rsidRPr="004A192B" w:rsidRDefault="004A192B" w:rsidP="004A192B">
            <w:pPr>
              <w:spacing w:after="0"/>
              <w:jc w:val="left"/>
              <w:rPr>
                <w:rFonts w:eastAsia="Times New Roman"/>
                <w:b/>
                <w:bCs/>
                <w:szCs w:val="17"/>
              </w:rPr>
            </w:pPr>
          </w:p>
        </w:tc>
        <w:tc>
          <w:tcPr>
            <w:tcW w:w="960" w:type="dxa"/>
            <w:shd w:val="clear" w:color="auto" w:fill="auto"/>
            <w:noWrap/>
            <w:vAlign w:val="bottom"/>
          </w:tcPr>
          <w:p w:rsidR="004A192B" w:rsidRPr="004A192B" w:rsidRDefault="004A192B" w:rsidP="004A192B">
            <w:pPr>
              <w:spacing w:after="0"/>
              <w:jc w:val="center"/>
              <w:rPr>
                <w:rFonts w:eastAsia="Times New Roman"/>
                <w:b/>
                <w:bCs/>
                <w:szCs w:val="17"/>
              </w:rPr>
            </w:pPr>
          </w:p>
        </w:tc>
        <w:tc>
          <w:tcPr>
            <w:tcW w:w="1680" w:type="dxa"/>
            <w:shd w:val="clear" w:color="auto" w:fill="auto"/>
            <w:noWrap/>
            <w:vAlign w:val="bottom"/>
          </w:tcPr>
          <w:p w:rsidR="004A192B" w:rsidRPr="004A192B" w:rsidRDefault="004A192B" w:rsidP="004A192B">
            <w:pPr>
              <w:spacing w:after="0"/>
              <w:jc w:val="left"/>
              <w:rPr>
                <w:rFonts w:eastAsia="Times New Roman"/>
                <w:b/>
                <w:bCs/>
                <w:szCs w:val="17"/>
              </w:rPr>
            </w:pPr>
          </w:p>
        </w:tc>
      </w:tr>
      <w:tr w:rsidR="004A192B" w:rsidRPr="004A192B" w:rsidTr="00805B8E">
        <w:trPr>
          <w:trHeight w:val="20"/>
        </w:trPr>
        <w:tc>
          <w:tcPr>
            <w:tcW w:w="2280" w:type="dxa"/>
            <w:shd w:val="clear" w:color="auto" w:fill="auto"/>
          </w:tcPr>
          <w:p w:rsidR="004A192B" w:rsidRPr="004A192B" w:rsidRDefault="004A192B" w:rsidP="004A192B">
            <w:pPr>
              <w:spacing w:after="0"/>
              <w:jc w:val="left"/>
              <w:rPr>
                <w:rFonts w:eastAsia="Times New Roman"/>
                <w:b/>
                <w:bCs/>
                <w:szCs w:val="17"/>
              </w:rPr>
            </w:pPr>
          </w:p>
        </w:tc>
        <w:tc>
          <w:tcPr>
            <w:tcW w:w="2280" w:type="dxa"/>
            <w:shd w:val="clear" w:color="auto" w:fill="auto"/>
          </w:tcPr>
          <w:p w:rsidR="004A192B" w:rsidRPr="004A192B" w:rsidRDefault="004A192B" w:rsidP="004A192B">
            <w:pPr>
              <w:spacing w:after="0"/>
              <w:jc w:val="left"/>
              <w:rPr>
                <w:rFonts w:eastAsia="Times New Roman"/>
                <w:b/>
                <w:bCs/>
                <w:szCs w:val="17"/>
              </w:rPr>
            </w:pPr>
          </w:p>
        </w:tc>
        <w:tc>
          <w:tcPr>
            <w:tcW w:w="2160" w:type="dxa"/>
            <w:shd w:val="clear" w:color="auto" w:fill="auto"/>
            <w:noWrap/>
            <w:vAlign w:val="bottom"/>
          </w:tcPr>
          <w:p w:rsidR="004A192B" w:rsidRPr="004A192B" w:rsidRDefault="004A192B" w:rsidP="004A192B">
            <w:pPr>
              <w:spacing w:after="0"/>
              <w:jc w:val="left"/>
              <w:rPr>
                <w:rFonts w:eastAsia="Times New Roman"/>
                <w:b/>
                <w:bCs/>
                <w:szCs w:val="17"/>
              </w:rPr>
            </w:pPr>
          </w:p>
        </w:tc>
        <w:tc>
          <w:tcPr>
            <w:tcW w:w="960" w:type="dxa"/>
            <w:shd w:val="clear" w:color="auto" w:fill="auto"/>
            <w:noWrap/>
            <w:vAlign w:val="bottom"/>
          </w:tcPr>
          <w:p w:rsidR="004A192B" w:rsidRPr="004A192B" w:rsidRDefault="004A192B" w:rsidP="004A192B">
            <w:pPr>
              <w:spacing w:after="0"/>
              <w:jc w:val="center"/>
              <w:rPr>
                <w:rFonts w:eastAsia="Times New Roman"/>
                <w:b/>
                <w:bCs/>
                <w:szCs w:val="17"/>
              </w:rPr>
            </w:pPr>
          </w:p>
        </w:tc>
        <w:tc>
          <w:tcPr>
            <w:tcW w:w="1680" w:type="dxa"/>
            <w:shd w:val="clear" w:color="auto" w:fill="auto"/>
            <w:noWrap/>
            <w:vAlign w:val="bottom"/>
          </w:tcPr>
          <w:p w:rsidR="004A192B" w:rsidRPr="004A192B" w:rsidRDefault="004A192B" w:rsidP="004A192B">
            <w:pPr>
              <w:spacing w:after="0"/>
              <w:jc w:val="left"/>
              <w:rPr>
                <w:rFonts w:eastAsia="Times New Roman"/>
                <w:b/>
                <w:bCs/>
                <w:szCs w:val="17"/>
              </w:rPr>
            </w:pPr>
          </w:p>
        </w:tc>
      </w:tr>
      <w:tr w:rsidR="004A192B" w:rsidRPr="004A192B" w:rsidTr="00805B8E">
        <w:trPr>
          <w:trHeight w:val="20"/>
        </w:trPr>
        <w:tc>
          <w:tcPr>
            <w:tcW w:w="2280" w:type="dxa"/>
            <w:tcBorders>
              <w:bottom w:val="nil"/>
            </w:tcBorders>
            <w:shd w:val="clear" w:color="auto" w:fill="auto"/>
          </w:tcPr>
          <w:p w:rsidR="004A192B" w:rsidRPr="004A192B" w:rsidRDefault="004A192B" w:rsidP="004A192B">
            <w:pPr>
              <w:spacing w:after="0"/>
              <w:jc w:val="left"/>
              <w:rPr>
                <w:rFonts w:eastAsia="Times New Roman"/>
                <w:b/>
                <w:bCs/>
                <w:szCs w:val="17"/>
              </w:rPr>
            </w:pPr>
          </w:p>
        </w:tc>
        <w:tc>
          <w:tcPr>
            <w:tcW w:w="2280" w:type="dxa"/>
            <w:tcBorders>
              <w:bottom w:val="nil"/>
            </w:tcBorders>
            <w:shd w:val="clear" w:color="auto" w:fill="auto"/>
          </w:tcPr>
          <w:p w:rsidR="004A192B" w:rsidRPr="004A192B" w:rsidRDefault="004A192B" w:rsidP="004A192B">
            <w:pPr>
              <w:spacing w:after="0"/>
              <w:jc w:val="left"/>
              <w:rPr>
                <w:rFonts w:eastAsia="Times New Roman"/>
                <w:b/>
                <w:bCs/>
                <w:szCs w:val="17"/>
              </w:rPr>
            </w:pPr>
          </w:p>
        </w:tc>
        <w:tc>
          <w:tcPr>
            <w:tcW w:w="2160" w:type="dxa"/>
            <w:tcBorders>
              <w:bottom w:val="nil"/>
            </w:tcBorders>
            <w:shd w:val="clear" w:color="auto" w:fill="auto"/>
            <w:noWrap/>
            <w:vAlign w:val="bottom"/>
          </w:tcPr>
          <w:p w:rsidR="004A192B" w:rsidRPr="004A192B" w:rsidRDefault="004A192B" w:rsidP="004A192B">
            <w:pPr>
              <w:spacing w:after="0"/>
              <w:jc w:val="left"/>
              <w:rPr>
                <w:rFonts w:eastAsia="Times New Roman"/>
                <w:b/>
                <w:bCs/>
                <w:szCs w:val="17"/>
              </w:rPr>
            </w:pPr>
          </w:p>
        </w:tc>
        <w:tc>
          <w:tcPr>
            <w:tcW w:w="960" w:type="dxa"/>
            <w:tcBorders>
              <w:bottom w:val="nil"/>
            </w:tcBorders>
            <w:shd w:val="clear" w:color="auto" w:fill="auto"/>
            <w:noWrap/>
            <w:vAlign w:val="bottom"/>
          </w:tcPr>
          <w:p w:rsidR="004A192B" w:rsidRPr="004A192B" w:rsidRDefault="004A192B" w:rsidP="004A192B">
            <w:pPr>
              <w:spacing w:after="0"/>
              <w:jc w:val="center"/>
              <w:rPr>
                <w:rFonts w:eastAsia="Times New Roman"/>
                <w:b/>
                <w:bCs/>
                <w:szCs w:val="17"/>
              </w:rPr>
            </w:pPr>
          </w:p>
        </w:tc>
        <w:tc>
          <w:tcPr>
            <w:tcW w:w="1680" w:type="dxa"/>
            <w:tcBorders>
              <w:bottom w:val="nil"/>
            </w:tcBorders>
            <w:shd w:val="clear" w:color="auto" w:fill="auto"/>
            <w:noWrap/>
            <w:vAlign w:val="bottom"/>
          </w:tcPr>
          <w:p w:rsidR="004A192B" w:rsidRPr="004A192B" w:rsidRDefault="004A192B" w:rsidP="004A192B">
            <w:pPr>
              <w:spacing w:after="0"/>
              <w:jc w:val="left"/>
              <w:rPr>
                <w:rFonts w:eastAsia="Times New Roman"/>
                <w:b/>
                <w:bCs/>
                <w:szCs w:val="17"/>
              </w:rPr>
            </w:pP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17</w:t>
            </w:r>
          </w:p>
        </w:tc>
        <w:tc>
          <w:tcPr>
            <w:tcW w:w="2280" w:type="dxa"/>
            <w:tcBorders>
              <w:top w:val="single" w:sz="4" w:space="0" w:color="auto"/>
              <w:left w:val="nil"/>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187(1a), 189</w:t>
            </w:r>
          </w:p>
        </w:tc>
        <w:tc>
          <w:tcPr>
            <w:tcW w:w="960" w:type="dxa"/>
            <w:tcBorders>
              <w:top w:val="nil"/>
              <w:left w:val="nil"/>
              <w:bottom w:val="nil"/>
              <w:right w:val="single" w:sz="4" w:space="0" w:color="auto"/>
            </w:tcBorders>
            <w:shd w:val="clear" w:color="auto" w:fill="auto"/>
            <w:noWrap/>
            <w:vAlign w:val="center"/>
            <w:hideMark/>
          </w:tcPr>
          <w:p w:rsidR="004A192B" w:rsidRPr="004A192B" w:rsidRDefault="004A192B" w:rsidP="004A192B">
            <w:pPr>
              <w:spacing w:after="0"/>
              <w:jc w:val="center"/>
              <w:rPr>
                <w:rFonts w:eastAsia="Times New Roman"/>
                <w:szCs w:val="17"/>
              </w:rPr>
            </w:pPr>
            <w:r w:rsidRPr="004A192B">
              <w:rPr>
                <w:rFonts w:eastAsia="Times New Roman"/>
                <w:szCs w:val="17"/>
              </w:rPr>
              <w:t>3</w:t>
            </w: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Whole of the State</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RODENTIA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Muridae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Mus musculus</w:t>
            </w:r>
          </w:p>
        </w:tc>
        <w:tc>
          <w:tcPr>
            <w:tcW w:w="2280" w:type="dxa"/>
            <w:tcBorders>
              <w:top w:val="nil"/>
              <w:left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xml:space="preserve">Mouse, House Mouse </w:t>
            </w:r>
          </w:p>
          <w:p w:rsidR="004A192B" w:rsidRPr="004A192B" w:rsidRDefault="004A192B" w:rsidP="004A192B">
            <w:pPr>
              <w:jc w:val="left"/>
              <w:rPr>
                <w:rFonts w:eastAsia="Times New Roman"/>
                <w:szCs w:val="17"/>
              </w:rPr>
            </w:pPr>
            <w:r w:rsidRPr="004A192B">
              <w:rPr>
                <w:rFonts w:eastAsia="Times New Roman"/>
                <w:szCs w:val="17"/>
              </w:rPr>
              <w:t>(wild form)</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single" w:sz="4" w:space="0" w:color="auto"/>
            </w:tcBorders>
            <w:shd w:val="clear" w:color="auto" w:fill="auto"/>
          </w:tcPr>
          <w:p w:rsidR="004A192B" w:rsidRPr="004A192B" w:rsidRDefault="004A192B" w:rsidP="004A192B">
            <w:pPr>
              <w:spacing w:after="0"/>
              <w:jc w:val="left"/>
              <w:rPr>
                <w:rFonts w:eastAsia="Times New Roman"/>
                <w:i/>
                <w:iCs/>
                <w:szCs w:val="17"/>
              </w:rPr>
            </w:pPr>
            <w:r w:rsidRPr="004A192B">
              <w:rPr>
                <w:rFonts w:eastAsia="Times New Roman"/>
                <w:i/>
                <w:iCs/>
                <w:szCs w:val="17"/>
              </w:rPr>
              <w:t>Rattus norvegicus</w:t>
            </w:r>
          </w:p>
        </w:tc>
        <w:tc>
          <w:tcPr>
            <w:tcW w:w="2280" w:type="dxa"/>
            <w:tcBorders>
              <w:top w:val="nil"/>
              <w:left w:val="nil"/>
              <w:right w:val="single" w:sz="4" w:space="0" w:color="auto"/>
            </w:tcBorders>
            <w:shd w:val="clear" w:color="auto" w:fill="auto"/>
          </w:tcPr>
          <w:p w:rsidR="004A192B" w:rsidRPr="004A192B" w:rsidRDefault="004A192B" w:rsidP="004A192B">
            <w:pPr>
              <w:spacing w:after="0"/>
              <w:jc w:val="left"/>
              <w:rPr>
                <w:rFonts w:eastAsia="Times New Roman"/>
                <w:szCs w:val="17"/>
              </w:rPr>
            </w:pPr>
            <w:r w:rsidRPr="004A192B">
              <w:rPr>
                <w:rFonts w:eastAsia="Times New Roman"/>
                <w:szCs w:val="17"/>
              </w:rPr>
              <w:t>Brown Rat</w:t>
            </w:r>
          </w:p>
          <w:p w:rsidR="004A192B" w:rsidRPr="004A192B" w:rsidRDefault="004A192B" w:rsidP="004A192B">
            <w:pPr>
              <w:jc w:val="left"/>
              <w:rPr>
                <w:rFonts w:eastAsia="Times New Roman"/>
                <w:szCs w:val="17"/>
              </w:rPr>
            </w:pPr>
            <w:r w:rsidRPr="004A192B">
              <w:rPr>
                <w:rFonts w:eastAsia="Times New Roman"/>
                <w:szCs w:val="17"/>
              </w:rPr>
              <w:t>(wild form)</w:t>
            </w:r>
          </w:p>
        </w:tc>
        <w:tc>
          <w:tcPr>
            <w:tcW w:w="2160" w:type="dxa"/>
            <w:tcBorders>
              <w:top w:val="nil"/>
              <w:left w:val="nil"/>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left w:val="nil"/>
              <w:right w:val="single" w:sz="4" w:space="0" w:color="auto"/>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111"/>
        </w:trPr>
        <w:tc>
          <w:tcPr>
            <w:tcW w:w="2280" w:type="dxa"/>
            <w:tcBorders>
              <w:top w:val="nil"/>
              <w:left w:val="single" w:sz="4" w:space="0" w:color="auto"/>
              <w:bottom w:val="single" w:sz="4" w:space="0" w:color="auto"/>
              <w:right w:val="single" w:sz="4" w:space="0" w:color="auto"/>
            </w:tcBorders>
            <w:shd w:val="clear" w:color="auto" w:fill="auto"/>
          </w:tcPr>
          <w:p w:rsidR="004A192B" w:rsidRPr="004A192B" w:rsidRDefault="004A192B" w:rsidP="004A192B">
            <w:pPr>
              <w:jc w:val="left"/>
              <w:rPr>
                <w:rFonts w:eastAsia="Times New Roman"/>
                <w:i/>
                <w:iCs/>
                <w:szCs w:val="17"/>
              </w:rPr>
            </w:pPr>
            <w:r w:rsidRPr="004A192B">
              <w:rPr>
                <w:rFonts w:eastAsia="Times New Roman"/>
                <w:i/>
                <w:iCs/>
                <w:szCs w:val="17"/>
              </w:rPr>
              <w:t>Rattus rattus</w:t>
            </w:r>
          </w:p>
        </w:tc>
        <w:tc>
          <w:tcPr>
            <w:tcW w:w="2280" w:type="dxa"/>
            <w:tcBorders>
              <w:top w:val="nil"/>
              <w:left w:val="nil"/>
              <w:bottom w:val="single" w:sz="4" w:space="0" w:color="auto"/>
              <w:right w:val="single" w:sz="4" w:space="0" w:color="auto"/>
            </w:tcBorders>
            <w:shd w:val="clear" w:color="auto" w:fill="auto"/>
          </w:tcPr>
          <w:p w:rsidR="004A192B" w:rsidRPr="004A192B" w:rsidRDefault="004A192B" w:rsidP="004A192B">
            <w:pPr>
              <w:spacing w:after="0"/>
              <w:jc w:val="left"/>
              <w:rPr>
                <w:rFonts w:eastAsia="Times New Roman"/>
                <w:szCs w:val="17"/>
              </w:rPr>
            </w:pPr>
            <w:r w:rsidRPr="004A192B">
              <w:rPr>
                <w:rFonts w:eastAsia="Times New Roman"/>
                <w:szCs w:val="17"/>
              </w:rPr>
              <w:t>Black Rat</w:t>
            </w:r>
          </w:p>
          <w:p w:rsidR="004A192B" w:rsidRPr="004A192B" w:rsidRDefault="004A192B" w:rsidP="004A192B">
            <w:pPr>
              <w:jc w:val="left"/>
              <w:rPr>
                <w:rFonts w:eastAsia="Times New Roman"/>
                <w:szCs w:val="17"/>
              </w:rPr>
            </w:pPr>
            <w:r w:rsidRPr="004A192B">
              <w:rPr>
                <w:rFonts w:eastAsia="Times New Roman"/>
                <w:szCs w:val="17"/>
              </w:rPr>
              <w:t>(wild form)</w:t>
            </w:r>
          </w:p>
        </w:tc>
        <w:tc>
          <w:tcPr>
            <w:tcW w:w="2160" w:type="dxa"/>
            <w:tcBorders>
              <w:top w:val="nil"/>
              <w:left w:val="nil"/>
              <w:bottom w:val="single" w:sz="4" w:space="0" w:color="auto"/>
              <w:right w:val="single" w:sz="4" w:space="0" w:color="auto"/>
            </w:tcBorders>
            <w:shd w:val="clear" w:color="auto" w:fill="auto"/>
            <w:noWrap/>
            <w:vAlign w:val="bottom"/>
          </w:tcPr>
          <w:p w:rsidR="004A192B" w:rsidRPr="004A192B" w:rsidRDefault="004A192B" w:rsidP="004A192B">
            <w:pPr>
              <w:jc w:val="left"/>
              <w:rPr>
                <w:rFonts w:eastAsia="Times New Roman"/>
                <w:szCs w:val="17"/>
              </w:rPr>
            </w:pPr>
          </w:p>
        </w:tc>
        <w:tc>
          <w:tcPr>
            <w:tcW w:w="960" w:type="dxa"/>
            <w:tcBorders>
              <w:top w:val="nil"/>
              <w:left w:val="nil"/>
              <w:bottom w:val="single" w:sz="4" w:space="0" w:color="auto"/>
              <w:right w:val="single" w:sz="4" w:space="0" w:color="auto"/>
            </w:tcBorders>
            <w:shd w:val="clear" w:color="auto" w:fill="auto"/>
            <w:noWrap/>
            <w:vAlign w:val="bottom"/>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vAlign w:val="bottom"/>
          </w:tcPr>
          <w:p w:rsidR="004A192B" w:rsidRPr="004A192B" w:rsidRDefault="004A192B" w:rsidP="004A192B">
            <w:pPr>
              <w:jc w:val="left"/>
              <w:rPr>
                <w:rFonts w:eastAsia="Times New Roman"/>
                <w:szCs w:val="17"/>
              </w:rPr>
            </w:pP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18</w:t>
            </w:r>
          </w:p>
        </w:tc>
        <w:tc>
          <w:tcPr>
            <w:tcW w:w="2280" w:type="dxa"/>
            <w:tcBorders>
              <w:top w:val="single" w:sz="4" w:space="0" w:color="auto"/>
              <w:left w:val="nil"/>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xml:space="preserve">186(1), 189, </w:t>
            </w:r>
          </w:p>
        </w:tc>
        <w:tc>
          <w:tcPr>
            <w:tcW w:w="960" w:type="dxa"/>
            <w:tcBorders>
              <w:top w:val="nil"/>
              <w:left w:val="nil"/>
              <w:bottom w:val="nil"/>
              <w:right w:val="single" w:sz="4" w:space="0" w:color="auto"/>
            </w:tcBorders>
            <w:shd w:val="clear" w:color="auto" w:fill="auto"/>
            <w:noWrap/>
            <w:vAlign w:val="center"/>
            <w:hideMark/>
          </w:tcPr>
          <w:p w:rsidR="004A192B" w:rsidRPr="004A192B" w:rsidRDefault="004A192B" w:rsidP="004A192B">
            <w:pPr>
              <w:spacing w:after="0"/>
              <w:jc w:val="center"/>
              <w:rPr>
                <w:rFonts w:eastAsia="Times New Roman"/>
                <w:szCs w:val="17"/>
              </w:rPr>
            </w:pPr>
            <w:r w:rsidRPr="004A192B">
              <w:rPr>
                <w:rFonts w:eastAsia="Times New Roman"/>
                <w:szCs w:val="17"/>
              </w:rPr>
              <w:t>3</w:t>
            </w: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The whole of the State west of a longitudinal line through Ceduna</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AVES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b/>
                <w:bCs/>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nil"/>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Sturnidae</w:t>
            </w:r>
          </w:p>
        </w:tc>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b/>
                <w:bCs/>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single" w:sz="4" w:space="0" w:color="auto"/>
              <w:right w:val="nil"/>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Sturnus vulgaris</w:t>
            </w:r>
          </w:p>
        </w:tc>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Starling, Common Starling, European Starling</w:t>
            </w:r>
          </w:p>
        </w:tc>
        <w:tc>
          <w:tcPr>
            <w:tcW w:w="2160" w:type="dxa"/>
            <w:tcBorders>
              <w:top w:val="nil"/>
              <w:left w:val="nil"/>
              <w:bottom w:val="single" w:sz="4" w:space="0" w:color="auto"/>
              <w:right w:val="single" w:sz="4" w:space="0" w:color="auto"/>
            </w:tcBorders>
            <w:shd w:val="clear" w:color="auto" w:fill="auto"/>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vAlign w:val="center"/>
            <w:hideMark/>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19</w:t>
            </w:r>
          </w:p>
        </w:tc>
        <w:tc>
          <w:tcPr>
            <w:tcW w:w="2280" w:type="dxa"/>
            <w:tcBorders>
              <w:top w:val="single" w:sz="4" w:space="0" w:color="auto"/>
              <w:left w:val="nil"/>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center"/>
            <w:hideMark/>
          </w:tcPr>
          <w:p w:rsidR="004A192B" w:rsidRPr="004A192B" w:rsidRDefault="004A192B" w:rsidP="004A192B">
            <w:pPr>
              <w:spacing w:after="0"/>
              <w:jc w:val="left"/>
              <w:rPr>
                <w:rFonts w:eastAsia="Times New Roman"/>
                <w:szCs w:val="17"/>
              </w:rPr>
            </w:pPr>
            <w:r w:rsidRPr="004A192B">
              <w:rPr>
                <w:rFonts w:eastAsia="Times New Roman"/>
                <w:szCs w:val="17"/>
              </w:rPr>
              <w:t>189, 191(1)</w:t>
            </w:r>
          </w:p>
        </w:tc>
        <w:tc>
          <w:tcPr>
            <w:tcW w:w="960" w:type="dxa"/>
            <w:tcBorders>
              <w:top w:val="nil"/>
              <w:left w:val="nil"/>
              <w:bottom w:val="nil"/>
              <w:right w:val="single" w:sz="4" w:space="0" w:color="auto"/>
            </w:tcBorders>
            <w:shd w:val="clear" w:color="auto" w:fill="auto"/>
            <w:noWrap/>
            <w:vAlign w:val="center"/>
            <w:hideMark/>
          </w:tcPr>
          <w:p w:rsidR="004A192B" w:rsidRPr="004A192B" w:rsidRDefault="004A192B" w:rsidP="004A192B">
            <w:pPr>
              <w:spacing w:after="0"/>
              <w:jc w:val="center"/>
              <w:rPr>
                <w:rFonts w:eastAsia="Times New Roman"/>
                <w:szCs w:val="17"/>
              </w:rPr>
            </w:pPr>
            <w:r w:rsidRPr="004A192B">
              <w:rPr>
                <w:rFonts w:eastAsia="Times New Roman"/>
                <w:szCs w:val="17"/>
              </w:rPr>
              <w:t>3</w:t>
            </w:r>
          </w:p>
        </w:tc>
        <w:tc>
          <w:tcPr>
            <w:tcW w:w="168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Whole of the State excluding Kangaroo Island</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CARNIVORA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Mustelidae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Mustela putorius furo</w:t>
            </w:r>
          </w:p>
        </w:tc>
        <w:tc>
          <w:tcPr>
            <w:tcW w:w="2280" w:type="dxa"/>
            <w:tcBorders>
              <w:top w:val="nil"/>
              <w:left w:val="nil"/>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Ferret, Domestic Ferret</w:t>
            </w:r>
          </w:p>
        </w:tc>
        <w:tc>
          <w:tcPr>
            <w:tcW w:w="2160" w:type="dxa"/>
            <w:tcBorders>
              <w:top w:val="nil"/>
              <w:left w:val="nil"/>
              <w:bottom w:val="single" w:sz="4" w:space="0" w:color="auto"/>
              <w:right w:val="single" w:sz="4" w:space="0" w:color="auto"/>
            </w:tcBorders>
            <w:shd w:val="clear" w:color="auto" w:fill="auto"/>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20</w:t>
            </w:r>
          </w:p>
        </w:tc>
        <w:tc>
          <w:tcPr>
            <w:tcW w:w="2280" w:type="dxa"/>
            <w:tcBorders>
              <w:top w:val="single" w:sz="4" w:space="0" w:color="auto"/>
              <w:left w:val="nil"/>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186(1)(3), 187(1a), 188, 189, 190, 191(1), 192(1)</w:t>
            </w:r>
          </w:p>
        </w:tc>
        <w:tc>
          <w:tcPr>
            <w:tcW w:w="960" w:type="dxa"/>
            <w:tcBorders>
              <w:top w:val="nil"/>
              <w:left w:val="nil"/>
              <w:bottom w:val="nil"/>
              <w:right w:val="single" w:sz="4" w:space="0" w:color="auto"/>
            </w:tcBorders>
            <w:shd w:val="clear" w:color="auto" w:fill="auto"/>
            <w:noWrap/>
            <w:vAlign w:val="center"/>
            <w:hideMark/>
          </w:tcPr>
          <w:p w:rsidR="004A192B" w:rsidRPr="004A192B" w:rsidRDefault="004A192B" w:rsidP="004A192B">
            <w:pPr>
              <w:spacing w:after="0"/>
              <w:jc w:val="center"/>
              <w:rPr>
                <w:rFonts w:eastAsia="Times New Roman"/>
                <w:szCs w:val="17"/>
              </w:rPr>
            </w:pPr>
            <w:r w:rsidRPr="004A192B">
              <w:rPr>
                <w:rFonts w:eastAsia="Times New Roman"/>
                <w:szCs w:val="17"/>
              </w:rPr>
              <w:t>3</w:t>
            </w: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Kangaroo Island</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CARNIVORA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Mustelidae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Mustela putorius furo</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Ferret, Domestic Ferret</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21</w:t>
            </w:r>
          </w:p>
        </w:tc>
        <w:tc>
          <w:tcPr>
            <w:tcW w:w="2280" w:type="dxa"/>
            <w:tcBorders>
              <w:top w:val="single" w:sz="4" w:space="0" w:color="auto"/>
              <w:left w:val="nil"/>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186(1)(3), 187(1a), 188, 189, 190, 191(1), 192(1)</w:t>
            </w:r>
          </w:p>
        </w:tc>
        <w:tc>
          <w:tcPr>
            <w:tcW w:w="960" w:type="dxa"/>
            <w:tcBorders>
              <w:top w:val="nil"/>
              <w:left w:val="nil"/>
              <w:bottom w:val="nil"/>
              <w:right w:val="single" w:sz="4" w:space="0" w:color="auto"/>
            </w:tcBorders>
            <w:shd w:val="clear" w:color="auto" w:fill="auto"/>
            <w:noWrap/>
            <w:vAlign w:val="center"/>
            <w:hideMark/>
          </w:tcPr>
          <w:p w:rsidR="004A192B" w:rsidRPr="004A192B" w:rsidRDefault="004A192B" w:rsidP="004A192B">
            <w:pPr>
              <w:spacing w:after="0"/>
              <w:jc w:val="center"/>
              <w:rPr>
                <w:rFonts w:eastAsia="Times New Roman"/>
                <w:szCs w:val="17"/>
              </w:rPr>
            </w:pPr>
            <w:r w:rsidRPr="004A192B">
              <w:rPr>
                <w:rFonts w:eastAsia="Times New Roman"/>
                <w:szCs w:val="17"/>
              </w:rPr>
              <w:t>3</w:t>
            </w: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All offshore islands including Kangaroo Island</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ARTIODACTYLA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Cervidae</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Axis axis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Chital Deer, Axis Deer, Spotted Deer</w:t>
            </w:r>
          </w:p>
        </w:tc>
        <w:tc>
          <w:tcPr>
            <w:tcW w:w="2160" w:type="dxa"/>
            <w:tcBorders>
              <w:top w:val="nil"/>
              <w:left w:val="nil"/>
              <w:bottom w:val="nil"/>
              <w:right w:val="single" w:sz="4" w:space="0" w:color="auto"/>
            </w:tcBorders>
            <w:shd w:val="clear" w:color="auto" w:fill="auto"/>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Axis porcinus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Hog Deer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Cervus elaphus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Red Deer (incl. elk/wapiti)</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tcPr>
          <w:p w:rsidR="004A192B" w:rsidRPr="004A192B" w:rsidRDefault="004A192B" w:rsidP="004A192B">
            <w:pPr>
              <w:spacing w:after="0"/>
              <w:jc w:val="left"/>
              <w:rPr>
                <w:rFonts w:eastAsia="Times New Roman"/>
                <w:i/>
                <w:iCs/>
                <w:szCs w:val="17"/>
              </w:rPr>
            </w:pPr>
            <w:r w:rsidRPr="004A192B">
              <w:rPr>
                <w:rFonts w:eastAsia="Times New Roman"/>
                <w:i/>
                <w:iCs/>
                <w:szCs w:val="17"/>
              </w:rPr>
              <w:t>Cervus nippon</w:t>
            </w:r>
          </w:p>
        </w:tc>
        <w:tc>
          <w:tcPr>
            <w:tcW w:w="2280" w:type="dxa"/>
            <w:tcBorders>
              <w:top w:val="nil"/>
              <w:left w:val="nil"/>
              <w:bottom w:val="nil"/>
              <w:right w:val="single" w:sz="4" w:space="0" w:color="auto"/>
            </w:tcBorders>
            <w:shd w:val="clear" w:color="auto" w:fill="auto"/>
          </w:tcPr>
          <w:p w:rsidR="004A192B" w:rsidRPr="004A192B" w:rsidRDefault="004A192B" w:rsidP="004A192B">
            <w:pPr>
              <w:jc w:val="left"/>
              <w:rPr>
                <w:rFonts w:eastAsia="Times New Roman"/>
                <w:szCs w:val="17"/>
              </w:rPr>
            </w:pPr>
            <w:r w:rsidRPr="004A192B">
              <w:rPr>
                <w:rFonts w:eastAsia="Times New Roman"/>
                <w:szCs w:val="17"/>
              </w:rPr>
              <w:t>Sika Deer</w:t>
            </w:r>
          </w:p>
        </w:tc>
        <w:tc>
          <w:tcPr>
            <w:tcW w:w="2160" w:type="dxa"/>
            <w:tcBorders>
              <w:top w:val="nil"/>
              <w:left w:val="nil"/>
              <w:bottom w:val="nil"/>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c>
          <w:tcPr>
            <w:tcW w:w="960" w:type="dxa"/>
            <w:tcBorders>
              <w:top w:val="nil"/>
              <w:left w:val="nil"/>
              <w:bottom w:val="nil"/>
              <w:right w:val="single" w:sz="4" w:space="0" w:color="auto"/>
            </w:tcBorders>
            <w:shd w:val="clear" w:color="auto" w:fill="auto"/>
            <w:noWrap/>
            <w:vAlign w:val="bottom"/>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tcPr>
          <w:p w:rsidR="004A192B" w:rsidRPr="004A192B" w:rsidRDefault="004A192B" w:rsidP="004A192B">
            <w:pPr>
              <w:spacing w:after="0"/>
              <w:jc w:val="left"/>
              <w:rPr>
                <w:rFonts w:eastAsia="Times New Roman"/>
                <w:szCs w:val="17"/>
              </w:rPr>
            </w:pP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Dama dama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Fallow Deer (incl. Persian/Mesopotamian fallow)</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i/>
                <w:iCs/>
                <w:szCs w:val="17"/>
              </w:rPr>
            </w:pPr>
            <w:r w:rsidRPr="004A192B">
              <w:rPr>
                <w:rFonts w:eastAsia="Times New Roman"/>
                <w:i/>
                <w:iCs/>
                <w:szCs w:val="17"/>
              </w:rPr>
              <w:t>Rusa timoriensis</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Rusa Deer, Javan Deer, Timor Deer</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Rusa unicolor</w:t>
            </w:r>
          </w:p>
        </w:tc>
        <w:tc>
          <w:tcPr>
            <w:tcW w:w="2280" w:type="dxa"/>
            <w:tcBorders>
              <w:top w:val="nil"/>
              <w:left w:val="nil"/>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Sambar, Sambar Deer</w:t>
            </w:r>
          </w:p>
        </w:tc>
        <w:tc>
          <w:tcPr>
            <w:tcW w:w="21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auto"/>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22</w:t>
            </w:r>
          </w:p>
        </w:tc>
        <w:tc>
          <w:tcPr>
            <w:tcW w:w="2280" w:type="dxa"/>
            <w:tcBorders>
              <w:top w:val="single" w:sz="4" w:space="0" w:color="auto"/>
              <w:left w:val="nil"/>
              <w:bottom w:val="nil"/>
              <w:right w:val="single" w:sz="4" w:space="0" w:color="auto"/>
            </w:tcBorders>
            <w:shd w:val="clear" w:color="auto" w:fill="auto"/>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auto"/>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vAlign w:val="center"/>
            <w:hideMark/>
          </w:tcPr>
          <w:p w:rsidR="004A192B" w:rsidRPr="004A192B" w:rsidRDefault="004A192B" w:rsidP="004A192B">
            <w:pPr>
              <w:spacing w:after="0"/>
              <w:jc w:val="left"/>
              <w:rPr>
                <w:rFonts w:eastAsia="Times New Roman"/>
                <w:szCs w:val="17"/>
              </w:rPr>
            </w:pPr>
            <w:r w:rsidRPr="004A192B">
              <w:rPr>
                <w:rFonts w:eastAsia="Times New Roman"/>
                <w:szCs w:val="17"/>
              </w:rPr>
              <w:t>186(1)(3), 187(1a), 188, 189, 190, 191(1), 192(2)</w:t>
            </w:r>
          </w:p>
        </w:tc>
        <w:tc>
          <w:tcPr>
            <w:tcW w:w="960" w:type="dxa"/>
            <w:tcBorders>
              <w:top w:val="nil"/>
              <w:left w:val="nil"/>
              <w:bottom w:val="nil"/>
              <w:right w:val="single" w:sz="4" w:space="0" w:color="auto"/>
            </w:tcBorders>
            <w:shd w:val="clear" w:color="auto" w:fill="auto"/>
            <w:noWrap/>
            <w:vAlign w:val="center"/>
            <w:hideMark/>
          </w:tcPr>
          <w:p w:rsidR="004A192B" w:rsidRPr="004A192B" w:rsidRDefault="004A192B" w:rsidP="004A192B">
            <w:pPr>
              <w:spacing w:after="0"/>
              <w:jc w:val="center"/>
              <w:rPr>
                <w:rFonts w:eastAsia="Times New Roman"/>
                <w:szCs w:val="17"/>
              </w:rPr>
            </w:pPr>
            <w:r w:rsidRPr="004A192B">
              <w:rPr>
                <w:rFonts w:eastAsia="Times New Roman"/>
                <w:szCs w:val="17"/>
              </w:rPr>
              <w:t>3</w:t>
            </w:r>
          </w:p>
        </w:tc>
        <w:tc>
          <w:tcPr>
            <w:tcW w:w="16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Kangaroo Island</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auto"/>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ARTIODACTYLA</w:t>
            </w:r>
          </w:p>
        </w:tc>
        <w:tc>
          <w:tcPr>
            <w:tcW w:w="2280" w:type="dxa"/>
            <w:tcBorders>
              <w:top w:val="nil"/>
              <w:left w:val="nil"/>
              <w:bottom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single" w:sz="4" w:space="0" w:color="auto"/>
            </w:tcBorders>
            <w:shd w:val="clear" w:color="auto" w:fill="auto"/>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Bovidae</w:t>
            </w:r>
          </w:p>
        </w:tc>
        <w:tc>
          <w:tcPr>
            <w:tcW w:w="2280" w:type="dxa"/>
            <w:tcBorders>
              <w:top w:val="nil"/>
              <w:left w:val="nil"/>
              <w:right w:val="single" w:sz="4" w:space="0" w:color="auto"/>
            </w:tcBorders>
            <w:shd w:val="clear" w:color="auto" w:fill="auto"/>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auto"/>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single" w:sz="4" w:space="0" w:color="auto"/>
            </w:tcBorders>
            <w:shd w:val="clear" w:color="auto" w:fill="auto"/>
            <w:hideMark/>
          </w:tcPr>
          <w:p w:rsidR="004A192B" w:rsidRPr="004A192B" w:rsidRDefault="004A192B" w:rsidP="004A192B">
            <w:pPr>
              <w:jc w:val="left"/>
              <w:rPr>
                <w:rFonts w:eastAsia="Times New Roman"/>
                <w:i/>
                <w:iCs/>
                <w:szCs w:val="17"/>
              </w:rPr>
            </w:pPr>
            <w:r w:rsidRPr="004A192B">
              <w:rPr>
                <w:rFonts w:eastAsia="Times New Roman"/>
                <w:i/>
                <w:iCs/>
                <w:szCs w:val="17"/>
              </w:rPr>
              <w:t>Capra hircus</w:t>
            </w:r>
          </w:p>
        </w:tc>
        <w:tc>
          <w:tcPr>
            <w:tcW w:w="2280" w:type="dxa"/>
            <w:tcBorders>
              <w:top w:val="nil"/>
              <w:left w:val="nil"/>
              <w:bottom w:val="single" w:sz="4" w:space="0" w:color="auto"/>
              <w:right w:val="single" w:sz="4" w:space="0" w:color="auto"/>
            </w:tcBorders>
            <w:shd w:val="clear" w:color="auto" w:fill="auto"/>
            <w:hideMark/>
          </w:tcPr>
          <w:p w:rsidR="004A192B" w:rsidRPr="004A192B" w:rsidRDefault="004A192B" w:rsidP="004A192B">
            <w:pPr>
              <w:jc w:val="left"/>
              <w:rPr>
                <w:rFonts w:eastAsia="Times New Roman"/>
                <w:szCs w:val="17"/>
              </w:rPr>
            </w:pPr>
            <w:r w:rsidRPr="004A192B">
              <w:rPr>
                <w:rFonts w:eastAsia="Times New Roman"/>
                <w:szCs w:val="17"/>
              </w:rPr>
              <w:t xml:space="preserve">Goat </w:t>
            </w:r>
          </w:p>
        </w:tc>
        <w:tc>
          <w:tcPr>
            <w:tcW w:w="2160" w:type="dxa"/>
            <w:tcBorders>
              <w:top w:val="nil"/>
              <w:left w:val="nil"/>
              <w:bottom w:val="single" w:sz="4" w:space="0" w:color="auto"/>
              <w:right w:val="single" w:sz="4" w:space="0" w:color="auto"/>
            </w:tcBorders>
            <w:shd w:val="clear" w:color="auto" w:fill="auto"/>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auto"/>
            <w:noWrap/>
            <w:vAlign w:val="bottom"/>
            <w:hideMark/>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auto"/>
            <w:noWrap/>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bottom w:val="nil"/>
            </w:tcBorders>
            <w:shd w:val="clear" w:color="auto" w:fill="FFFFFF" w:themeFill="background1"/>
          </w:tcPr>
          <w:p w:rsidR="004A192B" w:rsidRPr="004A192B" w:rsidRDefault="004A192B" w:rsidP="004A192B">
            <w:pPr>
              <w:spacing w:after="0"/>
              <w:jc w:val="left"/>
              <w:rPr>
                <w:rFonts w:eastAsia="Times New Roman"/>
                <w:b/>
                <w:bCs/>
                <w:szCs w:val="17"/>
              </w:rPr>
            </w:pPr>
          </w:p>
        </w:tc>
        <w:tc>
          <w:tcPr>
            <w:tcW w:w="2280" w:type="dxa"/>
            <w:tcBorders>
              <w:top w:val="single" w:sz="4" w:space="0" w:color="auto"/>
              <w:bottom w:val="nil"/>
            </w:tcBorders>
            <w:shd w:val="clear" w:color="auto" w:fill="FFFFFF" w:themeFill="background1"/>
          </w:tcPr>
          <w:p w:rsidR="004A192B" w:rsidRPr="004A192B" w:rsidRDefault="004A192B" w:rsidP="004A192B">
            <w:pPr>
              <w:spacing w:after="0"/>
              <w:jc w:val="left"/>
              <w:rPr>
                <w:rFonts w:eastAsia="Times New Roman"/>
                <w:b/>
                <w:bCs/>
                <w:szCs w:val="17"/>
              </w:rPr>
            </w:pPr>
          </w:p>
        </w:tc>
        <w:tc>
          <w:tcPr>
            <w:tcW w:w="2160" w:type="dxa"/>
            <w:tcBorders>
              <w:top w:val="single" w:sz="4" w:space="0" w:color="auto"/>
              <w:bottom w:val="nil"/>
            </w:tcBorders>
            <w:shd w:val="clear" w:color="auto" w:fill="FFFFFF" w:themeFill="background1"/>
            <w:noWrap/>
            <w:vAlign w:val="bottom"/>
          </w:tcPr>
          <w:p w:rsidR="004A192B" w:rsidRPr="004A192B" w:rsidRDefault="004A192B" w:rsidP="004A192B">
            <w:pPr>
              <w:spacing w:after="0"/>
              <w:jc w:val="left"/>
              <w:rPr>
                <w:rFonts w:eastAsia="Times New Roman"/>
                <w:b/>
                <w:bCs/>
                <w:szCs w:val="17"/>
              </w:rPr>
            </w:pPr>
          </w:p>
        </w:tc>
        <w:tc>
          <w:tcPr>
            <w:tcW w:w="960" w:type="dxa"/>
            <w:tcBorders>
              <w:top w:val="single" w:sz="4" w:space="0" w:color="auto"/>
              <w:bottom w:val="nil"/>
            </w:tcBorders>
            <w:shd w:val="clear" w:color="auto" w:fill="FFFFFF" w:themeFill="background1"/>
            <w:noWrap/>
            <w:vAlign w:val="bottom"/>
          </w:tcPr>
          <w:p w:rsidR="004A192B" w:rsidRPr="004A192B" w:rsidRDefault="004A192B" w:rsidP="004A192B">
            <w:pPr>
              <w:spacing w:after="0"/>
              <w:jc w:val="center"/>
              <w:rPr>
                <w:rFonts w:eastAsia="Times New Roman"/>
                <w:b/>
                <w:bCs/>
                <w:szCs w:val="17"/>
              </w:rPr>
            </w:pPr>
          </w:p>
        </w:tc>
        <w:tc>
          <w:tcPr>
            <w:tcW w:w="1680" w:type="dxa"/>
            <w:tcBorders>
              <w:top w:val="single" w:sz="4" w:space="0" w:color="auto"/>
              <w:bottom w:val="nil"/>
            </w:tcBorders>
            <w:shd w:val="clear" w:color="auto" w:fill="FFFFFF" w:themeFill="background1"/>
            <w:noWrap/>
            <w:vAlign w:val="bottom"/>
          </w:tcPr>
          <w:p w:rsidR="004A192B" w:rsidRPr="004A192B" w:rsidRDefault="004A192B" w:rsidP="004A192B">
            <w:pPr>
              <w:spacing w:after="0"/>
              <w:jc w:val="left"/>
              <w:rPr>
                <w:rFonts w:eastAsia="Times New Roman"/>
                <w:b/>
                <w:bCs/>
                <w:szCs w:val="17"/>
              </w:rPr>
            </w:pPr>
          </w:p>
        </w:tc>
      </w:tr>
      <w:tr w:rsidR="004A192B" w:rsidRPr="004A192B" w:rsidTr="00805B8E">
        <w:trPr>
          <w:trHeight w:val="20"/>
        </w:trPr>
        <w:tc>
          <w:tcPr>
            <w:tcW w:w="2280" w:type="dxa"/>
            <w:tcBorders>
              <w:bottom w:val="nil"/>
            </w:tcBorders>
            <w:shd w:val="clear" w:color="auto" w:fill="FFFFFF" w:themeFill="background1"/>
          </w:tcPr>
          <w:p w:rsidR="004A192B" w:rsidRPr="004A192B" w:rsidRDefault="004A192B" w:rsidP="004A192B">
            <w:pPr>
              <w:spacing w:after="0"/>
              <w:jc w:val="left"/>
              <w:rPr>
                <w:rFonts w:eastAsia="Times New Roman"/>
                <w:b/>
                <w:bCs/>
                <w:szCs w:val="17"/>
              </w:rPr>
            </w:pPr>
          </w:p>
        </w:tc>
        <w:tc>
          <w:tcPr>
            <w:tcW w:w="2280" w:type="dxa"/>
            <w:tcBorders>
              <w:bottom w:val="nil"/>
            </w:tcBorders>
            <w:shd w:val="clear" w:color="auto" w:fill="FFFFFF" w:themeFill="background1"/>
          </w:tcPr>
          <w:p w:rsidR="004A192B" w:rsidRPr="004A192B" w:rsidRDefault="004A192B" w:rsidP="004A192B">
            <w:pPr>
              <w:spacing w:after="0"/>
              <w:jc w:val="left"/>
              <w:rPr>
                <w:rFonts w:eastAsia="Times New Roman"/>
                <w:b/>
                <w:bCs/>
                <w:szCs w:val="17"/>
              </w:rPr>
            </w:pPr>
          </w:p>
        </w:tc>
        <w:tc>
          <w:tcPr>
            <w:tcW w:w="2160" w:type="dxa"/>
            <w:tcBorders>
              <w:bottom w:val="nil"/>
            </w:tcBorders>
            <w:shd w:val="clear" w:color="auto" w:fill="FFFFFF" w:themeFill="background1"/>
            <w:noWrap/>
            <w:vAlign w:val="bottom"/>
          </w:tcPr>
          <w:p w:rsidR="004A192B" w:rsidRPr="004A192B" w:rsidRDefault="004A192B" w:rsidP="004A192B">
            <w:pPr>
              <w:spacing w:after="0"/>
              <w:jc w:val="left"/>
              <w:rPr>
                <w:rFonts w:eastAsia="Times New Roman"/>
                <w:b/>
                <w:bCs/>
                <w:szCs w:val="17"/>
              </w:rPr>
            </w:pPr>
          </w:p>
        </w:tc>
        <w:tc>
          <w:tcPr>
            <w:tcW w:w="960" w:type="dxa"/>
            <w:tcBorders>
              <w:bottom w:val="nil"/>
            </w:tcBorders>
            <w:shd w:val="clear" w:color="auto" w:fill="FFFFFF" w:themeFill="background1"/>
            <w:noWrap/>
            <w:vAlign w:val="bottom"/>
          </w:tcPr>
          <w:p w:rsidR="004A192B" w:rsidRPr="004A192B" w:rsidRDefault="004A192B" w:rsidP="004A192B">
            <w:pPr>
              <w:spacing w:after="0"/>
              <w:jc w:val="center"/>
              <w:rPr>
                <w:rFonts w:eastAsia="Times New Roman"/>
                <w:b/>
                <w:bCs/>
                <w:szCs w:val="17"/>
              </w:rPr>
            </w:pPr>
          </w:p>
        </w:tc>
        <w:tc>
          <w:tcPr>
            <w:tcW w:w="1680" w:type="dxa"/>
            <w:tcBorders>
              <w:bottom w:val="nil"/>
            </w:tcBorders>
            <w:shd w:val="clear" w:color="auto" w:fill="FFFFFF" w:themeFill="background1"/>
            <w:noWrap/>
            <w:vAlign w:val="bottom"/>
          </w:tcPr>
          <w:p w:rsidR="004A192B" w:rsidRPr="004A192B" w:rsidRDefault="004A192B" w:rsidP="004A192B">
            <w:pPr>
              <w:spacing w:after="0"/>
              <w:jc w:val="left"/>
              <w:rPr>
                <w:rFonts w:eastAsia="Times New Roman"/>
                <w:b/>
                <w:bCs/>
                <w:szCs w:val="17"/>
              </w:rPr>
            </w:pPr>
          </w:p>
        </w:tc>
      </w:tr>
      <w:tr w:rsidR="004A192B" w:rsidRPr="004A192B" w:rsidTr="00805B8E">
        <w:trPr>
          <w:trHeight w:val="20"/>
        </w:trPr>
        <w:tc>
          <w:tcPr>
            <w:tcW w:w="2280" w:type="dxa"/>
            <w:tcBorders>
              <w:bottom w:val="nil"/>
            </w:tcBorders>
            <w:shd w:val="clear" w:color="auto" w:fill="FFFFFF" w:themeFill="background1"/>
          </w:tcPr>
          <w:p w:rsidR="004A192B" w:rsidRPr="004A192B" w:rsidRDefault="004A192B" w:rsidP="004A192B">
            <w:pPr>
              <w:spacing w:after="0"/>
              <w:jc w:val="left"/>
              <w:rPr>
                <w:rFonts w:eastAsia="Times New Roman"/>
                <w:b/>
                <w:bCs/>
                <w:szCs w:val="17"/>
              </w:rPr>
            </w:pPr>
          </w:p>
        </w:tc>
        <w:tc>
          <w:tcPr>
            <w:tcW w:w="2280" w:type="dxa"/>
            <w:tcBorders>
              <w:bottom w:val="nil"/>
            </w:tcBorders>
            <w:shd w:val="clear" w:color="auto" w:fill="FFFFFF" w:themeFill="background1"/>
          </w:tcPr>
          <w:p w:rsidR="004A192B" w:rsidRPr="004A192B" w:rsidRDefault="004A192B" w:rsidP="004A192B">
            <w:pPr>
              <w:spacing w:after="0"/>
              <w:jc w:val="left"/>
              <w:rPr>
                <w:rFonts w:eastAsia="Times New Roman"/>
                <w:b/>
                <w:bCs/>
                <w:szCs w:val="17"/>
              </w:rPr>
            </w:pPr>
          </w:p>
        </w:tc>
        <w:tc>
          <w:tcPr>
            <w:tcW w:w="2160" w:type="dxa"/>
            <w:tcBorders>
              <w:bottom w:val="nil"/>
            </w:tcBorders>
            <w:shd w:val="clear" w:color="auto" w:fill="FFFFFF" w:themeFill="background1"/>
            <w:noWrap/>
            <w:vAlign w:val="bottom"/>
          </w:tcPr>
          <w:p w:rsidR="004A192B" w:rsidRPr="004A192B" w:rsidRDefault="004A192B" w:rsidP="004A192B">
            <w:pPr>
              <w:spacing w:after="0"/>
              <w:jc w:val="left"/>
              <w:rPr>
                <w:rFonts w:eastAsia="Times New Roman"/>
                <w:b/>
                <w:bCs/>
                <w:szCs w:val="17"/>
              </w:rPr>
            </w:pPr>
          </w:p>
        </w:tc>
        <w:tc>
          <w:tcPr>
            <w:tcW w:w="960" w:type="dxa"/>
            <w:tcBorders>
              <w:bottom w:val="nil"/>
            </w:tcBorders>
            <w:shd w:val="clear" w:color="auto" w:fill="FFFFFF" w:themeFill="background1"/>
            <w:noWrap/>
            <w:vAlign w:val="bottom"/>
          </w:tcPr>
          <w:p w:rsidR="004A192B" w:rsidRPr="004A192B" w:rsidRDefault="004A192B" w:rsidP="004A192B">
            <w:pPr>
              <w:spacing w:after="0"/>
              <w:jc w:val="center"/>
              <w:rPr>
                <w:rFonts w:eastAsia="Times New Roman"/>
                <w:b/>
                <w:bCs/>
                <w:szCs w:val="17"/>
              </w:rPr>
            </w:pPr>
          </w:p>
        </w:tc>
        <w:tc>
          <w:tcPr>
            <w:tcW w:w="1680" w:type="dxa"/>
            <w:tcBorders>
              <w:bottom w:val="nil"/>
            </w:tcBorders>
            <w:shd w:val="clear" w:color="auto" w:fill="FFFFFF" w:themeFill="background1"/>
            <w:noWrap/>
            <w:vAlign w:val="bottom"/>
          </w:tcPr>
          <w:p w:rsidR="004A192B" w:rsidRPr="004A192B" w:rsidRDefault="004A192B" w:rsidP="004A192B">
            <w:pPr>
              <w:spacing w:after="0"/>
              <w:jc w:val="left"/>
              <w:rPr>
                <w:rFonts w:eastAsia="Times New Roman"/>
                <w:b/>
                <w:bCs/>
                <w:szCs w:val="17"/>
              </w:rPr>
            </w:pPr>
          </w:p>
        </w:tc>
      </w:tr>
      <w:tr w:rsidR="004A192B" w:rsidRPr="004A192B" w:rsidTr="00805B8E">
        <w:trPr>
          <w:trHeight w:val="20"/>
        </w:trPr>
        <w:tc>
          <w:tcPr>
            <w:tcW w:w="2280" w:type="dxa"/>
            <w:tcBorders>
              <w:bottom w:val="nil"/>
            </w:tcBorders>
            <w:shd w:val="clear" w:color="auto" w:fill="FFFFFF" w:themeFill="background1"/>
          </w:tcPr>
          <w:p w:rsidR="004A192B" w:rsidRPr="004A192B" w:rsidRDefault="004A192B" w:rsidP="004A192B">
            <w:pPr>
              <w:spacing w:after="0"/>
              <w:jc w:val="left"/>
              <w:rPr>
                <w:rFonts w:eastAsia="Times New Roman"/>
                <w:b/>
                <w:bCs/>
                <w:szCs w:val="17"/>
              </w:rPr>
            </w:pPr>
          </w:p>
        </w:tc>
        <w:tc>
          <w:tcPr>
            <w:tcW w:w="2280" w:type="dxa"/>
            <w:tcBorders>
              <w:bottom w:val="nil"/>
            </w:tcBorders>
            <w:shd w:val="clear" w:color="auto" w:fill="FFFFFF" w:themeFill="background1"/>
          </w:tcPr>
          <w:p w:rsidR="004A192B" w:rsidRPr="004A192B" w:rsidRDefault="004A192B" w:rsidP="004A192B">
            <w:pPr>
              <w:spacing w:after="0"/>
              <w:jc w:val="left"/>
              <w:rPr>
                <w:rFonts w:eastAsia="Times New Roman"/>
                <w:b/>
                <w:bCs/>
                <w:szCs w:val="17"/>
              </w:rPr>
            </w:pPr>
          </w:p>
        </w:tc>
        <w:tc>
          <w:tcPr>
            <w:tcW w:w="2160" w:type="dxa"/>
            <w:tcBorders>
              <w:bottom w:val="nil"/>
            </w:tcBorders>
            <w:shd w:val="clear" w:color="auto" w:fill="FFFFFF" w:themeFill="background1"/>
            <w:noWrap/>
            <w:vAlign w:val="bottom"/>
          </w:tcPr>
          <w:p w:rsidR="004A192B" w:rsidRPr="004A192B" w:rsidRDefault="004A192B" w:rsidP="004A192B">
            <w:pPr>
              <w:spacing w:after="0"/>
              <w:jc w:val="left"/>
              <w:rPr>
                <w:rFonts w:eastAsia="Times New Roman"/>
                <w:b/>
                <w:bCs/>
                <w:szCs w:val="17"/>
              </w:rPr>
            </w:pPr>
          </w:p>
        </w:tc>
        <w:tc>
          <w:tcPr>
            <w:tcW w:w="960" w:type="dxa"/>
            <w:tcBorders>
              <w:bottom w:val="nil"/>
            </w:tcBorders>
            <w:shd w:val="clear" w:color="auto" w:fill="FFFFFF" w:themeFill="background1"/>
            <w:noWrap/>
            <w:vAlign w:val="bottom"/>
          </w:tcPr>
          <w:p w:rsidR="004A192B" w:rsidRPr="004A192B" w:rsidRDefault="004A192B" w:rsidP="004A192B">
            <w:pPr>
              <w:spacing w:after="0"/>
              <w:jc w:val="center"/>
              <w:rPr>
                <w:rFonts w:eastAsia="Times New Roman"/>
                <w:b/>
                <w:bCs/>
                <w:szCs w:val="17"/>
              </w:rPr>
            </w:pPr>
          </w:p>
        </w:tc>
        <w:tc>
          <w:tcPr>
            <w:tcW w:w="1680" w:type="dxa"/>
            <w:tcBorders>
              <w:bottom w:val="nil"/>
            </w:tcBorders>
            <w:shd w:val="clear" w:color="auto" w:fill="FFFFFF" w:themeFill="background1"/>
            <w:noWrap/>
            <w:vAlign w:val="bottom"/>
          </w:tcPr>
          <w:p w:rsidR="004A192B" w:rsidRPr="004A192B" w:rsidRDefault="004A192B" w:rsidP="004A192B">
            <w:pPr>
              <w:spacing w:after="0"/>
              <w:jc w:val="left"/>
              <w:rPr>
                <w:rFonts w:eastAsia="Times New Roman"/>
                <w:b/>
                <w:bCs/>
                <w:szCs w:val="17"/>
              </w:rPr>
            </w:pPr>
          </w:p>
        </w:tc>
      </w:tr>
      <w:tr w:rsidR="004A192B" w:rsidRPr="004A192B" w:rsidTr="00805B8E">
        <w:trPr>
          <w:trHeight w:val="20"/>
        </w:trPr>
        <w:tc>
          <w:tcPr>
            <w:tcW w:w="2280" w:type="dxa"/>
            <w:tcBorders>
              <w:bottom w:val="nil"/>
            </w:tcBorders>
            <w:shd w:val="clear" w:color="auto" w:fill="FFFFFF" w:themeFill="background1"/>
          </w:tcPr>
          <w:p w:rsidR="004A192B" w:rsidRPr="004A192B" w:rsidRDefault="004A192B" w:rsidP="004A192B">
            <w:pPr>
              <w:spacing w:after="0"/>
              <w:jc w:val="left"/>
              <w:rPr>
                <w:rFonts w:eastAsia="Times New Roman"/>
                <w:b/>
                <w:bCs/>
                <w:szCs w:val="17"/>
              </w:rPr>
            </w:pPr>
          </w:p>
        </w:tc>
        <w:tc>
          <w:tcPr>
            <w:tcW w:w="2280" w:type="dxa"/>
            <w:tcBorders>
              <w:bottom w:val="nil"/>
            </w:tcBorders>
            <w:shd w:val="clear" w:color="auto" w:fill="FFFFFF" w:themeFill="background1"/>
          </w:tcPr>
          <w:p w:rsidR="004A192B" w:rsidRPr="004A192B" w:rsidRDefault="004A192B" w:rsidP="004A192B">
            <w:pPr>
              <w:spacing w:after="0"/>
              <w:jc w:val="left"/>
              <w:rPr>
                <w:rFonts w:eastAsia="Times New Roman"/>
                <w:b/>
                <w:bCs/>
                <w:szCs w:val="17"/>
              </w:rPr>
            </w:pPr>
          </w:p>
        </w:tc>
        <w:tc>
          <w:tcPr>
            <w:tcW w:w="2160" w:type="dxa"/>
            <w:tcBorders>
              <w:bottom w:val="nil"/>
            </w:tcBorders>
            <w:shd w:val="clear" w:color="auto" w:fill="FFFFFF" w:themeFill="background1"/>
            <w:noWrap/>
            <w:vAlign w:val="bottom"/>
          </w:tcPr>
          <w:p w:rsidR="004A192B" w:rsidRPr="004A192B" w:rsidRDefault="004A192B" w:rsidP="004A192B">
            <w:pPr>
              <w:spacing w:after="0"/>
              <w:jc w:val="left"/>
              <w:rPr>
                <w:rFonts w:eastAsia="Times New Roman"/>
                <w:b/>
                <w:bCs/>
                <w:szCs w:val="17"/>
              </w:rPr>
            </w:pPr>
          </w:p>
        </w:tc>
        <w:tc>
          <w:tcPr>
            <w:tcW w:w="960" w:type="dxa"/>
            <w:tcBorders>
              <w:bottom w:val="nil"/>
            </w:tcBorders>
            <w:shd w:val="clear" w:color="auto" w:fill="FFFFFF" w:themeFill="background1"/>
            <w:noWrap/>
            <w:vAlign w:val="bottom"/>
          </w:tcPr>
          <w:p w:rsidR="004A192B" w:rsidRPr="004A192B" w:rsidRDefault="004A192B" w:rsidP="004A192B">
            <w:pPr>
              <w:spacing w:after="0"/>
              <w:jc w:val="center"/>
              <w:rPr>
                <w:rFonts w:eastAsia="Times New Roman"/>
                <w:b/>
                <w:bCs/>
                <w:szCs w:val="17"/>
              </w:rPr>
            </w:pPr>
          </w:p>
        </w:tc>
        <w:tc>
          <w:tcPr>
            <w:tcW w:w="1680" w:type="dxa"/>
            <w:tcBorders>
              <w:bottom w:val="nil"/>
            </w:tcBorders>
            <w:shd w:val="clear" w:color="auto" w:fill="FFFFFF" w:themeFill="background1"/>
            <w:noWrap/>
            <w:vAlign w:val="bottom"/>
          </w:tcPr>
          <w:p w:rsidR="004A192B" w:rsidRPr="004A192B" w:rsidRDefault="004A192B" w:rsidP="004A192B">
            <w:pPr>
              <w:spacing w:after="0"/>
              <w:jc w:val="left"/>
              <w:rPr>
                <w:rFonts w:eastAsia="Times New Roman"/>
                <w:b/>
                <w:bCs/>
                <w:szCs w:val="17"/>
              </w:rPr>
            </w:pPr>
          </w:p>
        </w:tc>
      </w:tr>
      <w:tr w:rsidR="004A192B" w:rsidRPr="004A192B" w:rsidTr="00805B8E">
        <w:trPr>
          <w:trHeight w:val="20"/>
        </w:trPr>
        <w:tc>
          <w:tcPr>
            <w:tcW w:w="2280" w:type="dxa"/>
            <w:tcBorders>
              <w:bottom w:val="nil"/>
            </w:tcBorders>
            <w:shd w:val="clear" w:color="auto" w:fill="FFFFFF" w:themeFill="background1"/>
          </w:tcPr>
          <w:p w:rsidR="004A192B" w:rsidRPr="004A192B" w:rsidRDefault="004A192B" w:rsidP="004A192B">
            <w:pPr>
              <w:spacing w:after="0"/>
              <w:jc w:val="left"/>
              <w:rPr>
                <w:rFonts w:eastAsia="Times New Roman"/>
                <w:b/>
                <w:bCs/>
                <w:szCs w:val="17"/>
              </w:rPr>
            </w:pPr>
          </w:p>
        </w:tc>
        <w:tc>
          <w:tcPr>
            <w:tcW w:w="2280" w:type="dxa"/>
            <w:tcBorders>
              <w:bottom w:val="nil"/>
            </w:tcBorders>
            <w:shd w:val="clear" w:color="auto" w:fill="FFFFFF" w:themeFill="background1"/>
          </w:tcPr>
          <w:p w:rsidR="004A192B" w:rsidRPr="004A192B" w:rsidRDefault="004A192B" w:rsidP="004A192B">
            <w:pPr>
              <w:spacing w:after="0"/>
              <w:jc w:val="left"/>
              <w:rPr>
                <w:rFonts w:eastAsia="Times New Roman"/>
                <w:b/>
                <w:bCs/>
                <w:szCs w:val="17"/>
              </w:rPr>
            </w:pPr>
          </w:p>
        </w:tc>
        <w:tc>
          <w:tcPr>
            <w:tcW w:w="2160" w:type="dxa"/>
            <w:tcBorders>
              <w:bottom w:val="nil"/>
            </w:tcBorders>
            <w:shd w:val="clear" w:color="auto" w:fill="FFFFFF" w:themeFill="background1"/>
            <w:noWrap/>
            <w:vAlign w:val="bottom"/>
          </w:tcPr>
          <w:p w:rsidR="004A192B" w:rsidRPr="004A192B" w:rsidRDefault="004A192B" w:rsidP="004A192B">
            <w:pPr>
              <w:spacing w:after="0"/>
              <w:jc w:val="left"/>
              <w:rPr>
                <w:rFonts w:eastAsia="Times New Roman"/>
                <w:b/>
                <w:bCs/>
                <w:szCs w:val="17"/>
              </w:rPr>
            </w:pPr>
          </w:p>
        </w:tc>
        <w:tc>
          <w:tcPr>
            <w:tcW w:w="960" w:type="dxa"/>
            <w:tcBorders>
              <w:bottom w:val="nil"/>
            </w:tcBorders>
            <w:shd w:val="clear" w:color="auto" w:fill="FFFFFF" w:themeFill="background1"/>
            <w:noWrap/>
            <w:vAlign w:val="bottom"/>
          </w:tcPr>
          <w:p w:rsidR="004A192B" w:rsidRPr="004A192B" w:rsidRDefault="004A192B" w:rsidP="004A192B">
            <w:pPr>
              <w:spacing w:after="0"/>
              <w:jc w:val="center"/>
              <w:rPr>
                <w:rFonts w:eastAsia="Times New Roman"/>
                <w:b/>
                <w:bCs/>
                <w:szCs w:val="17"/>
              </w:rPr>
            </w:pPr>
          </w:p>
        </w:tc>
        <w:tc>
          <w:tcPr>
            <w:tcW w:w="1680" w:type="dxa"/>
            <w:tcBorders>
              <w:bottom w:val="nil"/>
            </w:tcBorders>
            <w:shd w:val="clear" w:color="auto" w:fill="FFFFFF" w:themeFill="background1"/>
            <w:noWrap/>
            <w:vAlign w:val="bottom"/>
          </w:tcPr>
          <w:p w:rsidR="004A192B" w:rsidRPr="004A192B" w:rsidRDefault="004A192B" w:rsidP="004A192B">
            <w:pPr>
              <w:spacing w:after="0"/>
              <w:jc w:val="left"/>
              <w:rPr>
                <w:rFonts w:eastAsia="Times New Roman"/>
                <w:b/>
                <w:bCs/>
                <w:szCs w:val="17"/>
              </w:rPr>
            </w:pPr>
          </w:p>
        </w:tc>
      </w:tr>
      <w:tr w:rsidR="004A192B" w:rsidRPr="004A192B" w:rsidTr="00805B8E">
        <w:trPr>
          <w:trHeight w:val="20"/>
        </w:trPr>
        <w:tc>
          <w:tcPr>
            <w:tcW w:w="2280" w:type="dxa"/>
            <w:tcBorders>
              <w:bottom w:val="nil"/>
            </w:tcBorders>
            <w:shd w:val="clear" w:color="auto" w:fill="FFFFFF" w:themeFill="background1"/>
          </w:tcPr>
          <w:p w:rsidR="004A192B" w:rsidRPr="004A192B" w:rsidRDefault="004A192B" w:rsidP="004A192B">
            <w:pPr>
              <w:spacing w:after="0"/>
              <w:jc w:val="left"/>
              <w:rPr>
                <w:rFonts w:eastAsia="Times New Roman"/>
                <w:b/>
                <w:bCs/>
                <w:szCs w:val="17"/>
              </w:rPr>
            </w:pPr>
          </w:p>
        </w:tc>
        <w:tc>
          <w:tcPr>
            <w:tcW w:w="2280" w:type="dxa"/>
            <w:tcBorders>
              <w:bottom w:val="nil"/>
            </w:tcBorders>
            <w:shd w:val="clear" w:color="auto" w:fill="FFFFFF" w:themeFill="background1"/>
          </w:tcPr>
          <w:p w:rsidR="004A192B" w:rsidRPr="004A192B" w:rsidRDefault="004A192B" w:rsidP="004A192B">
            <w:pPr>
              <w:spacing w:after="0"/>
              <w:jc w:val="left"/>
              <w:rPr>
                <w:rFonts w:eastAsia="Times New Roman"/>
                <w:b/>
                <w:bCs/>
                <w:szCs w:val="17"/>
              </w:rPr>
            </w:pPr>
          </w:p>
        </w:tc>
        <w:tc>
          <w:tcPr>
            <w:tcW w:w="2160" w:type="dxa"/>
            <w:tcBorders>
              <w:bottom w:val="nil"/>
            </w:tcBorders>
            <w:shd w:val="clear" w:color="auto" w:fill="FFFFFF" w:themeFill="background1"/>
            <w:noWrap/>
            <w:vAlign w:val="bottom"/>
          </w:tcPr>
          <w:p w:rsidR="004A192B" w:rsidRPr="004A192B" w:rsidRDefault="004A192B" w:rsidP="004A192B">
            <w:pPr>
              <w:spacing w:after="0"/>
              <w:jc w:val="left"/>
              <w:rPr>
                <w:rFonts w:eastAsia="Times New Roman"/>
                <w:b/>
                <w:bCs/>
                <w:szCs w:val="17"/>
              </w:rPr>
            </w:pPr>
          </w:p>
        </w:tc>
        <w:tc>
          <w:tcPr>
            <w:tcW w:w="960" w:type="dxa"/>
            <w:tcBorders>
              <w:bottom w:val="nil"/>
            </w:tcBorders>
            <w:shd w:val="clear" w:color="auto" w:fill="FFFFFF" w:themeFill="background1"/>
            <w:noWrap/>
            <w:vAlign w:val="bottom"/>
          </w:tcPr>
          <w:p w:rsidR="004A192B" w:rsidRPr="004A192B" w:rsidRDefault="004A192B" w:rsidP="004A192B">
            <w:pPr>
              <w:spacing w:after="0"/>
              <w:jc w:val="center"/>
              <w:rPr>
                <w:rFonts w:eastAsia="Times New Roman"/>
                <w:b/>
                <w:bCs/>
                <w:szCs w:val="17"/>
              </w:rPr>
            </w:pPr>
          </w:p>
        </w:tc>
        <w:tc>
          <w:tcPr>
            <w:tcW w:w="1680" w:type="dxa"/>
            <w:tcBorders>
              <w:bottom w:val="nil"/>
            </w:tcBorders>
            <w:shd w:val="clear" w:color="auto" w:fill="FFFFFF" w:themeFill="background1"/>
            <w:noWrap/>
            <w:vAlign w:val="bottom"/>
          </w:tcPr>
          <w:p w:rsidR="004A192B" w:rsidRPr="004A192B" w:rsidRDefault="004A192B" w:rsidP="004A192B">
            <w:pPr>
              <w:spacing w:after="0"/>
              <w:jc w:val="left"/>
              <w:rPr>
                <w:rFonts w:eastAsia="Times New Roman"/>
                <w:b/>
                <w:bCs/>
                <w:szCs w:val="17"/>
              </w:rPr>
            </w:pPr>
          </w:p>
        </w:tc>
      </w:tr>
      <w:tr w:rsidR="004A192B" w:rsidRPr="004A192B" w:rsidTr="00805B8E">
        <w:trPr>
          <w:trHeight w:val="20"/>
        </w:trPr>
        <w:tc>
          <w:tcPr>
            <w:tcW w:w="2280" w:type="dxa"/>
            <w:tcBorders>
              <w:bottom w:val="nil"/>
            </w:tcBorders>
            <w:shd w:val="clear" w:color="auto" w:fill="FFFFFF" w:themeFill="background1"/>
          </w:tcPr>
          <w:p w:rsidR="004A192B" w:rsidRPr="004A192B" w:rsidRDefault="004A192B" w:rsidP="004A192B">
            <w:pPr>
              <w:spacing w:after="0"/>
              <w:jc w:val="left"/>
              <w:rPr>
                <w:rFonts w:eastAsia="Times New Roman"/>
                <w:b/>
                <w:bCs/>
                <w:szCs w:val="17"/>
              </w:rPr>
            </w:pPr>
          </w:p>
        </w:tc>
        <w:tc>
          <w:tcPr>
            <w:tcW w:w="2280" w:type="dxa"/>
            <w:tcBorders>
              <w:bottom w:val="nil"/>
            </w:tcBorders>
            <w:shd w:val="clear" w:color="auto" w:fill="FFFFFF" w:themeFill="background1"/>
          </w:tcPr>
          <w:p w:rsidR="004A192B" w:rsidRPr="004A192B" w:rsidRDefault="004A192B" w:rsidP="004A192B">
            <w:pPr>
              <w:spacing w:after="0"/>
              <w:jc w:val="left"/>
              <w:rPr>
                <w:rFonts w:eastAsia="Times New Roman"/>
                <w:b/>
                <w:bCs/>
                <w:szCs w:val="17"/>
              </w:rPr>
            </w:pPr>
          </w:p>
        </w:tc>
        <w:tc>
          <w:tcPr>
            <w:tcW w:w="2160" w:type="dxa"/>
            <w:tcBorders>
              <w:bottom w:val="nil"/>
            </w:tcBorders>
            <w:shd w:val="clear" w:color="auto" w:fill="FFFFFF" w:themeFill="background1"/>
            <w:noWrap/>
            <w:vAlign w:val="bottom"/>
          </w:tcPr>
          <w:p w:rsidR="004A192B" w:rsidRPr="004A192B" w:rsidRDefault="004A192B" w:rsidP="004A192B">
            <w:pPr>
              <w:spacing w:after="0"/>
              <w:jc w:val="left"/>
              <w:rPr>
                <w:rFonts w:eastAsia="Times New Roman"/>
                <w:b/>
                <w:bCs/>
                <w:szCs w:val="17"/>
              </w:rPr>
            </w:pPr>
          </w:p>
        </w:tc>
        <w:tc>
          <w:tcPr>
            <w:tcW w:w="960" w:type="dxa"/>
            <w:tcBorders>
              <w:bottom w:val="nil"/>
            </w:tcBorders>
            <w:shd w:val="clear" w:color="auto" w:fill="FFFFFF" w:themeFill="background1"/>
            <w:noWrap/>
            <w:vAlign w:val="bottom"/>
          </w:tcPr>
          <w:p w:rsidR="004A192B" w:rsidRPr="004A192B" w:rsidRDefault="004A192B" w:rsidP="004A192B">
            <w:pPr>
              <w:spacing w:after="0"/>
              <w:jc w:val="center"/>
              <w:rPr>
                <w:rFonts w:eastAsia="Times New Roman"/>
                <w:b/>
                <w:bCs/>
                <w:szCs w:val="17"/>
              </w:rPr>
            </w:pPr>
          </w:p>
        </w:tc>
        <w:tc>
          <w:tcPr>
            <w:tcW w:w="1680" w:type="dxa"/>
            <w:tcBorders>
              <w:bottom w:val="nil"/>
            </w:tcBorders>
            <w:shd w:val="clear" w:color="auto" w:fill="FFFFFF" w:themeFill="background1"/>
            <w:noWrap/>
            <w:vAlign w:val="bottom"/>
          </w:tcPr>
          <w:p w:rsidR="004A192B" w:rsidRPr="004A192B" w:rsidRDefault="004A192B" w:rsidP="004A192B">
            <w:pPr>
              <w:spacing w:after="0"/>
              <w:jc w:val="left"/>
              <w:rPr>
                <w:rFonts w:eastAsia="Times New Roman"/>
                <w:b/>
                <w:bCs/>
                <w:szCs w:val="17"/>
              </w:rPr>
            </w:pP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FFFFFF" w:themeFill="background1"/>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23</w:t>
            </w:r>
          </w:p>
        </w:tc>
        <w:tc>
          <w:tcPr>
            <w:tcW w:w="2280" w:type="dxa"/>
            <w:tcBorders>
              <w:top w:val="single" w:sz="4" w:space="0" w:color="auto"/>
              <w:left w:val="nil"/>
              <w:bottom w:val="nil"/>
              <w:right w:val="single" w:sz="4" w:space="0" w:color="auto"/>
            </w:tcBorders>
            <w:shd w:val="clear" w:color="auto" w:fill="FFFFFF" w:themeFill="background1"/>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FFFFFF" w:themeFill="background1"/>
            <w:noWrap/>
            <w:vAlign w:val="bottom"/>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FFFFFF" w:themeFill="background1"/>
            <w:noWrap/>
            <w:vAlign w:val="bottom"/>
            <w:hideMark/>
          </w:tcPr>
          <w:p w:rsidR="004A192B" w:rsidRPr="004A192B" w:rsidRDefault="004A192B" w:rsidP="004A192B">
            <w:pPr>
              <w:spacing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FFFFFF" w:themeFill="background1"/>
            <w:noWrap/>
            <w:vAlign w:val="bottom"/>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FFFFFF" w:themeFill="background1"/>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FFFFFF" w:themeFill="background1"/>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FFFFFF" w:themeFill="background1"/>
            <w:hideMark/>
          </w:tcPr>
          <w:p w:rsidR="004A192B" w:rsidRPr="004A192B" w:rsidRDefault="004A192B" w:rsidP="004A192B">
            <w:pPr>
              <w:spacing w:after="0"/>
              <w:jc w:val="left"/>
              <w:rPr>
                <w:rFonts w:eastAsia="Times New Roman"/>
                <w:szCs w:val="17"/>
              </w:rPr>
            </w:pPr>
            <w:r w:rsidRPr="004A192B">
              <w:rPr>
                <w:rFonts w:eastAsia="Times New Roman"/>
                <w:szCs w:val="17"/>
              </w:rPr>
              <w:t>186(1)(3), 187(1), 188, 189, 190, 192(1)</w:t>
            </w:r>
          </w:p>
        </w:tc>
        <w:tc>
          <w:tcPr>
            <w:tcW w:w="960" w:type="dxa"/>
            <w:tcBorders>
              <w:top w:val="nil"/>
              <w:left w:val="nil"/>
              <w:bottom w:val="nil"/>
              <w:right w:val="single" w:sz="4" w:space="0" w:color="auto"/>
            </w:tcBorders>
            <w:shd w:val="clear" w:color="auto" w:fill="FFFFFF" w:themeFill="background1"/>
            <w:noWrap/>
            <w:vAlign w:val="center"/>
            <w:hideMark/>
          </w:tcPr>
          <w:p w:rsidR="004A192B" w:rsidRPr="004A192B" w:rsidRDefault="004A192B" w:rsidP="004A192B">
            <w:pPr>
              <w:spacing w:after="0"/>
              <w:jc w:val="center"/>
              <w:rPr>
                <w:rFonts w:eastAsia="Times New Roman"/>
                <w:szCs w:val="17"/>
              </w:rPr>
            </w:pPr>
            <w:r w:rsidRPr="004A192B">
              <w:rPr>
                <w:rFonts w:eastAsia="Times New Roman"/>
                <w:szCs w:val="17"/>
              </w:rPr>
              <w:t>3</w:t>
            </w:r>
          </w:p>
        </w:tc>
        <w:tc>
          <w:tcPr>
            <w:tcW w:w="1680" w:type="dxa"/>
            <w:tcBorders>
              <w:top w:val="nil"/>
              <w:left w:val="nil"/>
              <w:bottom w:val="nil"/>
              <w:right w:val="single" w:sz="4" w:space="0" w:color="auto"/>
            </w:tcBorders>
            <w:shd w:val="clear" w:color="auto" w:fill="FFFFFF" w:themeFill="background1"/>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Whole of the State (excluding any areas specified in other classes</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FFFFFF" w:themeFill="background1"/>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FFFFFF" w:themeFill="background1"/>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FFFFFF" w:themeFill="background1"/>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FFFFFF" w:themeFill="background1"/>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FFFFFF" w:themeFill="background1"/>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FFFFFF" w:themeFill="background1"/>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ARTIODACTYLA</w:t>
            </w:r>
          </w:p>
        </w:tc>
        <w:tc>
          <w:tcPr>
            <w:tcW w:w="2280" w:type="dxa"/>
            <w:tcBorders>
              <w:top w:val="nil"/>
              <w:left w:val="nil"/>
              <w:bottom w:val="nil"/>
              <w:right w:val="single" w:sz="4" w:space="0" w:color="auto"/>
            </w:tcBorders>
            <w:shd w:val="clear" w:color="auto" w:fill="FFFFFF" w:themeFill="background1"/>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FFFFFF" w:themeFill="background1"/>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FFFFFF" w:themeFill="background1"/>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FFFFFF" w:themeFill="background1"/>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FFFFFF" w:themeFill="background1"/>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Suidae</w:t>
            </w:r>
          </w:p>
        </w:tc>
        <w:tc>
          <w:tcPr>
            <w:tcW w:w="2280" w:type="dxa"/>
            <w:tcBorders>
              <w:top w:val="nil"/>
              <w:left w:val="nil"/>
              <w:bottom w:val="nil"/>
              <w:right w:val="single" w:sz="4" w:space="0" w:color="auto"/>
            </w:tcBorders>
            <w:shd w:val="clear" w:color="auto" w:fill="FFFFFF" w:themeFill="background1"/>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FFFFFF" w:themeFill="background1"/>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FFFFFF" w:themeFill="background1"/>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FFFFFF" w:themeFill="background1"/>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single" w:sz="4" w:space="0" w:color="auto"/>
            </w:tcBorders>
            <w:shd w:val="clear" w:color="auto" w:fill="FFFFFF" w:themeFill="background1"/>
            <w:hideMark/>
          </w:tcPr>
          <w:p w:rsidR="004A192B" w:rsidRPr="004A192B" w:rsidRDefault="004A192B" w:rsidP="004A192B">
            <w:pPr>
              <w:jc w:val="left"/>
              <w:rPr>
                <w:rFonts w:eastAsia="Times New Roman"/>
                <w:i/>
                <w:iCs/>
                <w:szCs w:val="17"/>
              </w:rPr>
            </w:pPr>
            <w:r w:rsidRPr="004A192B">
              <w:rPr>
                <w:rFonts w:eastAsia="Times New Roman"/>
                <w:i/>
                <w:iCs/>
                <w:szCs w:val="17"/>
              </w:rPr>
              <w:t>Sus scrofa</w:t>
            </w:r>
          </w:p>
        </w:tc>
        <w:tc>
          <w:tcPr>
            <w:tcW w:w="2280" w:type="dxa"/>
            <w:tcBorders>
              <w:top w:val="nil"/>
              <w:left w:val="nil"/>
              <w:bottom w:val="single" w:sz="4" w:space="0" w:color="auto"/>
              <w:right w:val="single" w:sz="4" w:space="0" w:color="auto"/>
            </w:tcBorders>
            <w:shd w:val="clear" w:color="auto" w:fill="FFFFFF" w:themeFill="background1"/>
            <w:hideMark/>
          </w:tcPr>
          <w:p w:rsidR="004A192B" w:rsidRPr="004A192B" w:rsidRDefault="004A192B" w:rsidP="004A192B">
            <w:pPr>
              <w:jc w:val="left"/>
              <w:rPr>
                <w:rFonts w:eastAsia="Times New Roman"/>
                <w:szCs w:val="17"/>
              </w:rPr>
            </w:pPr>
            <w:r w:rsidRPr="004A192B">
              <w:rPr>
                <w:rFonts w:eastAsia="Times New Roman"/>
                <w:szCs w:val="17"/>
              </w:rPr>
              <w:t>Feral Pig, Wild Pig</w:t>
            </w:r>
          </w:p>
        </w:tc>
        <w:tc>
          <w:tcPr>
            <w:tcW w:w="2160" w:type="dxa"/>
            <w:tcBorders>
              <w:top w:val="nil"/>
              <w:left w:val="nil"/>
              <w:bottom w:val="single" w:sz="4" w:space="0" w:color="auto"/>
              <w:right w:val="single" w:sz="4" w:space="0" w:color="auto"/>
            </w:tcBorders>
            <w:shd w:val="clear" w:color="auto" w:fill="FFFFFF" w:themeFill="background1"/>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FFFFFF" w:themeFill="background1"/>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FFFFFF" w:themeFill="background1"/>
            <w:hideMark/>
          </w:tcPr>
          <w:p w:rsidR="004A192B" w:rsidRPr="004A192B" w:rsidRDefault="004A192B" w:rsidP="004A192B">
            <w:pPr>
              <w:spacing w:before="120" w:after="0"/>
              <w:jc w:val="left"/>
              <w:rPr>
                <w:rFonts w:eastAsia="Times New Roman"/>
                <w:b/>
                <w:bCs/>
                <w:szCs w:val="17"/>
              </w:rPr>
            </w:pPr>
            <w:r w:rsidRPr="004A192B">
              <w:rPr>
                <w:rFonts w:eastAsia="Times New Roman"/>
                <w:b/>
                <w:bCs/>
                <w:szCs w:val="17"/>
              </w:rPr>
              <w:t>CLASS 24</w:t>
            </w:r>
          </w:p>
        </w:tc>
        <w:tc>
          <w:tcPr>
            <w:tcW w:w="2280" w:type="dxa"/>
            <w:tcBorders>
              <w:top w:val="single" w:sz="4" w:space="0" w:color="auto"/>
              <w:left w:val="nil"/>
              <w:bottom w:val="nil"/>
              <w:right w:val="single" w:sz="4" w:space="0" w:color="auto"/>
            </w:tcBorders>
            <w:shd w:val="clear" w:color="auto" w:fill="FFFFFF" w:themeFill="background1"/>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2160" w:type="dxa"/>
            <w:tcBorders>
              <w:top w:val="single" w:sz="4" w:space="0" w:color="auto"/>
              <w:left w:val="nil"/>
              <w:bottom w:val="nil"/>
              <w:right w:val="single" w:sz="4" w:space="0" w:color="auto"/>
            </w:tcBorders>
            <w:shd w:val="clear" w:color="auto" w:fill="FFFFFF" w:themeFill="background1"/>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c>
          <w:tcPr>
            <w:tcW w:w="960" w:type="dxa"/>
            <w:tcBorders>
              <w:top w:val="single" w:sz="4" w:space="0" w:color="auto"/>
              <w:left w:val="nil"/>
              <w:bottom w:val="nil"/>
              <w:right w:val="single" w:sz="4" w:space="0" w:color="auto"/>
            </w:tcBorders>
            <w:shd w:val="clear" w:color="auto" w:fill="FFFFFF" w:themeFill="background1"/>
            <w:noWrap/>
            <w:vAlign w:val="bottom"/>
            <w:hideMark/>
          </w:tcPr>
          <w:p w:rsidR="004A192B" w:rsidRPr="004A192B" w:rsidRDefault="004A192B" w:rsidP="004A192B">
            <w:pPr>
              <w:spacing w:before="80" w:after="0"/>
              <w:jc w:val="center"/>
              <w:rPr>
                <w:rFonts w:eastAsia="Times New Roman"/>
                <w:b/>
                <w:bCs/>
                <w:szCs w:val="17"/>
              </w:rPr>
            </w:pPr>
          </w:p>
        </w:tc>
        <w:tc>
          <w:tcPr>
            <w:tcW w:w="1680" w:type="dxa"/>
            <w:tcBorders>
              <w:top w:val="single" w:sz="4" w:space="0" w:color="auto"/>
              <w:left w:val="nil"/>
              <w:bottom w:val="nil"/>
              <w:right w:val="single" w:sz="4" w:space="0" w:color="auto"/>
            </w:tcBorders>
            <w:shd w:val="clear" w:color="auto" w:fill="FFFFFF" w:themeFill="background1"/>
            <w:noWrap/>
            <w:vAlign w:val="bottom"/>
            <w:hideMark/>
          </w:tcPr>
          <w:p w:rsidR="004A192B" w:rsidRPr="004A192B" w:rsidRDefault="004A192B" w:rsidP="004A192B">
            <w:pPr>
              <w:spacing w:before="80" w:after="0"/>
              <w:jc w:val="left"/>
              <w:rPr>
                <w:rFonts w:eastAsia="Times New Roman"/>
                <w:b/>
                <w:bCs/>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FFFFFF" w:themeFill="background1"/>
            <w:hideMark/>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nil"/>
              <w:bottom w:val="nil"/>
              <w:right w:val="single" w:sz="4" w:space="0" w:color="auto"/>
            </w:tcBorders>
            <w:shd w:val="clear" w:color="auto" w:fill="FFFFFF" w:themeFill="background1"/>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FFFFFF" w:themeFill="background1"/>
            <w:vAlign w:val="center"/>
            <w:hideMark/>
          </w:tcPr>
          <w:p w:rsidR="004A192B" w:rsidRPr="004A192B" w:rsidRDefault="004A192B" w:rsidP="004A192B">
            <w:pPr>
              <w:spacing w:after="0"/>
              <w:jc w:val="left"/>
              <w:rPr>
                <w:rFonts w:eastAsia="Times New Roman"/>
                <w:szCs w:val="17"/>
              </w:rPr>
            </w:pPr>
            <w:r w:rsidRPr="004A192B">
              <w:rPr>
                <w:rFonts w:eastAsia="Times New Roman"/>
                <w:szCs w:val="17"/>
              </w:rPr>
              <w:t>186(1)(3), 187(1), 188(1), 189, 192(1)</w:t>
            </w:r>
          </w:p>
        </w:tc>
        <w:tc>
          <w:tcPr>
            <w:tcW w:w="960" w:type="dxa"/>
            <w:tcBorders>
              <w:top w:val="nil"/>
              <w:left w:val="nil"/>
              <w:bottom w:val="nil"/>
              <w:right w:val="single" w:sz="4" w:space="0" w:color="auto"/>
            </w:tcBorders>
            <w:shd w:val="clear" w:color="auto" w:fill="FFFFFF" w:themeFill="background1"/>
            <w:noWrap/>
            <w:vAlign w:val="center"/>
            <w:hideMark/>
          </w:tcPr>
          <w:p w:rsidR="004A192B" w:rsidRPr="004A192B" w:rsidRDefault="004A192B" w:rsidP="004A192B">
            <w:pPr>
              <w:spacing w:after="0"/>
              <w:jc w:val="center"/>
              <w:rPr>
                <w:rFonts w:eastAsia="Times New Roman"/>
                <w:szCs w:val="17"/>
              </w:rPr>
            </w:pPr>
            <w:r w:rsidRPr="004A192B">
              <w:rPr>
                <w:rFonts w:eastAsia="Times New Roman"/>
                <w:szCs w:val="17"/>
              </w:rPr>
              <w:t>3</w:t>
            </w:r>
          </w:p>
        </w:tc>
        <w:tc>
          <w:tcPr>
            <w:tcW w:w="1680" w:type="dxa"/>
            <w:tcBorders>
              <w:top w:val="nil"/>
              <w:left w:val="nil"/>
              <w:bottom w:val="nil"/>
              <w:right w:val="single" w:sz="4" w:space="0" w:color="auto"/>
            </w:tcBorders>
            <w:shd w:val="clear" w:color="auto" w:fill="FFFFFF" w:themeFill="background1"/>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Kangaroo Island</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FFFFFF" w:themeFill="background1"/>
            <w:hideMark/>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nil"/>
              <w:bottom w:val="nil"/>
              <w:right w:val="single" w:sz="4" w:space="0" w:color="auto"/>
            </w:tcBorders>
            <w:shd w:val="clear" w:color="auto" w:fill="FFFFFF" w:themeFill="background1"/>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FFFFFF" w:themeFill="background1"/>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FFFFFF" w:themeFill="background1"/>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FFFFFF" w:themeFill="background1"/>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FFFFFF" w:themeFill="background1"/>
            <w:hideMark/>
          </w:tcPr>
          <w:p w:rsidR="004A192B" w:rsidRPr="004A192B" w:rsidRDefault="004A192B" w:rsidP="004A192B">
            <w:pPr>
              <w:spacing w:after="0"/>
              <w:jc w:val="left"/>
              <w:rPr>
                <w:rFonts w:eastAsia="Times New Roman"/>
                <w:b/>
                <w:bCs/>
                <w:szCs w:val="17"/>
              </w:rPr>
            </w:pPr>
            <w:r w:rsidRPr="004A192B">
              <w:rPr>
                <w:rFonts w:eastAsia="Times New Roman"/>
                <w:b/>
                <w:bCs/>
                <w:szCs w:val="17"/>
              </w:rPr>
              <w:t>ARTIODACTYLA</w:t>
            </w:r>
          </w:p>
        </w:tc>
        <w:tc>
          <w:tcPr>
            <w:tcW w:w="2280" w:type="dxa"/>
            <w:tcBorders>
              <w:top w:val="nil"/>
              <w:left w:val="nil"/>
              <w:bottom w:val="nil"/>
              <w:right w:val="single" w:sz="4" w:space="0" w:color="auto"/>
            </w:tcBorders>
            <w:shd w:val="clear" w:color="auto" w:fill="FFFFFF" w:themeFill="background1"/>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bottom w:val="nil"/>
              <w:right w:val="single" w:sz="4" w:space="0" w:color="auto"/>
            </w:tcBorders>
            <w:shd w:val="clear" w:color="auto" w:fill="FFFFFF" w:themeFill="background1"/>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bottom w:val="nil"/>
              <w:right w:val="single" w:sz="4" w:space="0" w:color="auto"/>
            </w:tcBorders>
            <w:shd w:val="clear" w:color="auto" w:fill="FFFFFF" w:themeFill="background1"/>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bottom w:val="nil"/>
              <w:right w:val="single" w:sz="4" w:space="0" w:color="auto"/>
            </w:tcBorders>
            <w:shd w:val="clear" w:color="auto" w:fill="FFFFFF" w:themeFill="background1"/>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right w:val="single" w:sz="4" w:space="0" w:color="auto"/>
            </w:tcBorders>
            <w:shd w:val="clear" w:color="auto" w:fill="FFFFFF" w:themeFill="background1"/>
            <w:hideMark/>
          </w:tcPr>
          <w:p w:rsidR="004A192B" w:rsidRPr="004A192B" w:rsidRDefault="004A192B" w:rsidP="004A192B">
            <w:pPr>
              <w:spacing w:after="0"/>
              <w:jc w:val="left"/>
              <w:rPr>
                <w:rFonts w:eastAsia="Times New Roman"/>
                <w:b/>
                <w:bCs/>
                <w:szCs w:val="17"/>
                <w:u w:val="single"/>
              </w:rPr>
            </w:pPr>
            <w:r w:rsidRPr="004A192B">
              <w:rPr>
                <w:rFonts w:eastAsia="Times New Roman"/>
                <w:b/>
                <w:bCs/>
                <w:szCs w:val="17"/>
                <w:u w:val="single"/>
              </w:rPr>
              <w:t>Suidae</w:t>
            </w:r>
          </w:p>
        </w:tc>
        <w:tc>
          <w:tcPr>
            <w:tcW w:w="2280" w:type="dxa"/>
            <w:tcBorders>
              <w:top w:val="nil"/>
              <w:left w:val="nil"/>
              <w:right w:val="single" w:sz="4" w:space="0" w:color="auto"/>
            </w:tcBorders>
            <w:shd w:val="clear" w:color="auto" w:fill="FFFFFF" w:themeFill="background1"/>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nil"/>
              <w:right w:val="single" w:sz="4" w:space="0" w:color="auto"/>
            </w:tcBorders>
            <w:shd w:val="clear" w:color="auto" w:fill="FFFFFF" w:themeFill="background1"/>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nil"/>
              <w:right w:val="single" w:sz="4" w:space="0" w:color="auto"/>
            </w:tcBorders>
            <w:shd w:val="clear" w:color="auto" w:fill="FFFFFF" w:themeFill="background1"/>
            <w:noWrap/>
            <w:vAlign w:val="bottom"/>
            <w:hideMark/>
          </w:tcPr>
          <w:p w:rsidR="004A192B" w:rsidRPr="004A192B" w:rsidRDefault="004A192B" w:rsidP="004A192B">
            <w:pPr>
              <w:spacing w:after="0"/>
              <w:jc w:val="center"/>
              <w:rPr>
                <w:rFonts w:eastAsia="Times New Roman"/>
                <w:szCs w:val="17"/>
              </w:rPr>
            </w:pPr>
          </w:p>
        </w:tc>
        <w:tc>
          <w:tcPr>
            <w:tcW w:w="1680" w:type="dxa"/>
            <w:tcBorders>
              <w:top w:val="nil"/>
              <w:left w:val="nil"/>
              <w:right w:val="single" w:sz="4" w:space="0" w:color="auto"/>
            </w:tcBorders>
            <w:shd w:val="clear" w:color="auto" w:fill="FFFFFF" w:themeFill="background1"/>
            <w:noWrap/>
            <w:vAlign w:val="bottom"/>
            <w:hideMark/>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single" w:sz="4" w:space="0" w:color="auto"/>
            </w:tcBorders>
            <w:shd w:val="clear" w:color="auto" w:fill="FFFFFF" w:themeFill="background1"/>
            <w:hideMark/>
          </w:tcPr>
          <w:p w:rsidR="004A192B" w:rsidRPr="004A192B" w:rsidRDefault="004A192B" w:rsidP="004A192B">
            <w:pPr>
              <w:jc w:val="left"/>
              <w:rPr>
                <w:rFonts w:eastAsia="Times New Roman"/>
                <w:i/>
                <w:iCs/>
                <w:szCs w:val="17"/>
              </w:rPr>
            </w:pPr>
            <w:r w:rsidRPr="004A192B">
              <w:rPr>
                <w:rFonts w:eastAsia="Times New Roman"/>
                <w:i/>
                <w:iCs/>
                <w:szCs w:val="17"/>
              </w:rPr>
              <w:t>Sus scrofa</w:t>
            </w:r>
          </w:p>
        </w:tc>
        <w:tc>
          <w:tcPr>
            <w:tcW w:w="2280" w:type="dxa"/>
            <w:tcBorders>
              <w:top w:val="nil"/>
              <w:left w:val="nil"/>
              <w:bottom w:val="single" w:sz="4" w:space="0" w:color="auto"/>
              <w:right w:val="single" w:sz="4" w:space="0" w:color="auto"/>
            </w:tcBorders>
            <w:shd w:val="clear" w:color="auto" w:fill="FFFFFF" w:themeFill="background1"/>
            <w:hideMark/>
          </w:tcPr>
          <w:p w:rsidR="004A192B" w:rsidRPr="004A192B" w:rsidRDefault="004A192B" w:rsidP="004A192B">
            <w:pPr>
              <w:jc w:val="left"/>
              <w:rPr>
                <w:rFonts w:eastAsia="Times New Roman"/>
                <w:szCs w:val="17"/>
              </w:rPr>
            </w:pPr>
            <w:r w:rsidRPr="004A192B">
              <w:rPr>
                <w:rFonts w:eastAsia="Times New Roman"/>
                <w:szCs w:val="17"/>
              </w:rPr>
              <w:t>Feral Pig, Wild Pig</w:t>
            </w:r>
          </w:p>
        </w:tc>
        <w:tc>
          <w:tcPr>
            <w:tcW w:w="2160" w:type="dxa"/>
            <w:tcBorders>
              <w:top w:val="nil"/>
              <w:left w:val="nil"/>
              <w:bottom w:val="single" w:sz="4" w:space="0" w:color="auto"/>
              <w:right w:val="single" w:sz="4" w:space="0" w:color="auto"/>
            </w:tcBorders>
            <w:shd w:val="clear" w:color="auto" w:fill="FFFFFF" w:themeFill="background1"/>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4A192B" w:rsidRPr="004A192B" w:rsidRDefault="004A192B" w:rsidP="004A192B">
            <w:pPr>
              <w:jc w:val="center"/>
              <w:rPr>
                <w:rFonts w:eastAsia="Times New Roman"/>
                <w:szCs w:val="17"/>
              </w:rPr>
            </w:pPr>
          </w:p>
        </w:tc>
        <w:tc>
          <w:tcPr>
            <w:tcW w:w="1680" w:type="dxa"/>
            <w:tcBorders>
              <w:top w:val="nil"/>
              <w:left w:val="nil"/>
              <w:bottom w:val="single" w:sz="4" w:space="0" w:color="auto"/>
              <w:right w:val="single" w:sz="4" w:space="0" w:color="auto"/>
            </w:tcBorders>
            <w:shd w:val="clear" w:color="auto" w:fill="FFFFFF" w:themeFill="background1"/>
            <w:noWrap/>
            <w:vAlign w:val="bottom"/>
            <w:hideMark/>
          </w:tcPr>
          <w:p w:rsidR="004A192B" w:rsidRPr="004A192B" w:rsidRDefault="004A192B" w:rsidP="004A192B">
            <w:pPr>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single" w:sz="4" w:space="0" w:color="auto"/>
              <w:left w:val="single" w:sz="4" w:space="0" w:color="auto"/>
              <w:bottom w:val="nil"/>
              <w:right w:val="single" w:sz="4" w:space="0" w:color="auto"/>
            </w:tcBorders>
            <w:shd w:val="clear" w:color="auto" w:fill="FFFFFF" w:themeFill="background1"/>
            <w:hideMark/>
          </w:tcPr>
          <w:p w:rsidR="004A192B" w:rsidRPr="004A192B" w:rsidRDefault="004A192B" w:rsidP="004A192B">
            <w:pPr>
              <w:spacing w:before="120" w:after="0"/>
              <w:jc w:val="left"/>
              <w:rPr>
                <w:rFonts w:eastAsia="Times New Roman"/>
                <w:szCs w:val="17"/>
              </w:rPr>
            </w:pPr>
            <w:r w:rsidRPr="004A192B">
              <w:rPr>
                <w:rFonts w:eastAsia="Times New Roman"/>
                <w:b/>
                <w:bCs/>
                <w:szCs w:val="17"/>
              </w:rPr>
              <w:t>CLASS 25</w:t>
            </w:r>
          </w:p>
        </w:tc>
        <w:tc>
          <w:tcPr>
            <w:tcW w:w="2280" w:type="dxa"/>
            <w:tcBorders>
              <w:top w:val="single" w:sz="4" w:space="0" w:color="auto"/>
              <w:left w:val="single" w:sz="4" w:space="0" w:color="auto"/>
              <w:bottom w:val="nil"/>
              <w:right w:val="single" w:sz="4" w:space="0" w:color="auto"/>
            </w:tcBorders>
            <w:shd w:val="clear" w:color="auto" w:fill="FFFFFF" w:themeFill="background1"/>
            <w:hideMark/>
          </w:tcPr>
          <w:p w:rsidR="004A192B" w:rsidRPr="004A192B" w:rsidRDefault="004A192B" w:rsidP="004A192B">
            <w:pPr>
              <w:spacing w:before="80" w:after="0"/>
              <w:jc w:val="left"/>
              <w:rPr>
                <w:rFonts w:eastAsia="Times New Roman"/>
                <w:szCs w:val="17"/>
              </w:rPr>
            </w:pPr>
            <w:r w:rsidRPr="004A192B">
              <w:rPr>
                <w:rFonts w:eastAsia="Times New Roman"/>
                <w:b/>
                <w:bCs/>
                <w:szCs w:val="17"/>
              </w:rPr>
              <w:t> </w:t>
            </w:r>
          </w:p>
        </w:tc>
        <w:tc>
          <w:tcPr>
            <w:tcW w:w="2160"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b/>
                <w:bCs/>
                <w:szCs w:val="17"/>
              </w:rPr>
              <w:t> </w:t>
            </w:r>
          </w:p>
        </w:tc>
        <w:tc>
          <w:tcPr>
            <w:tcW w:w="960"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4A192B" w:rsidRPr="004A192B" w:rsidRDefault="004A192B" w:rsidP="004A192B">
            <w:pPr>
              <w:spacing w:before="80" w:after="0"/>
              <w:jc w:val="center"/>
              <w:rPr>
                <w:rFonts w:eastAsia="Times New Roman"/>
                <w:szCs w:val="17"/>
              </w:rPr>
            </w:pPr>
          </w:p>
        </w:tc>
        <w:tc>
          <w:tcPr>
            <w:tcW w:w="1680" w:type="dxa"/>
            <w:tcBorders>
              <w:top w:val="single" w:sz="4" w:space="0" w:color="auto"/>
              <w:left w:val="single" w:sz="4" w:space="0" w:color="auto"/>
              <w:bottom w:val="nil"/>
              <w:right w:val="single" w:sz="4" w:space="0" w:color="auto"/>
            </w:tcBorders>
            <w:shd w:val="clear" w:color="auto" w:fill="FFFFFF" w:themeFill="background1"/>
            <w:noWrap/>
            <w:vAlign w:val="bottom"/>
            <w:hideMark/>
          </w:tcPr>
          <w:p w:rsidR="004A192B" w:rsidRPr="004A192B" w:rsidRDefault="004A192B" w:rsidP="004A192B">
            <w:pPr>
              <w:spacing w:before="80" w:after="0"/>
              <w:jc w:val="left"/>
              <w:rPr>
                <w:rFonts w:eastAsia="Times New Roman"/>
                <w:szCs w:val="17"/>
              </w:rPr>
            </w:pPr>
            <w:r w:rsidRPr="004A192B">
              <w:rPr>
                <w:rFonts w:eastAsia="Times New Roman"/>
                <w:b/>
                <w:bCs/>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FFFFFF" w:themeFill="background1"/>
          </w:tcPr>
          <w:p w:rsidR="004A192B" w:rsidRPr="004A192B" w:rsidRDefault="004A192B" w:rsidP="004A192B">
            <w:pPr>
              <w:spacing w:after="0"/>
              <w:jc w:val="left"/>
              <w:rPr>
                <w:rFonts w:eastAsia="Times New Roman"/>
                <w:b/>
                <w:bCs/>
                <w:szCs w:val="17"/>
              </w:rPr>
            </w:pPr>
            <w:r w:rsidRPr="004A192B">
              <w:rPr>
                <w:rFonts w:eastAsia="Times New Roman"/>
                <w:b/>
                <w:bCs/>
                <w:szCs w:val="17"/>
              </w:rPr>
              <w:t> </w:t>
            </w:r>
          </w:p>
        </w:tc>
        <w:tc>
          <w:tcPr>
            <w:tcW w:w="2280" w:type="dxa"/>
            <w:tcBorders>
              <w:top w:val="nil"/>
              <w:left w:val="single" w:sz="4" w:space="0" w:color="auto"/>
              <w:bottom w:val="nil"/>
              <w:right w:val="single" w:sz="4" w:space="0" w:color="auto"/>
            </w:tcBorders>
            <w:shd w:val="clear" w:color="auto" w:fill="FFFFFF" w:themeFill="background1"/>
          </w:tcPr>
          <w:p w:rsidR="004A192B" w:rsidRPr="004A192B" w:rsidRDefault="004A192B" w:rsidP="004A192B">
            <w:pPr>
              <w:spacing w:after="0"/>
              <w:jc w:val="left"/>
              <w:rPr>
                <w:rFonts w:eastAsia="Times New Roman"/>
                <w:b/>
                <w:bCs/>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FFFFFF" w:themeFill="background1"/>
            <w:noWrap/>
            <w:vAlign w:val="center"/>
          </w:tcPr>
          <w:p w:rsidR="004A192B" w:rsidRPr="004A192B" w:rsidRDefault="004A192B" w:rsidP="004A192B">
            <w:pPr>
              <w:spacing w:after="0"/>
              <w:jc w:val="left"/>
              <w:rPr>
                <w:rFonts w:eastAsia="Times New Roman"/>
                <w:b/>
                <w:bCs/>
                <w:szCs w:val="17"/>
              </w:rPr>
            </w:pPr>
            <w:r w:rsidRPr="004A192B">
              <w:rPr>
                <w:rFonts w:eastAsia="Times New Roman"/>
                <w:szCs w:val="17"/>
              </w:rPr>
              <w:t xml:space="preserve">189, 191(1), 192(3) </w:t>
            </w:r>
          </w:p>
        </w:tc>
        <w:tc>
          <w:tcPr>
            <w:tcW w:w="960" w:type="dxa"/>
            <w:tcBorders>
              <w:top w:val="nil"/>
              <w:left w:val="single" w:sz="4" w:space="0" w:color="auto"/>
              <w:bottom w:val="nil"/>
              <w:right w:val="single" w:sz="4" w:space="0" w:color="auto"/>
            </w:tcBorders>
            <w:shd w:val="clear" w:color="auto" w:fill="FFFFFF" w:themeFill="background1"/>
            <w:noWrap/>
            <w:vAlign w:val="center"/>
          </w:tcPr>
          <w:p w:rsidR="004A192B" w:rsidRPr="004A192B" w:rsidRDefault="004A192B" w:rsidP="004A192B">
            <w:pPr>
              <w:spacing w:after="0"/>
              <w:jc w:val="center"/>
              <w:rPr>
                <w:rFonts w:eastAsia="Times New Roman"/>
                <w:b/>
                <w:bCs/>
                <w:szCs w:val="17"/>
              </w:rPr>
            </w:pPr>
            <w:r w:rsidRPr="004A192B">
              <w:rPr>
                <w:rFonts w:eastAsia="Times New Roman"/>
                <w:szCs w:val="17"/>
              </w:rPr>
              <w:t>3</w:t>
            </w:r>
          </w:p>
        </w:tc>
        <w:tc>
          <w:tcPr>
            <w:tcW w:w="1680" w:type="dxa"/>
            <w:tcBorders>
              <w:top w:val="nil"/>
              <w:left w:val="single" w:sz="4" w:space="0" w:color="auto"/>
              <w:bottom w:val="nil"/>
              <w:right w:val="single" w:sz="4" w:space="0" w:color="auto"/>
            </w:tcBorders>
            <w:shd w:val="clear" w:color="auto" w:fill="FFFFFF" w:themeFill="background1"/>
            <w:noWrap/>
            <w:vAlign w:val="bottom"/>
          </w:tcPr>
          <w:p w:rsidR="004A192B" w:rsidRPr="004A192B" w:rsidRDefault="004A192B" w:rsidP="004A192B">
            <w:pPr>
              <w:spacing w:after="0"/>
              <w:jc w:val="left"/>
              <w:rPr>
                <w:rFonts w:eastAsia="Times New Roman"/>
                <w:b/>
                <w:bCs/>
                <w:szCs w:val="17"/>
              </w:rPr>
            </w:pPr>
            <w:r w:rsidRPr="004A192B">
              <w:rPr>
                <w:rFonts w:eastAsia="Times New Roman"/>
                <w:szCs w:val="17"/>
              </w:rPr>
              <w:t>Whole of the State</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FFFFFF" w:themeFill="background1"/>
          </w:tcPr>
          <w:p w:rsidR="004A192B" w:rsidRPr="004A192B" w:rsidRDefault="004A192B" w:rsidP="004A192B">
            <w:pPr>
              <w:spacing w:after="0"/>
              <w:jc w:val="left"/>
              <w:rPr>
                <w:rFonts w:eastAsia="Times New Roman"/>
                <w:b/>
                <w:bCs/>
                <w:szCs w:val="17"/>
              </w:rPr>
            </w:pPr>
            <w:r w:rsidRPr="004A192B">
              <w:rPr>
                <w:rFonts w:eastAsia="Times New Roman"/>
                <w:b/>
                <w:bCs/>
                <w:szCs w:val="17"/>
              </w:rPr>
              <w:t>MAMMALIA</w:t>
            </w:r>
          </w:p>
        </w:tc>
        <w:tc>
          <w:tcPr>
            <w:tcW w:w="2280" w:type="dxa"/>
            <w:tcBorders>
              <w:top w:val="nil"/>
              <w:left w:val="single" w:sz="4" w:space="0" w:color="auto"/>
              <w:bottom w:val="nil"/>
              <w:right w:val="single" w:sz="4" w:space="0" w:color="auto"/>
            </w:tcBorders>
            <w:shd w:val="clear" w:color="auto" w:fill="FFFFFF" w:themeFill="background1"/>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FFFFFF" w:themeFill="background1"/>
            <w:noWrap/>
            <w:vAlign w:val="bottom"/>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FFFFFF" w:themeFill="background1"/>
            <w:noWrap/>
            <w:vAlign w:val="bottom"/>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FFFFFF" w:themeFill="background1"/>
            <w:noWrap/>
            <w:vAlign w:val="bottom"/>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FFFFFF" w:themeFill="background1"/>
          </w:tcPr>
          <w:p w:rsidR="004A192B" w:rsidRPr="004A192B" w:rsidRDefault="004A192B" w:rsidP="004A192B">
            <w:pPr>
              <w:spacing w:after="0"/>
              <w:jc w:val="left"/>
              <w:rPr>
                <w:rFonts w:eastAsia="Times New Roman"/>
                <w:b/>
                <w:bCs/>
                <w:szCs w:val="17"/>
              </w:rPr>
            </w:pPr>
            <w:r w:rsidRPr="004A192B">
              <w:rPr>
                <w:rFonts w:eastAsia="Times New Roman"/>
                <w:b/>
                <w:bCs/>
                <w:szCs w:val="17"/>
              </w:rPr>
              <w:t>ARTIODACTYLA</w:t>
            </w:r>
          </w:p>
        </w:tc>
        <w:tc>
          <w:tcPr>
            <w:tcW w:w="2280" w:type="dxa"/>
            <w:tcBorders>
              <w:top w:val="nil"/>
              <w:left w:val="single" w:sz="4" w:space="0" w:color="auto"/>
              <w:bottom w:val="nil"/>
              <w:right w:val="single" w:sz="4" w:space="0" w:color="auto"/>
            </w:tcBorders>
            <w:shd w:val="clear" w:color="auto" w:fill="FFFFFF" w:themeFill="background1"/>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FFFFFF" w:themeFill="background1"/>
            <w:noWrap/>
            <w:vAlign w:val="bottom"/>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FFFFFF" w:themeFill="background1"/>
            <w:noWrap/>
            <w:vAlign w:val="bottom"/>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FFFFFF" w:themeFill="background1"/>
            <w:noWrap/>
            <w:vAlign w:val="bottom"/>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nil"/>
              <w:right w:val="single" w:sz="4" w:space="0" w:color="auto"/>
            </w:tcBorders>
            <w:shd w:val="clear" w:color="auto" w:fill="FFFFFF" w:themeFill="background1"/>
          </w:tcPr>
          <w:p w:rsidR="004A192B" w:rsidRPr="004A192B" w:rsidRDefault="004A192B" w:rsidP="004A192B">
            <w:pPr>
              <w:spacing w:after="0"/>
              <w:jc w:val="left"/>
              <w:rPr>
                <w:rFonts w:eastAsia="Times New Roman"/>
                <w:b/>
                <w:bCs/>
                <w:szCs w:val="17"/>
              </w:rPr>
            </w:pPr>
            <w:r w:rsidRPr="004A192B">
              <w:rPr>
                <w:rFonts w:eastAsia="Times New Roman"/>
                <w:b/>
                <w:bCs/>
                <w:szCs w:val="17"/>
                <w:u w:val="single"/>
              </w:rPr>
              <w:t>Suidae</w:t>
            </w:r>
          </w:p>
        </w:tc>
        <w:tc>
          <w:tcPr>
            <w:tcW w:w="2280" w:type="dxa"/>
            <w:tcBorders>
              <w:top w:val="nil"/>
              <w:left w:val="single" w:sz="4" w:space="0" w:color="auto"/>
              <w:bottom w:val="nil"/>
              <w:right w:val="single" w:sz="4" w:space="0" w:color="auto"/>
            </w:tcBorders>
            <w:shd w:val="clear" w:color="auto" w:fill="FFFFFF" w:themeFill="background1"/>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2160" w:type="dxa"/>
            <w:tcBorders>
              <w:top w:val="nil"/>
              <w:left w:val="single" w:sz="4" w:space="0" w:color="auto"/>
              <w:bottom w:val="nil"/>
              <w:right w:val="single" w:sz="4" w:space="0" w:color="auto"/>
            </w:tcBorders>
            <w:shd w:val="clear" w:color="auto" w:fill="FFFFFF" w:themeFill="background1"/>
            <w:noWrap/>
            <w:vAlign w:val="bottom"/>
          </w:tcPr>
          <w:p w:rsidR="004A192B" w:rsidRPr="004A192B" w:rsidRDefault="004A192B" w:rsidP="004A192B">
            <w:pPr>
              <w:spacing w:after="0"/>
              <w:jc w:val="left"/>
              <w:rPr>
                <w:rFonts w:eastAsia="Times New Roman"/>
                <w:szCs w:val="17"/>
              </w:rPr>
            </w:pPr>
            <w:r w:rsidRPr="004A192B">
              <w:rPr>
                <w:rFonts w:eastAsia="Times New Roman"/>
                <w:szCs w:val="17"/>
              </w:rPr>
              <w:t> </w:t>
            </w:r>
          </w:p>
        </w:tc>
        <w:tc>
          <w:tcPr>
            <w:tcW w:w="960" w:type="dxa"/>
            <w:tcBorders>
              <w:top w:val="nil"/>
              <w:left w:val="single" w:sz="4" w:space="0" w:color="auto"/>
              <w:bottom w:val="nil"/>
              <w:right w:val="single" w:sz="4" w:space="0" w:color="auto"/>
            </w:tcBorders>
            <w:shd w:val="clear" w:color="auto" w:fill="FFFFFF" w:themeFill="background1"/>
            <w:noWrap/>
            <w:vAlign w:val="bottom"/>
          </w:tcPr>
          <w:p w:rsidR="004A192B" w:rsidRPr="004A192B" w:rsidRDefault="004A192B" w:rsidP="004A192B">
            <w:pPr>
              <w:spacing w:after="0"/>
              <w:jc w:val="center"/>
              <w:rPr>
                <w:rFonts w:eastAsia="Times New Roman"/>
                <w:szCs w:val="17"/>
              </w:rPr>
            </w:pPr>
          </w:p>
        </w:tc>
        <w:tc>
          <w:tcPr>
            <w:tcW w:w="1680" w:type="dxa"/>
            <w:tcBorders>
              <w:top w:val="nil"/>
              <w:left w:val="single" w:sz="4" w:space="0" w:color="auto"/>
              <w:bottom w:val="nil"/>
              <w:right w:val="single" w:sz="4" w:space="0" w:color="auto"/>
            </w:tcBorders>
            <w:shd w:val="clear" w:color="auto" w:fill="FFFFFF" w:themeFill="background1"/>
            <w:noWrap/>
            <w:vAlign w:val="bottom"/>
          </w:tcPr>
          <w:p w:rsidR="004A192B" w:rsidRPr="004A192B" w:rsidRDefault="004A192B" w:rsidP="004A192B">
            <w:pPr>
              <w:spacing w:after="0"/>
              <w:jc w:val="left"/>
              <w:rPr>
                <w:rFonts w:eastAsia="Times New Roman"/>
                <w:szCs w:val="17"/>
              </w:rPr>
            </w:pPr>
            <w:r w:rsidRPr="004A192B">
              <w:rPr>
                <w:rFonts w:eastAsia="Times New Roman"/>
                <w:szCs w:val="17"/>
              </w:rPr>
              <w:t> </w:t>
            </w:r>
          </w:p>
        </w:tc>
      </w:tr>
      <w:tr w:rsidR="004A192B" w:rsidRPr="004A192B" w:rsidTr="00805B8E">
        <w:trPr>
          <w:trHeight w:val="20"/>
        </w:trPr>
        <w:tc>
          <w:tcPr>
            <w:tcW w:w="2280" w:type="dxa"/>
            <w:tcBorders>
              <w:top w:val="nil"/>
              <w:left w:val="single" w:sz="4" w:space="0" w:color="auto"/>
              <w:bottom w:val="single" w:sz="4" w:space="0" w:color="auto"/>
              <w:right w:val="single" w:sz="4" w:space="0" w:color="auto"/>
            </w:tcBorders>
            <w:shd w:val="clear" w:color="auto" w:fill="FFFFFF" w:themeFill="background1"/>
          </w:tcPr>
          <w:p w:rsidR="004A192B" w:rsidRPr="004A192B" w:rsidRDefault="004A192B" w:rsidP="004A192B">
            <w:pPr>
              <w:jc w:val="left"/>
              <w:rPr>
                <w:rFonts w:eastAsia="Times New Roman"/>
                <w:b/>
                <w:bCs/>
                <w:szCs w:val="17"/>
                <w:u w:val="single"/>
              </w:rPr>
            </w:pPr>
            <w:r w:rsidRPr="004A192B">
              <w:rPr>
                <w:rFonts w:eastAsia="Times New Roman"/>
                <w:i/>
                <w:iCs/>
                <w:szCs w:val="17"/>
              </w:rPr>
              <w:t>Sus scrofa</w:t>
            </w:r>
          </w:p>
        </w:tc>
        <w:tc>
          <w:tcPr>
            <w:tcW w:w="2280" w:type="dxa"/>
            <w:tcBorders>
              <w:top w:val="nil"/>
              <w:left w:val="single" w:sz="4" w:space="0" w:color="auto"/>
              <w:bottom w:val="single" w:sz="4" w:space="0" w:color="auto"/>
              <w:right w:val="single" w:sz="4" w:space="0" w:color="auto"/>
            </w:tcBorders>
            <w:shd w:val="clear" w:color="auto" w:fill="FFFFFF" w:themeFill="background1"/>
          </w:tcPr>
          <w:p w:rsidR="004A192B" w:rsidRPr="004A192B" w:rsidRDefault="004A192B" w:rsidP="004A192B">
            <w:pPr>
              <w:jc w:val="left"/>
              <w:rPr>
                <w:rFonts w:eastAsia="Times New Roman"/>
                <w:szCs w:val="17"/>
              </w:rPr>
            </w:pPr>
            <w:r w:rsidRPr="004A192B">
              <w:rPr>
                <w:rFonts w:eastAsia="Times New Roman"/>
                <w:szCs w:val="17"/>
              </w:rPr>
              <w:t>Pig (Domestic form)</w:t>
            </w:r>
          </w:p>
        </w:tc>
        <w:tc>
          <w:tcPr>
            <w:tcW w:w="2160" w:type="dxa"/>
            <w:tcBorders>
              <w:top w:val="nil"/>
              <w:left w:val="single" w:sz="4" w:space="0" w:color="auto"/>
              <w:bottom w:val="single" w:sz="4" w:space="0" w:color="auto"/>
              <w:right w:val="single" w:sz="4" w:space="0" w:color="auto"/>
            </w:tcBorders>
            <w:shd w:val="clear" w:color="auto" w:fill="FFFFFF" w:themeFill="background1"/>
            <w:noWrap/>
            <w:vAlign w:val="bottom"/>
          </w:tcPr>
          <w:p w:rsidR="004A192B" w:rsidRPr="004A192B" w:rsidRDefault="004A192B" w:rsidP="004A192B">
            <w:pPr>
              <w:jc w:val="left"/>
              <w:rPr>
                <w:rFonts w:eastAsia="Times New Roman"/>
                <w:szCs w:val="17"/>
              </w:rPr>
            </w:pPr>
            <w:r w:rsidRPr="004A192B">
              <w:rPr>
                <w:rFonts w:eastAsia="Times New Roman"/>
                <w:szCs w:val="17"/>
              </w:rPr>
              <w:t> </w:t>
            </w:r>
          </w:p>
        </w:tc>
        <w:tc>
          <w:tcPr>
            <w:tcW w:w="960" w:type="dxa"/>
            <w:tcBorders>
              <w:top w:val="nil"/>
              <w:left w:val="single" w:sz="4" w:space="0" w:color="auto"/>
              <w:bottom w:val="single" w:sz="4" w:space="0" w:color="auto"/>
              <w:right w:val="single" w:sz="4" w:space="0" w:color="auto"/>
            </w:tcBorders>
            <w:shd w:val="clear" w:color="auto" w:fill="FFFFFF" w:themeFill="background1"/>
            <w:noWrap/>
            <w:vAlign w:val="bottom"/>
          </w:tcPr>
          <w:p w:rsidR="004A192B" w:rsidRPr="004A192B" w:rsidRDefault="004A192B" w:rsidP="004A192B">
            <w:pPr>
              <w:jc w:val="center"/>
              <w:rPr>
                <w:rFonts w:eastAsia="Times New Roman"/>
                <w:szCs w:val="17"/>
              </w:rPr>
            </w:pPr>
          </w:p>
        </w:tc>
        <w:tc>
          <w:tcPr>
            <w:tcW w:w="1680" w:type="dxa"/>
            <w:tcBorders>
              <w:top w:val="nil"/>
              <w:left w:val="single" w:sz="4" w:space="0" w:color="auto"/>
              <w:bottom w:val="single" w:sz="4" w:space="0" w:color="auto"/>
              <w:right w:val="single" w:sz="4" w:space="0" w:color="auto"/>
            </w:tcBorders>
            <w:shd w:val="clear" w:color="auto" w:fill="FFFFFF" w:themeFill="background1"/>
            <w:noWrap/>
            <w:vAlign w:val="bottom"/>
          </w:tcPr>
          <w:p w:rsidR="004A192B" w:rsidRPr="004A192B" w:rsidRDefault="004A192B" w:rsidP="004A192B">
            <w:pPr>
              <w:jc w:val="left"/>
              <w:rPr>
                <w:rFonts w:eastAsia="Times New Roman"/>
                <w:szCs w:val="17"/>
              </w:rPr>
            </w:pPr>
            <w:r w:rsidRPr="004A192B">
              <w:rPr>
                <w:rFonts w:eastAsia="Times New Roman"/>
                <w:szCs w:val="17"/>
              </w:rPr>
              <w:t> </w:t>
            </w:r>
          </w:p>
        </w:tc>
      </w:tr>
    </w:tbl>
    <w:p w:rsidR="004A192B" w:rsidRPr="004A192B" w:rsidRDefault="004A192B" w:rsidP="004A192B">
      <w:pPr>
        <w:spacing w:before="120" w:after="0"/>
        <w:rPr>
          <w:rFonts w:eastAsia="Times New Roman"/>
          <w:szCs w:val="17"/>
        </w:rPr>
      </w:pPr>
      <w:r w:rsidRPr="004A192B">
        <w:rPr>
          <w:rFonts w:eastAsia="Times New Roman"/>
          <w:szCs w:val="17"/>
        </w:rPr>
        <w:t>Dated: 23 July 2020</w:t>
      </w:r>
    </w:p>
    <w:p w:rsidR="004A192B" w:rsidRPr="004A192B" w:rsidRDefault="004A192B" w:rsidP="004A192B">
      <w:pPr>
        <w:spacing w:after="0"/>
        <w:jc w:val="right"/>
        <w:rPr>
          <w:rFonts w:eastAsia="Times New Roman"/>
          <w:smallCaps/>
          <w:szCs w:val="20"/>
        </w:rPr>
      </w:pPr>
      <w:r w:rsidRPr="004A192B">
        <w:rPr>
          <w:rFonts w:eastAsia="Times New Roman"/>
          <w:smallCaps/>
          <w:szCs w:val="20"/>
        </w:rPr>
        <w:t>David Speirs MP</w:t>
      </w:r>
    </w:p>
    <w:p w:rsidR="004A192B" w:rsidRPr="004A192B" w:rsidRDefault="004A192B" w:rsidP="004A192B">
      <w:pPr>
        <w:spacing w:after="0"/>
        <w:jc w:val="right"/>
        <w:rPr>
          <w:rFonts w:eastAsia="Times New Roman"/>
          <w:szCs w:val="17"/>
        </w:rPr>
      </w:pPr>
      <w:r w:rsidRPr="004A192B">
        <w:rPr>
          <w:rFonts w:eastAsia="Times New Roman"/>
          <w:szCs w:val="17"/>
        </w:rPr>
        <w:t>Minister for Environment and Water</w:t>
      </w:r>
    </w:p>
    <w:p w:rsidR="004A192B" w:rsidRPr="004A192B" w:rsidRDefault="004A192B" w:rsidP="004A192B">
      <w:pPr>
        <w:pBdr>
          <w:top w:val="single" w:sz="4" w:space="1" w:color="auto"/>
        </w:pBdr>
        <w:spacing w:before="100" w:after="0" w:line="14" w:lineRule="exact"/>
        <w:jc w:val="center"/>
        <w:rPr>
          <w:rFonts w:eastAsia="Times New Roman"/>
          <w:szCs w:val="17"/>
        </w:rPr>
      </w:pPr>
    </w:p>
    <w:p w:rsidR="00477B49" w:rsidRDefault="00477B49" w:rsidP="00895B8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7A341C" w:rsidRDefault="007A341C">
      <w:pPr>
        <w:spacing w:after="0" w:line="240" w:lineRule="auto"/>
        <w:jc w:val="left"/>
        <w:rPr>
          <w:caps/>
          <w:szCs w:val="17"/>
        </w:rPr>
      </w:pPr>
      <w:r>
        <w:rPr>
          <w:caps/>
          <w:szCs w:val="17"/>
        </w:rPr>
        <w:br w:type="page"/>
      </w:r>
    </w:p>
    <w:p w:rsidR="00FC16D3" w:rsidRPr="00FC16D3" w:rsidRDefault="00FC16D3" w:rsidP="00002A24">
      <w:pPr>
        <w:jc w:val="center"/>
        <w:rPr>
          <w:caps/>
          <w:szCs w:val="17"/>
        </w:rPr>
      </w:pPr>
      <w:r w:rsidRPr="00FC16D3">
        <w:rPr>
          <w:caps/>
          <w:szCs w:val="17"/>
        </w:rPr>
        <w:t>Landscape South Australia Act 2019</w:t>
      </w:r>
    </w:p>
    <w:p w:rsidR="00FC16D3" w:rsidRPr="00FC16D3" w:rsidRDefault="00FC16D3" w:rsidP="00002A24">
      <w:pPr>
        <w:jc w:val="center"/>
        <w:rPr>
          <w:i/>
          <w:szCs w:val="17"/>
        </w:rPr>
      </w:pPr>
      <w:r w:rsidRPr="00FC16D3">
        <w:rPr>
          <w:i/>
          <w:szCs w:val="17"/>
        </w:rPr>
        <w:t>List of Declared Plants</w:t>
      </w:r>
    </w:p>
    <w:p w:rsidR="00FC16D3" w:rsidRPr="00FC16D3" w:rsidRDefault="00FC16D3" w:rsidP="00FC16D3">
      <w:pPr>
        <w:rPr>
          <w:rFonts w:eastAsia="Times New Roman"/>
          <w:szCs w:val="17"/>
        </w:rPr>
      </w:pPr>
      <w:r w:rsidRPr="00FC16D3">
        <w:rPr>
          <w:rFonts w:eastAsia="Times New Roman"/>
          <w:szCs w:val="17"/>
        </w:rPr>
        <w:t xml:space="preserve">PURSUANT to section 185(1) of the </w:t>
      </w:r>
      <w:r w:rsidRPr="00FC16D3">
        <w:rPr>
          <w:rFonts w:eastAsia="Times New Roman"/>
          <w:i/>
          <w:szCs w:val="17"/>
        </w:rPr>
        <w:t>Landscape South Australia Act 2019</w:t>
      </w:r>
      <w:r w:rsidRPr="00FC16D3">
        <w:rPr>
          <w:rFonts w:eastAsia="Times New Roman"/>
          <w:szCs w:val="17"/>
        </w:rPr>
        <w:t xml:space="preserve"> (the Act), I, David Speirs MP, Minister for Environment and Water, declare provisions of the Act apply to specified plants in specified declared areas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2"/>
        <w:gridCol w:w="2278"/>
        <w:gridCol w:w="1080"/>
        <w:gridCol w:w="1914"/>
      </w:tblGrid>
      <w:tr w:rsidR="00FC16D3" w:rsidRPr="00FC16D3" w:rsidTr="00805B8E">
        <w:trPr>
          <w:trHeight w:val="600"/>
          <w:tblHeader/>
        </w:trPr>
        <w:tc>
          <w:tcPr>
            <w:tcW w:w="2179" w:type="pct"/>
            <w:vAlign w:val="center"/>
          </w:tcPr>
          <w:p w:rsidR="00FC16D3" w:rsidRPr="00FC16D3" w:rsidRDefault="00FC16D3" w:rsidP="00FC16D3">
            <w:pPr>
              <w:spacing w:after="0" w:line="240" w:lineRule="auto"/>
              <w:jc w:val="center"/>
              <w:rPr>
                <w:rFonts w:eastAsia="Times New Roman"/>
                <w:b/>
                <w:sz w:val="16"/>
                <w:szCs w:val="16"/>
              </w:rPr>
            </w:pPr>
            <w:r w:rsidRPr="00FC16D3">
              <w:rPr>
                <w:rFonts w:eastAsia="Times New Roman"/>
                <w:b/>
                <w:sz w:val="16"/>
                <w:szCs w:val="16"/>
              </w:rPr>
              <w:t>Plants</w:t>
            </w:r>
          </w:p>
        </w:tc>
        <w:tc>
          <w:tcPr>
            <w:tcW w:w="1219" w:type="pct"/>
            <w:vAlign w:val="center"/>
          </w:tcPr>
          <w:p w:rsidR="00FC16D3" w:rsidRPr="00FC16D3" w:rsidRDefault="00FC16D3" w:rsidP="00FC16D3">
            <w:pPr>
              <w:spacing w:after="0" w:line="240" w:lineRule="auto"/>
              <w:jc w:val="center"/>
              <w:rPr>
                <w:rFonts w:eastAsia="Times New Roman"/>
                <w:b/>
                <w:sz w:val="16"/>
                <w:szCs w:val="16"/>
              </w:rPr>
            </w:pPr>
            <w:r w:rsidRPr="00FC16D3">
              <w:rPr>
                <w:rFonts w:eastAsia="Times New Roman"/>
                <w:b/>
                <w:sz w:val="16"/>
                <w:szCs w:val="16"/>
              </w:rPr>
              <w:t xml:space="preserve">Provisions of Act Which </w:t>
            </w:r>
            <w:r w:rsidRPr="00FC16D3">
              <w:rPr>
                <w:rFonts w:eastAsia="Times New Roman"/>
                <w:b/>
                <w:sz w:val="16"/>
                <w:szCs w:val="16"/>
              </w:rPr>
              <w:br/>
              <w:t>are to Apply</w:t>
            </w:r>
          </w:p>
        </w:tc>
        <w:tc>
          <w:tcPr>
            <w:tcW w:w="578" w:type="pct"/>
            <w:vAlign w:val="center"/>
          </w:tcPr>
          <w:p w:rsidR="00FC16D3" w:rsidRPr="00FC16D3" w:rsidRDefault="00FC16D3" w:rsidP="00FC16D3">
            <w:pPr>
              <w:spacing w:after="0" w:line="240" w:lineRule="auto"/>
              <w:jc w:val="center"/>
              <w:rPr>
                <w:rFonts w:eastAsia="Times New Roman"/>
                <w:b/>
                <w:sz w:val="16"/>
                <w:szCs w:val="16"/>
              </w:rPr>
            </w:pPr>
            <w:r w:rsidRPr="00FC16D3">
              <w:rPr>
                <w:rFonts w:eastAsia="Times New Roman"/>
                <w:b/>
                <w:sz w:val="16"/>
                <w:szCs w:val="16"/>
              </w:rPr>
              <w:t>Category</w:t>
            </w:r>
          </w:p>
        </w:tc>
        <w:tc>
          <w:tcPr>
            <w:tcW w:w="1024" w:type="pct"/>
            <w:vAlign w:val="center"/>
          </w:tcPr>
          <w:p w:rsidR="00FC16D3" w:rsidRPr="00FC16D3" w:rsidRDefault="00FC16D3" w:rsidP="00FC16D3">
            <w:pPr>
              <w:spacing w:after="0" w:line="240" w:lineRule="auto"/>
              <w:jc w:val="center"/>
              <w:rPr>
                <w:rFonts w:eastAsia="Times New Roman"/>
                <w:b/>
                <w:sz w:val="16"/>
                <w:szCs w:val="16"/>
              </w:rPr>
            </w:pPr>
            <w:r w:rsidRPr="00FC16D3">
              <w:rPr>
                <w:rFonts w:eastAsia="Times New Roman"/>
                <w:b/>
                <w:sz w:val="16"/>
                <w:szCs w:val="16"/>
              </w:rPr>
              <w:t>Declared Area</w:t>
            </w:r>
          </w:p>
        </w:tc>
      </w:tr>
      <w:tr w:rsidR="00FC16D3" w:rsidRPr="00FC16D3" w:rsidTr="00805B8E">
        <w:trPr>
          <w:trHeight w:val="742"/>
        </w:trPr>
        <w:tc>
          <w:tcPr>
            <w:tcW w:w="2179" w:type="pct"/>
            <w:tcBorders>
              <w:top w:val="nil"/>
            </w:tcBorders>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1</w:t>
            </w:r>
          </w:p>
          <w:p w:rsidR="00FC16D3" w:rsidRPr="00FC16D3" w:rsidRDefault="00FC16D3" w:rsidP="00FC16D3">
            <w:pPr>
              <w:autoSpaceDE w:val="0"/>
              <w:autoSpaceDN w:val="0"/>
              <w:adjustRightInd w:val="0"/>
              <w:spacing w:after="0" w:line="240" w:lineRule="auto"/>
              <w:jc w:val="left"/>
              <w:rPr>
                <w:rFonts w:eastAsia="Times New Roman"/>
                <w:spacing w:val="-2"/>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Alternanthera pungens</w:t>
            </w:r>
          </w:p>
          <w:p w:rsidR="00FC16D3" w:rsidRPr="00FC16D3" w:rsidRDefault="00FC16D3" w:rsidP="00FC16D3">
            <w:pPr>
              <w:autoSpaceDE w:val="0"/>
              <w:autoSpaceDN w:val="0"/>
              <w:adjustRightInd w:val="0"/>
              <w:spacing w:after="0" w:line="240" w:lineRule="auto"/>
              <w:jc w:val="left"/>
              <w:rPr>
                <w:rFonts w:eastAsia="Times New Roman"/>
                <w:spacing w:val="-2"/>
                <w:sz w:val="16"/>
                <w:szCs w:val="16"/>
              </w:rPr>
            </w:pPr>
            <w:r w:rsidRPr="00FC16D3">
              <w:rPr>
                <w:rFonts w:eastAsia="Times New Roman"/>
                <w:spacing w:val="-2"/>
                <w:sz w:val="16"/>
                <w:szCs w:val="16"/>
                <w:lang w:val="x-none"/>
              </w:rPr>
              <w:t>khaki weed</w:t>
            </w:r>
          </w:p>
          <w:p w:rsidR="00FC16D3" w:rsidRPr="00FC16D3" w:rsidRDefault="00FC16D3" w:rsidP="00FC16D3">
            <w:pPr>
              <w:autoSpaceDE w:val="0"/>
              <w:autoSpaceDN w:val="0"/>
              <w:adjustRightInd w:val="0"/>
              <w:spacing w:after="0" w:line="240" w:lineRule="auto"/>
              <w:jc w:val="left"/>
              <w:rPr>
                <w:rFonts w:eastAsia="Times New Roman"/>
                <w:spacing w:val="-2"/>
                <w:sz w:val="16"/>
                <w:szCs w:val="16"/>
              </w:rPr>
            </w:pP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i/>
                <w:iCs/>
                <w:sz w:val="16"/>
                <w:szCs w:val="16"/>
                <w:lang w:val="en-US"/>
              </w:rPr>
              <w:t>Alternanthera philoxeroides</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sz w:val="16"/>
                <w:szCs w:val="16"/>
                <w:lang w:val="en-US"/>
              </w:rPr>
              <w:t>alligator weed</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p>
          <w:p w:rsidR="00FC16D3" w:rsidRPr="00FC16D3" w:rsidRDefault="00FC16D3" w:rsidP="00433862">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i/>
                <w:iCs/>
                <w:sz w:val="16"/>
                <w:szCs w:val="16"/>
                <w:lang w:val="en-US"/>
              </w:rPr>
            </w:pPr>
            <w:r w:rsidRPr="00433862">
              <w:rPr>
                <w:rFonts w:eastAsia="Times New Roman"/>
                <w:i/>
                <w:spacing w:val="-2"/>
                <w:sz w:val="16"/>
                <w:szCs w:val="16"/>
              </w:rPr>
              <w:t>Amelichloa brachychaeta</w:t>
            </w:r>
          </w:p>
          <w:p w:rsidR="00FC16D3" w:rsidRPr="00FC16D3" w:rsidRDefault="00FC16D3" w:rsidP="00FC16D3">
            <w:pPr>
              <w:spacing w:after="0" w:line="240" w:lineRule="auto"/>
              <w:jc w:val="left"/>
              <w:rPr>
                <w:rFonts w:eastAsia="Times New Roman"/>
                <w:b/>
                <w:i/>
                <w:iCs/>
                <w:caps/>
                <w:sz w:val="16"/>
                <w:szCs w:val="16"/>
                <w:lang w:val="en-US"/>
              </w:rPr>
            </w:pPr>
            <w:r w:rsidRPr="00FC16D3">
              <w:rPr>
                <w:rFonts w:eastAsia="Times New Roman"/>
                <w:spacing w:val="-2"/>
                <w:sz w:val="16"/>
                <w:szCs w:val="16"/>
              </w:rPr>
              <w:t>espartillo</w:t>
            </w:r>
          </w:p>
          <w:p w:rsidR="00FC16D3" w:rsidRPr="00FC16D3" w:rsidRDefault="00FC16D3" w:rsidP="00FC16D3">
            <w:pPr>
              <w:keepNext/>
              <w:spacing w:after="0" w:line="240" w:lineRule="auto"/>
              <w:jc w:val="left"/>
              <w:outlineLvl w:val="0"/>
              <w:rPr>
                <w:rFonts w:eastAsia="Times New Roman"/>
                <w:i/>
                <w:iCs/>
                <w:sz w:val="16"/>
                <w:szCs w:val="16"/>
                <w:lang w:val="en-US"/>
              </w:rPr>
            </w:pPr>
          </w:p>
          <w:p w:rsidR="00FC16D3" w:rsidRPr="00FC16D3" w:rsidRDefault="00FC16D3" w:rsidP="00B7748F">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b/>
                <w:caps/>
                <w:spacing w:val="-2"/>
                <w:sz w:val="16"/>
                <w:szCs w:val="16"/>
              </w:rPr>
            </w:pPr>
            <w:r w:rsidRPr="00B7748F">
              <w:rPr>
                <w:rFonts w:eastAsia="Times New Roman"/>
                <w:i/>
                <w:spacing w:val="-2"/>
                <w:sz w:val="16"/>
                <w:szCs w:val="16"/>
              </w:rPr>
              <w:t>Amelichloa caudata</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spacing w:val="-2"/>
                <w:sz w:val="16"/>
                <w:szCs w:val="16"/>
              </w:rPr>
              <w:t>broad-kernel espartillo</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Cortaderia richardii</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spacing w:val="-2"/>
                <w:sz w:val="16"/>
                <w:szCs w:val="16"/>
                <w:lang w:val="x-none"/>
              </w:rPr>
              <w:t>toe toe</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p>
          <w:p w:rsidR="00FC16D3" w:rsidRPr="00FC16D3" w:rsidRDefault="00FC16D3" w:rsidP="00FC16D3">
            <w:pPr>
              <w:autoSpaceDE w:val="0"/>
              <w:autoSpaceDN w:val="0"/>
              <w:adjustRightInd w:val="0"/>
              <w:spacing w:after="0" w:line="240" w:lineRule="auto"/>
              <w:jc w:val="left"/>
              <w:rPr>
                <w:rFonts w:eastAsia="Times New Roman"/>
                <w:bCs/>
                <w:caps/>
                <w:spacing w:val="-2"/>
                <w:sz w:val="16"/>
                <w:szCs w:val="16"/>
              </w:rPr>
            </w:pPr>
            <w:r w:rsidRPr="00FC16D3">
              <w:rPr>
                <w:rFonts w:eastAsia="Times New Roman"/>
                <w:bCs/>
                <w:i/>
                <w:iCs/>
                <w:spacing w:val="-2"/>
                <w:sz w:val="16"/>
                <w:szCs w:val="16"/>
              </w:rPr>
              <w:t>Cuscuta campestris</w:t>
            </w:r>
          </w:p>
          <w:p w:rsidR="00FC16D3" w:rsidRPr="00FC16D3" w:rsidRDefault="00FC16D3" w:rsidP="00FC16D3">
            <w:pPr>
              <w:autoSpaceDE w:val="0"/>
              <w:autoSpaceDN w:val="0"/>
              <w:adjustRightInd w:val="0"/>
              <w:spacing w:after="0" w:line="240" w:lineRule="auto"/>
              <w:jc w:val="left"/>
              <w:rPr>
                <w:rFonts w:eastAsia="Times New Roman"/>
                <w:bCs/>
                <w:spacing w:val="-2"/>
                <w:sz w:val="16"/>
                <w:szCs w:val="16"/>
              </w:rPr>
            </w:pPr>
            <w:r w:rsidRPr="00FC16D3">
              <w:rPr>
                <w:rFonts w:eastAsia="Times New Roman"/>
                <w:bCs/>
                <w:spacing w:val="-2"/>
                <w:sz w:val="16"/>
                <w:szCs w:val="16"/>
              </w:rPr>
              <w:t>golden dodder</w:t>
            </w:r>
          </w:p>
          <w:p w:rsidR="00FC16D3" w:rsidRPr="00FC16D3" w:rsidRDefault="00FC16D3" w:rsidP="00FC16D3">
            <w:pPr>
              <w:autoSpaceDE w:val="0"/>
              <w:autoSpaceDN w:val="0"/>
              <w:adjustRightInd w:val="0"/>
              <w:spacing w:after="0" w:line="240" w:lineRule="auto"/>
              <w:jc w:val="left"/>
              <w:rPr>
                <w:rFonts w:eastAsia="Times New Roman"/>
                <w:bCs/>
                <w:spacing w:val="-2"/>
                <w:sz w:val="16"/>
                <w:szCs w:val="16"/>
              </w:rPr>
            </w:pPr>
          </w:p>
          <w:p w:rsidR="00FC16D3" w:rsidRPr="00FC16D3" w:rsidRDefault="00FC16D3" w:rsidP="00FC16D3">
            <w:pPr>
              <w:autoSpaceDE w:val="0"/>
              <w:autoSpaceDN w:val="0"/>
              <w:adjustRightInd w:val="0"/>
              <w:spacing w:after="0" w:line="240" w:lineRule="auto"/>
              <w:jc w:val="left"/>
              <w:rPr>
                <w:rFonts w:eastAsia="Times New Roman"/>
                <w:bCs/>
                <w:caps/>
                <w:spacing w:val="-2"/>
                <w:sz w:val="16"/>
                <w:szCs w:val="16"/>
              </w:rPr>
            </w:pPr>
            <w:r w:rsidRPr="00FC16D3">
              <w:rPr>
                <w:rFonts w:eastAsia="Times New Roman"/>
                <w:bCs/>
                <w:i/>
                <w:iCs/>
                <w:spacing w:val="-2"/>
                <w:sz w:val="16"/>
                <w:szCs w:val="16"/>
              </w:rPr>
              <w:t>Cuscuta planiflora</w:t>
            </w:r>
          </w:p>
          <w:p w:rsidR="00FC16D3" w:rsidRPr="00FC16D3" w:rsidRDefault="00FC16D3" w:rsidP="00FC16D3">
            <w:pPr>
              <w:autoSpaceDE w:val="0"/>
              <w:autoSpaceDN w:val="0"/>
              <w:adjustRightInd w:val="0"/>
              <w:spacing w:after="0" w:line="240" w:lineRule="auto"/>
              <w:jc w:val="left"/>
              <w:rPr>
                <w:rFonts w:eastAsia="Times New Roman"/>
                <w:bCs/>
                <w:caps/>
                <w:spacing w:val="-2"/>
                <w:sz w:val="16"/>
                <w:szCs w:val="16"/>
              </w:rPr>
            </w:pPr>
            <w:r w:rsidRPr="00FC16D3">
              <w:rPr>
                <w:rFonts w:eastAsia="Times New Roman"/>
                <w:bCs/>
                <w:spacing w:val="-2"/>
                <w:sz w:val="16"/>
                <w:szCs w:val="16"/>
              </w:rPr>
              <w:t>red dodder</w:t>
            </w:r>
          </w:p>
          <w:p w:rsidR="00FC16D3" w:rsidRPr="00FC16D3" w:rsidRDefault="00FC16D3" w:rsidP="00FC16D3">
            <w:pPr>
              <w:autoSpaceDE w:val="0"/>
              <w:autoSpaceDN w:val="0"/>
              <w:adjustRightInd w:val="0"/>
              <w:spacing w:after="0" w:line="240" w:lineRule="auto"/>
              <w:jc w:val="left"/>
              <w:rPr>
                <w:rFonts w:eastAsia="Times New Roman"/>
                <w:bCs/>
                <w:caps/>
                <w:spacing w:val="-2"/>
                <w:sz w:val="16"/>
                <w:szCs w:val="16"/>
              </w:rPr>
            </w:pPr>
          </w:p>
          <w:p w:rsidR="00FC16D3" w:rsidRPr="00FC16D3" w:rsidRDefault="00FC16D3" w:rsidP="00FC16D3">
            <w:pPr>
              <w:autoSpaceDE w:val="0"/>
              <w:autoSpaceDN w:val="0"/>
              <w:adjustRightInd w:val="0"/>
              <w:spacing w:after="0" w:line="240" w:lineRule="auto"/>
              <w:jc w:val="left"/>
              <w:rPr>
                <w:rFonts w:eastAsia="Times New Roman"/>
                <w:bCs/>
                <w:caps/>
                <w:spacing w:val="-2"/>
                <w:sz w:val="16"/>
                <w:szCs w:val="16"/>
              </w:rPr>
            </w:pPr>
            <w:r w:rsidRPr="00FC16D3">
              <w:rPr>
                <w:rFonts w:eastAsia="Times New Roman"/>
                <w:bCs/>
                <w:i/>
                <w:iCs/>
                <w:spacing w:val="-2"/>
                <w:sz w:val="16"/>
                <w:szCs w:val="16"/>
              </w:rPr>
              <w:t>Cuscuta suaveolens</w:t>
            </w:r>
          </w:p>
          <w:p w:rsidR="00FC16D3" w:rsidRPr="00FC16D3" w:rsidRDefault="00FC16D3" w:rsidP="00FC16D3">
            <w:pPr>
              <w:autoSpaceDE w:val="0"/>
              <w:autoSpaceDN w:val="0"/>
              <w:adjustRightInd w:val="0"/>
              <w:spacing w:after="0" w:line="240" w:lineRule="auto"/>
              <w:jc w:val="left"/>
              <w:rPr>
                <w:rFonts w:eastAsia="Times New Roman"/>
                <w:bCs/>
                <w:caps/>
                <w:spacing w:val="-2"/>
                <w:sz w:val="16"/>
                <w:szCs w:val="16"/>
              </w:rPr>
            </w:pPr>
            <w:r w:rsidRPr="00FC16D3">
              <w:rPr>
                <w:rFonts w:eastAsia="Times New Roman"/>
                <w:bCs/>
                <w:spacing w:val="-2"/>
                <w:sz w:val="16"/>
                <w:szCs w:val="16"/>
              </w:rPr>
              <w:t>Chilean dodder</w:t>
            </w:r>
          </w:p>
          <w:p w:rsidR="00FC16D3" w:rsidRPr="00FC16D3" w:rsidRDefault="00FC16D3" w:rsidP="00FC16D3">
            <w:pPr>
              <w:autoSpaceDE w:val="0"/>
              <w:autoSpaceDN w:val="0"/>
              <w:adjustRightInd w:val="0"/>
              <w:spacing w:after="0" w:line="240" w:lineRule="auto"/>
              <w:jc w:val="left"/>
              <w:rPr>
                <w:rFonts w:eastAsia="Times New Roman"/>
                <w:bCs/>
                <w:caps/>
                <w:spacing w:val="-2"/>
                <w:sz w:val="16"/>
                <w:szCs w:val="16"/>
              </w:rPr>
            </w:pPr>
          </w:p>
          <w:p w:rsidR="00FC16D3" w:rsidRPr="00FC16D3" w:rsidRDefault="00FC16D3" w:rsidP="00FC16D3">
            <w:pPr>
              <w:autoSpaceDE w:val="0"/>
              <w:autoSpaceDN w:val="0"/>
              <w:adjustRightInd w:val="0"/>
              <w:spacing w:after="0" w:line="240" w:lineRule="auto"/>
              <w:jc w:val="left"/>
              <w:rPr>
                <w:rFonts w:eastAsia="Times New Roman"/>
                <w:bCs/>
                <w:caps/>
                <w:spacing w:val="-2"/>
                <w:sz w:val="16"/>
                <w:szCs w:val="16"/>
              </w:rPr>
            </w:pPr>
            <w:r w:rsidRPr="00FC16D3">
              <w:rPr>
                <w:rFonts w:eastAsia="Times New Roman"/>
                <w:bCs/>
                <w:i/>
                <w:iCs/>
                <w:spacing w:val="-2"/>
                <w:sz w:val="16"/>
                <w:szCs w:val="16"/>
              </w:rPr>
              <w:t>Cuscuta</w:t>
            </w:r>
            <w:r w:rsidRPr="00FC16D3">
              <w:rPr>
                <w:rFonts w:eastAsia="Times New Roman"/>
                <w:bCs/>
                <w:iCs/>
                <w:spacing w:val="-2"/>
                <w:sz w:val="16"/>
                <w:szCs w:val="16"/>
              </w:rPr>
              <w:t xml:space="preserve">, all non-native species not specifically </w:t>
            </w:r>
            <w:r w:rsidRPr="00FC16D3">
              <w:rPr>
                <w:rFonts w:eastAsia="Times New Roman"/>
                <w:bCs/>
                <w:iCs/>
                <w:spacing w:val="-2"/>
                <w:sz w:val="16"/>
                <w:szCs w:val="16"/>
              </w:rPr>
              <w:br/>
              <w:t>referred to in this schedule</w:t>
            </w:r>
          </w:p>
          <w:p w:rsidR="00FC16D3" w:rsidRPr="00FC16D3" w:rsidRDefault="00FC16D3" w:rsidP="00FC16D3">
            <w:pPr>
              <w:autoSpaceDE w:val="0"/>
              <w:autoSpaceDN w:val="0"/>
              <w:adjustRightInd w:val="0"/>
              <w:spacing w:after="0" w:line="240" w:lineRule="auto"/>
              <w:jc w:val="left"/>
              <w:rPr>
                <w:rFonts w:eastAsia="Times New Roman"/>
                <w:bCs/>
                <w:caps/>
                <w:spacing w:val="-2"/>
                <w:sz w:val="16"/>
                <w:szCs w:val="16"/>
              </w:rPr>
            </w:pPr>
            <w:r w:rsidRPr="00FC16D3">
              <w:rPr>
                <w:rFonts w:eastAsia="Times New Roman"/>
                <w:bCs/>
                <w:spacing w:val="-2"/>
                <w:sz w:val="16"/>
                <w:szCs w:val="16"/>
              </w:rPr>
              <w:t>dodders</w:t>
            </w:r>
          </w:p>
          <w:p w:rsidR="00FC16D3" w:rsidRPr="00FC16D3" w:rsidRDefault="00FC16D3" w:rsidP="00FC16D3">
            <w:pPr>
              <w:autoSpaceDE w:val="0"/>
              <w:autoSpaceDN w:val="0"/>
              <w:adjustRightInd w:val="0"/>
              <w:spacing w:after="0" w:line="240" w:lineRule="auto"/>
              <w:jc w:val="left"/>
              <w:rPr>
                <w:rFonts w:eastAsia="Times New Roman"/>
                <w:bCs/>
                <w:caps/>
                <w:spacing w:val="-2"/>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Equisetum</w:t>
            </w:r>
            <w:r w:rsidRPr="00FC16D3">
              <w:rPr>
                <w:rFonts w:eastAsia="Times New Roman"/>
                <w:spacing w:val="-2"/>
                <w:sz w:val="16"/>
                <w:szCs w:val="16"/>
              </w:rPr>
              <w:t xml:space="preserve"> spp.</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spacing w:val="-2"/>
                <w:sz w:val="16"/>
                <w:szCs w:val="16"/>
              </w:rPr>
              <w:t>horsetails</w:t>
            </w:r>
          </w:p>
          <w:p w:rsidR="00FC16D3" w:rsidRPr="00FC16D3" w:rsidRDefault="00FC16D3" w:rsidP="00FC16D3">
            <w:pPr>
              <w:autoSpaceDE w:val="0"/>
              <w:autoSpaceDN w:val="0"/>
              <w:adjustRightInd w:val="0"/>
              <w:spacing w:after="0" w:line="240" w:lineRule="auto"/>
              <w:jc w:val="left"/>
              <w:rPr>
                <w:rFonts w:eastAsia="Times New Roman"/>
                <w:spacing w:val="-2"/>
                <w:sz w:val="16"/>
                <w:szCs w:val="16"/>
              </w:rPr>
            </w:pPr>
            <w:r w:rsidRPr="00FC16D3">
              <w:rPr>
                <w:rFonts w:eastAsia="Times New Roman"/>
                <w:spacing w:val="-2"/>
                <w:sz w:val="16"/>
                <w:szCs w:val="16"/>
              </w:rPr>
              <w:t>(excluding dead shoots)</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i/>
                <w:iCs/>
                <w:sz w:val="16"/>
                <w:szCs w:val="16"/>
                <w:lang w:val="en-US"/>
              </w:rPr>
              <w:t>Gymnocoronis spilanthoides</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sz w:val="16"/>
                <w:szCs w:val="16"/>
                <w:lang w:val="en-US"/>
              </w:rPr>
              <w:t>Senegal tea plant</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p>
          <w:p w:rsidR="00FC16D3" w:rsidRPr="00FC16D3" w:rsidRDefault="00FC16D3" w:rsidP="00FC16D3">
            <w:pPr>
              <w:autoSpaceDE w:val="0"/>
              <w:autoSpaceDN w:val="0"/>
              <w:adjustRightInd w:val="0"/>
              <w:spacing w:after="0" w:line="240" w:lineRule="auto"/>
              <w:jc w:val="left"/>
              <w:rPr>
                <w:rFonts w:eastAsia="Times New Roman"/>
                <w:bCs/>
                <w:i/>
                <w:spacing w:val="-2"/>
                <w:sz w:val="16"/>
                <w:szCs w:val="16"/>
              </w:rPr>
            </w:pPr>
            <w:r w:rsidRPr="00FC16D3">
              <w:rPr>
                <w:rFonts w:eastAsia="Times New Roman"/>
                <w:bCs/>
                <w:i/>
                <w:spacing w:val="-2"/>
                <w:sz w:val="16"/>
                <w:szCs w:val="16"/>
              </w:rPr>
              <w:t>Jarava plumosa</w:t>
            </w:r>
          </w:p>
          <w:p w:rsidR="00FC16D3" w:rsidRPr="00FC16D3" w:rsidRDefault="00FC16D3" w:rsidP="00FC16D3">
            <w:pPr>
              <w:autoSpaceDE w:val="0"/>
              <w:autoSpaceDN w:val="0"/>
              <w:adjustRightInd w:val="0"/>
              <w:spacing w:after="0" w:line="240" w:lineRule="auto"/>
              <w:jc w:val="left"/>
              <w:rPr>
                <w:rFonts w:eastAsia="Times New Roman"/>
                <w:bCs/>
                <w:spacing w:val="-2"/>
                <w:sz w:val="16"/>
                <w:szCs w:val="16"/>
              </w:rPr>
            </w:pPr>
            <w:r w:rsidRPr="00FC16D3">
              <w:rPr>
                <w:rFonts w:eastAsia="Times New Roman"/>
                <w:bCs/>
                <w:spacing w:val="-2"/>
                <w:sz w:val="16"/>
                <w:szCs w:val="16"/>
              </w:rPr>
              <w:t>plumerillo</w:t>
            </w:r>
          </w:p>
          <w:p w:rsidR="00FC16D3" w:rsidRPr="00FC16D3" w:rsidRDefault="00FC16D3" w:rsidP="00FC16D3">
            <w:pPr>
              <w:autoSpaceDE w:val="0"/>
              <w:autoSpaceDN w:val="0"/>
              <w:adjustRightInd w:val="0"/>
              <w:spacing w:after="0" w:line="240" w:lineRule="auto"/>
              <w:jc w:val="left"/>
              <w:rPr>
                <w:rFonts w:eastAsia="Times New Roman"/>
                <w:bCs/>
                <w:spacing w:val="-2"/>
                <w:sz w:val="16"/>
                <w:szCs w:val="16"/>
              </w:rPr>
            </w:pPr>
          </w:p>
          <w:p w:rsidR="00FC16D3" w:rsidRPr="00FC16D3" w:rsidRDefault="00FC16D3" w:rsidP="00FC16D3">
            <w:pPr>
              <w:autoSpaceDE w:val="0"/>
              <w:autoSpaceDN w:val="0"/>
              <w:adjustRightInd w:val="0"/>
              <w:spacing w:after="0" w:line="240" w:lineRule="auto"/>
              <w:jc w:val="left"/>
              <w:rPr>
                <w:rFonts w:eastAsia="Times New Roman"/>
                <w:bCs/>
                <w:caps/>
                <w:spacing w:val="-2"/>
                <w:sz w:val="16"/>
                <w:szCs w:val="16"/>
              </w:rPr>
            </w:pPr>
            <w:r w:rsidRPr="00FC16D3">
              <w:rPr>
                <w:rFonts w:eastAsia="Times New Roman"/>
                <w:i/>
                <w:spacing w:val="-2"/>
                <w:sz w:val="16"/>
                <w:szCs w:val="16"/>
              </w:rPr>
              <w:t>Ludwigia peruviana</w:t>
            </w:r>
          </w:p>
          <w:p w:rsidR="00FC16D3" w:rsidRPr="00FC16D3" w:rsidRDefault="00FC16D3" w:rsidP="00FC16D3">
            <w:pPr>
              <w:autoSpaceDE w:val="0"/>
              <w:autoSpaceDN w:val="0"/>
              <w:adjustRightInd w:val="0"/>
              <w:spacing w:after="0" w:line="240" w:lineRule="auto"/>
              <w:jc w:val="left"/>
              <w:rPr>
                <w:rFonts w:eastAsia="Times New Roman"/>
                <w:i/>
                <w:iCs/>
                <w:sz w:val="16"/>
                <w:szCs w:val="16"/>
                <w:lang w:val="en-US"/>
              </w:rPr>
            </w:pPr>
            <w:r w:rsidRPr="00FC16D3">
              <w:rPr>
                <w:rFonts w:eastAsia="Times New Roman"/>
                <w:spacing w:val="-2"/>
                <w:sz w:val="16"/>
                <w:szCs w:val="16"/>
              </w:rPr>
              <w:t>primrose willow</w:t>
            </w:r>
          </w:p>
          <w:p w:rsidR="00FC16D3" w:rsidRPr="00FC16D3" w:rsidRDefault="00FC16D3" w:rsidP="00FC16D3">
            <w:pPr>
              <w:autoSpaceDE w:val="0"/>
              <w:autoSpaceDN w:val="0"/>
              <w:adjustRightInd w:val="0"/>
              <w:spacing w:after="0" w:line="240" w:lineRule="auto"/>
              <w:jc w:val="left"/>
              <w:rPr>
                <w:rFonts w:eastAsia="Times New Roman"/>
                <w:spacing w:val="-2"/>
                <w:sz w:val="16"/>
                <w:szCs w:val="16"/>
              </w:rPr>
            </w:pPr>
          </w:p>
          <w:p w:rsidR="00FC16D3" w:rsidRPr="00FC16D3" w:rsidRDefault="00FC16D3" w:rsidP="00FC16D3">
            <w:pPr>
              <w:autoSpaceDE w:val="0"/>
              <w:autoSpaceDN w:val="0"/>
              <w:adjustRightInd w:val="0"/>
              <w:spacing w:after="0" w:line="240" w:lineRule="auto"/>
              <w:jc w:val="left"/>
              <w:rPr>
                <w:rFonts w:eastAsia="Times New Roman"/>
                <w:bCs/>
                <w:caps/>
                <w:spacing w:val="-2"/>
                <w:sz w:val="16"/>
                <w:szCs w:val="16"/>
              </w:rPr>
            </w:pPr>
            <w:r w:rsidRPr="00FC16D3">
              <w:rPr>
                <w:rFonts w:eastAsia="Times New Roman"/>
                <w:i/>
                <w:iCs/>
                <w:sz w:val="16"/>
                <w:szCs w:val="16"/>
              </w:rPr>
              <w:t>Nassella hyalina</w:t>
            </w:r>
          </w:p>
          <w:p w:rsidR="00FC16D3" w:rsidRPr="00FC16D3" w:rsidRDefault="00FC16D3" w:rsidP="00FC16D3">
            <w:pPr>
              <w:autoSpaceDE w:val="0"/>
              <w:autoSpaceDN w:val="0"/>
              <w:adjustRightInd w:val="0"/>
              <w:spacing w:after="0" w:line="240" w:lineRule="auto"/>
              <w:jc w:val="left"/>
              <w:rPr>
                <w:rFonts w:eastAsia="Times New Roman"/>
                <w:spacing w:val="-2"/>
                <w:sz w:val="16"/>
                <w:szCs w:val="16"/>
              </w:rPr>
            </w:pPr>
            <w:r w:rsidRPr="00FC16D3">
              <w:rPr>
                <w:rFonts w:eastAsia="Times New Roman"/>
                <w:spacing w:val="-2"/>
                <w:sz w:val="16"/>
                <w:szCs w:val="16"/>
              </w:rPr>
              <w:t>cane needlegrass</w:t>
            </w:r>
          </w:p>
          <w:p w:rsidR="00FC16D3" w:rsidRPr="00FC16D3" w:rsidRDefault="00FC16D3" w:rsidP="00FC16D3">
            <w:pPr>
              <w:autoSpaceDE w:val="0"/>
              <w:autoSpaceDN w:val="0"/>
              <w:adjustRightInd w:val="0"/>
              <w:spacing w:after="0" w:line="240" w:lineRule="auto"/>
              <w:jc w:val="left"/>
              <w:rPr>
                <w:rFonts w:eastAsia="Times New Roman"/>
                <w:spacing w:val="-2"/>
                <w:sz w:val="16"/>
                <w:szCs w:val="16"/>
              </w:rPr>
            </w:pPr>
          </w:p>
          <w:p w:rsidR="00FC16D3" w:rsidRPr="0010586A" w:rsidRDefault="00FC16D3" w:rsidP="0010586A">
            <w:pPr>
              <w:autoSpaceDE w:val="0"/>
              <w:autoSpaceDN w:val="0"/>
              <w:adjustRightInd w:val="0"/>
              <w:spacing w:after="0" w:line="240" w:lineRule="auto"/>
              <w:jc w:val="left"/>
              <w:rPr>
                <w:rFonts w:eastAsia="Times New Roman"/>
                <w:i/>
                <w:spacing w:val="-2"/>
                <w:sz w:val="16"/>
                <w:szCs w:val="16"/>
              </w:rPr>
            </w:pPr>
            <w:r w:rsidRPr="0010586A">
              <w:rPr>
                <w:rFonts w:eastAsia="Times New Roman"/>
                <w:i/>
                <w:spacing w:val="-2"/>
                <w:sz w:val="16"/>
                <w:szCs w:val="16"/>
              </w:rPr>
              <w:t>Nassella tenuissima</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sz w:val="16"/>
                <w:szCs w:val="16"/>
                <w:lang w:val="en-US"/>
              </w:rPr>
              <w:t>Mexican feathergrass</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p>
          <w:p w:rsidR="00FC16D3" w:rsidRPr="00FC16D3" w:rsidRDefault="00FC16D3" w:rsidP="00FC16D3">
            <w:pPr>
              <w:autoSpaceDE w:val="0"/>
              <w:autoSpaceDN w:val="0"/>
              <w:adjustRightInd w:val="0"/>
              <w:spacing w:after="0" w:line="240" w:lineRule="auto"/>
              <w:jc w:val="left"/>
              <w:rPr>
                <w:rFonts w:eastAsia="Times New Roman"/>
                <w:i/>
                <w:spacing w:val="-2"/>
                <w:sz w:val="16"/>
                <w:szCs w:val="16"/>
              </w:rPr>
            </w:pPr>
            <w:r w:rsidRPr="00FC16D3">
              <w:rPr>
                <w:rFonts w:eastAsia="Times New Roman"/>
                <w:i/>
                <w:spacing w:val="-2"/>
                <w:sz w:val="16"/>
                <w:szCs w:val="16"/>
              </w:rPr>
              <w:t>Nassella trichotoma</w:t>
            </w:r>
          </w:p>
          <w:p w:rsidR="00FC16D3" w:rsidRPr="00FC16D3" w:rsidRDefault="00FC16D3" w:rsidP="00FC16D3">
            <w:pPr>
              <w:autoSpaceDE w:val="0"/>
              <w:autoSpaceDN w:val="0"/>
              <w:adjustRightInd w:val="0"/>
              <w:spacing w:after="0" w:line="240" w:lineRule="auto"/>
              <w:jc w:val="left"/>
              <w:rPr>
                <w:rFonts w:eastAsia="Times New Roman"/>
                <w:spacing w:val="-2"/>
                <w:sz w:val="16"/>
                <w:szCs w:val="16"/>
              </w:rPr>
            </w:pPr>
            <w:r w:rsidRPr="00FC16D3">
              <w:rPr>
                <w:rFonts w:eastAsia="Times New Roman"/>
                <w:spacing w:val="-2"/>
                <w:sz w:val="16"/>
                <w:szCs w:val="16"/>
              </w:rPr>
              <w:t>serrated tussock</w:t>
            </w:r>
          </w:p>
          <w:p w:rsidR="00FC16D3" w:rsidRPr="00FC16D3" w:rsidRDefault="00FC16D3" w:rsidP="00FC16D3">
            <w:pPr>
              <w:autoSpaceDE w:val="0"/>
              <w:autoSpaceDN w:val="0"/>
              <w:adjustRightInd w:val="0"/>
              <w:spacing w:after="0" w:line="240" w:lineRule="auto"/>
              <w:jc w:val="left"/>
              <w:rPr>
                <w:rFonts w:eastAsia="Times New Roman"/>
                <w:spacing w:val="-2"/>
                <w:sz w:val="16"/>
                <w:szCs w:val="16"/>
              </w:rPr>
            </w:pPr>
          </w:p>
          <w:p w:rsidR="00FC16D3" w:rsidRPr="00FC16D3" w:rsidRDefault="00FC16D3" w:rsidP="00FC16D3">
            <w:pPr>
              <w:autoSpaceDE w:val="0"/>
              <w:autoSpaceDN w:val="0"/>
              <w:adjustRightInd w:val="0"/>
              <w:spacing w:after="0" w:line="240" w:lineRule="auto"/>
              <w:jc w:val="left"/>
              <w:rPr>
                <w:rFonts w:eastAsia="Times New Roman"/>
                <w:spacing w:val="-2"/>
                <w:sz w:val="16"/>
                <w:szCs w:val="16"/>
              </w:rPr>
            </w:pPr>
            <w:r w:rsidRPr="00FC16D3">
              <w:rPr>
                <w:rFonts w:eastAsia="Times New Roman"/>
                <w:i/>
                <w:iCs/>
                <w:spacing w:val="-2"/>
                <w:sz w:val="16"/>
                <w:szCs w:val="16"/>
              </w:rPr>
              <w:t>Orobanche</w:t>
            </w:r>
            <w:r w:rsidRPr="00FC16D3">
              <w:rPr>
                <w:rFonts w:eastAsia="Times New Roman"/>
                <w:spacing w:val="-2"/>
                <w:sz w:val="16"/>
                <w:szCs w:val="16"/>
              </w:rPr>
              <w:t xml:space="preserve"> spp. (excluding </w:t>
            </w:r>
            <w:r w:rsidRPr="00FC16D3">
              <w:rPr>
                <w:rFonts w:eastAsia="Times New Roman"/>
                <w:i/>
                <w:iCs/>
                <w:spacing w:val="-2"/>
                <w:sz w:val="16"/>
                <w:szCs w:val="16"/>
              </w:rPr>
              <w:t xml:space="preserve">Orobanche cernua </w:t>
            </w:r>
            <w:r w:rsidRPr="00FC16D3">
              <w:rPr>
                <w:rFonts w:eastAsia="Times New Roman"/>
                <w:iCs/>
                <w:spacing w:val="-2"/>
                <w:sz w:val="16"/>
                <w:szCs w:val="16"/>
              </w:rPr>
              <w:t>var.</w:t>
            </w:r>
            <w:r w:rsidRPr="00FC16D3">
              <w:rPr>
                <w:rFonts w:eastAsia="Times New Roman"/>
                <w:i/>
                <w:iCs/>
                <w:spacing w:val="-2"/>
                <w:sz w:val="16"/>
                <w:szCs w:val="16"/>
              </w:rPr>
              <w:t xml:space="preserve"> australiana ,</w:t>
            </w:r>
            <w:r w:rsidRPr="00FC16D3">
              <w:rPr>
                <w:rFonts w:eastAsia="Times New Roman"/>
                <w:iCs/>
                <w:spacing w:val="-2"/>
                <w:sz w:val="16"/>
                <w:szCs w:val="16"/>
              </w:rPr>
              <w:t xml:space="preserve"> </w:t>
            </w:r>
            <w:r w:rsidRPr="00FC16D3">
              <w:rPr>
                <w:rFonts w:eastAsia="Times New Roman"/>
                <w:i/>
                <w:iCs/>
                <w:spacing w:val="-2"/>
                <w:sz w:val="16"/>
                <w:szCs w:val="16"/>
              </w:rPr>
              <w:t>Orobanche minor</w:t>
            </w:r>
            <w:r w:rsidRPr="00FC16D3">
              <w:rPr>
                <w:rFonts w:eastAsia="Times New Roman"/>
                <w:iCs/>
                <w:spacing w:val="-2"/>
                <w:sz w:val="16"/>
                <w:szCs w:val="16"/>
              </w:rPr>
              <w:t xml:space="preserve"> and </w:t>
            </w:r>
            <w:r w:rsidRPr="00FC16D3">
              <w:rPr>
                <w:rFonts w:eastAsia="Times New Roman"/>
                <w:i/>
                <w:iCs/>
                <w:spacing w:val="-2"/>
                <w:sz w:val="16"/>
                <w:szCs w:val="16"/>
              </w:rPr>
              <w:t>Orobanche ramosa</w:t>
            </w:r>
            <w:r w:rsidRPr="00FC16D3">
              <w:rPr>
                <w:rFonts w:eastAsia="Times New Roman"/>
                <w:spacing w:val="-2"/>
                <w:sz w:val="16"/>
                <w:szCs w:val="16"/>
              </w:rPr>
              <w:t>)</w:t>
            </w:r>
          </w:p>
          <w:p w:rsidR="00FC16D3" w:rsidRPr="00FC16D3" w:rsidRDefault="00FC16D3" w:rsidP="00FC16D3">
            <w:pPr>
              <w:autoSpaceDE w:val="0"/>
              <w:autoSpaceDN w:val="0"/>
              <w:adjustRightInd w:val="0"/>
              <w:spacing w:after="0" w:line="240" w:lineRule="auto"/>
              <w:jc w:val="left"/>
              <w:rPr>
                <w:rFonts w:eastAsia="Times New Roman"/>
                <w:b/>
                <w:spacing w:val="-2"/>
                <w:sz w:val="16"/>
                <w:szCs w:val="16"/>
              </w:rPr>
            </w:pPr>
            <w:r w:rsidRPr="00FC16D3">
              <w:rPr>
                <w:rFonts w:eastAsia="Times New Roman"/>
                <w:spacing w:val="-2"/>
                <w:sz w:val="16"/>
                <w:szCs w:val="16"/>
                <w:lang w:val="x-none"/>
              </w:rPr>
              <w:t>broomrapes</w:t>
            </w:r>
          </w:p>
          <w:p w:rsidR="00FC16D3" w:rsidRPr="00FC16D3" w:rsidRDefault="00FC16D3" w:rsidP="00FC16D3">
            <w:pPr>
              <w:autoSpaceDE w:val="0"/>
              <w:autoSpaceDN w:val="0"/>
              <w:adjustRightInd w:val="0"/>
              <w:spacing w:after="0" w:line="240" w:lineRule="auto"/>
              <w:jc w:val="left"/>
              <w:rPr>
                <w:rFonts w:eastAsia="Times New Roman"/>
                <w:b/>
                <w:sz w:val="16"/>
                <w:szCs w:val="16"/>
                <w:lang w:val="en-US"/>
              </w:rPr>
            </w:pPr>
          </w:p>
          <w:p w:rsidR="00FC16D3" w:rsidRPr="00FC16D3" w:rsidRDefault="00FC16D3" w:rsidP="00FC16D3">
            <w:pPr>
              <w:spacing w:after="0" w:line="240" w:lineRule="auto"/>
              <w:jc w:val="left"/>
              <w:rPr>
                <w:rFonts w:eastAsia="Times New Roman"/>
                <w:sz w:val="16"/>
                <w:szCs w:val="16"/>
                <w:lang w:val="en-US"/>
              </w:rPr>
            </w:pPr>
            <w:r w:rsidRPr="00FC16D3">
              <w:rPr>
                <w:rFonts w:eastAsia="Times New Roman"/>
                <w:i/>
                <w:spacing w:val="-2"/>
                <w:sz w:val="16"/>
                <w:szCs w:val="16"/>
              </w:rPr>
              <w:t>Parkinsonia aculeata</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spacing w:val="-2"/>
                <w:sz w:val="16"/>
                <w:szCs w:val="16"/>
              </w:rPr>
              <w:t>parkinsonia</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p>
          <w:p w:rsidR="00FC16D3" w:rsidRPr="00FC16D3" w:rsidRDefault="00FC16D3" w:rsidP="00FC16D3">
            <w:pPr>
              <w:autoSpaceDE w:val="0"/>
              <w:autoSpaceDN w:val="0"/>
              <w:adjustRightInd w:val="0"/>
              <w:spacing w:after="0" w:line="240" w:lineRule="auto"/>
              <w:jc w:val="left"/>
              <w:rPr>
                <w:rFonts w:eastAsia="Times New Roman"/>
                <w:bCs/>
                <w:caps/>
                <w:spacing w:val="-2"/>
                <w:sz w:val="16"/>
                <w:szCs w:val="16"/>
              </w:rPr>
            </w:pPr>
            <w:r w:rsidRPr="00FC16D3">
              <w:rPr>
                <w:rFonts w:eastAsia="Times New Roman"/>
                <w:i/>
                <w:spacing w:val="-2"/>
                <w:sz w:val="16"/>
                <w:szCs w:val="16"/>
              </w:rPr>
              <w:t>Parthenium hysterophorus</w:t>
            </w:r>
          </w:p>
          <w:p w:rsidR="00FC16D3" w:rsidRPr="00FC16D3" w:rsidRDefault="00FC16D3" w:rsidP="00FC16D3">
            <w:pPr>
              <w:autoSpaceDE w:val="0"/>
              <w:autoSpaceDN w:val="0"/>
              <w:adjustRightInd w:val="0"/>
              <w:spacing w:after="0" w:line="240" w:lineRule="auto"/>
              <w:jc w:val="left"/>
              <w:rPr>
                <w:rFonts w:eastAsia="Times New Roman"/>
                <w:bCs/>
                <w:caps/>
                <w:spacing w:val="-2"/>
                <w:sz w:val="16"/>
                <w:szCs w:val="16"/>
              </w:rPr>
            </w:pPr>
            <w:r w:rsidRPr="00FC16D3">
              <w:rPr>
                <w:rFonts w:eastAsia="Times New Roman"/>
                <w:spacing w:val="-2"/>
                <w:sz w:val="16"/>
                <w:szCs w:val="16"/>
              </w:rPr>
              <w:t>parthenium weed</w:t>
            </w:r>
          </w:p>
          <w:p w:rsidR="00FC16D3" w:rsidRPr="00FC16D3" w:rsidRDefault="00FC16D3" w:rsidP="00FC16D3">
            <w:pPr>
              <w:autoSpaceDE w:val="0"/>
              <w:autoSpaceDN w:val="0"/>
              <w:adjustRightInd w:val="0"/>
              <w:spacing w:after="0" w:line="240" w:lineRule="auto"/>
              <w:jc w:val="left"/>
              <w:rPr>
                <w:rFonts w:eastAsia="Times New Roman"/>
                <w:bCs/>
                <w:spacing w:val="-2"/>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 xml:space="preserve">Prosopis </w:t>
            </w:r>
            <w:r w:rsidRPr="00FC16D3">
              <w:rPr>
                <w:rFonts w:eastAsia="Times New Roman"/>
                <w:spacing w:val="-2"/>
                <w:sz w:val="16"/>
                <w:szCs w:val="16"/>
              </w:rPr>
              <w:t>spp.</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spacing w:val="-2"/>
                <w:sz w:val="16"/>
                <w:szCs w:val="16"/>
              </w:rPr>
              <w:t>mesquite</w:t>
            </w:r>
          </w:p>
          <w:p w:rsidR="00FC16D3" w:rsidRPr="00FC16D3" w:rsidRDefault="00FC16D3" w:rsidP="00FC16D3">
            <w:pPr>
              <w:autoSpaceDE w:val="0"/>
              <w:autoSpaceDN w:val="0"/>
              <w:adjustRightInd w:val="0"/>
              <w:spacing w:after="0" w:line="240" w:lineRule="auto"/>
              <w:jc w:val="left"/>
              <w:rPr>
                <w:rFonts w:eastAsia="Times New Roman"/>
                <w:spacing w:val="-2"/>
                <w:sz w:val="16"/>
                <w:szCs w:val="16"/>
              </w:rPr>
            </w:pPr>
            <w:r w:rsidRPr="00FC16D3">
              <w:rPr>
                <w:rFonts w:eastAsia="Times New Roman"/>
                <w:spacing w:val="-2"/>
                <w:sz w:val="16"/>
                <w:szCs w:val="16"/>
              </w:rPr>
              <w:t>(excluding seasoned dry timber)</w:t>
            </w:r>
          </w:p>
          <w:p w:rsidR="00FC16D3" w:rsidRPr="00FC16D3" w:rsidRDefault="00FC16D3" w:rsidP="00FC16D3">
            <w:pPr>
              <w:autoSpaceDE w:val="0"/>
              <w:autoSpaceDN w:val="0"/>
              <w:adjustRightInd w:val="0"/>
              <w:spacing w:after="0" w:line="240" w:lineRule="auto"/>
              <w:jc w:val="left"/>
              <w:rPr>
                <w:rFonts w:eastAsia="Times New Roman"/>
                <w:spacing w:val="-2"/>
                <w:sz w:val="16"/>
                <w:szCs w:val="16"/>
              </w:rPr>
            </w:pPr>
          </w:p>
          <w:p w:rsidR="00FC16D3" w:rsidRPr="00FC16D3" w:rsidRDefault="00FC16D3" w:rsidP="00FC16D3">
            <w:pPr>
              <w:autoSpaceDE w:val="0"/>
              <w:autoSpaceDN w:val="0"/>
              <w:adjustRightInd w:val="0"/>
              <w:spacing w:after="0" w:line="240" w:lineRule="auto"/>
              <w:jc w:val="left"/>
              <w:rPr>
                <w:rFonts w:eastAsia="Times New Roman"/>
                <w:spacing w:val="-2"/>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Ranunculus sceleratus</w:t>
            </w:r>
          </w:p>
          <w:p w:rsidR="00FC16D3" w:rsidRPr="00FC16D3" w:rsidRDefault="00FC16D3" w:rsidP="00FC16D3">
            <w:pPr>
              <w:autoSpaceDE w:val="0"/>
              <w:autoSpaceDN w:val="0"/>
              <w:adjustRightInd w:val="0"/>
              <w:spacing w:after="0" w:line="240" w:lineRule="auto"/>
              <w:jc w:val="left"/>
              <w:rPr>
                <w:rFonts w:eastAsia="Times New Roman"/>
                <w:spacing w:val="-2"/>
                <w:sz w:val="16"/>
                <w:szCs w:val="16"/>
              </w:rPr>
            </w:pPr>
            <w:r w:rsidRPr="00FC16D3">
              <w:rPr>
                <w:rFonts w:eastAsia="Times New Roman"/>
                <w:spacing w:val="-2"/>
                <w:sz w:val="16"/>
                <w:szCs w:val="16"/>
              </w:rPr>
              <w:t>poison buttercup</w:t>
            </w:r>
          </w:p>
          <w:p w:rsidR="00FC16D3" w:rsidRPr="00FC16D3" w:rsidRDefault="00FC16D3" w:rsidP="00FC16D3">
            <w:pPr>
              <w:autoSpaceDE w:val="0"/>
              <w:autoSpaceDN w:val="0"/>
              <w:adjustRightInd w:val="0"/>
              <w:spacing w:after="0" w:line="240" w:lineRule="auto"/>
              <w:jc w:val="left"/>
              <w:rPr>
                <w:rFonts w:eastAsia="Times New Roman"/>
                <w:spacing w:val="-2"/>
                <w:sz w:val="16"/>
                <w:szCs w:val="16"/>
              </w:rPr>
            </w:pPr>
          </w:p>
          <w:p w:rsidR="00FC16D3" w:rsidRPr="00FC16D3" w:rsidRDefault="00FC16D3" w:rsidP="00FC16D3">
            <w:pPr>
              <w:autoSpaceDE w:val="0"/>
              <w:autoSpaceDN w:val="0"/>
              <w:adjustRightInd w:val="0"/>
              <w:spacing w:after="0" w:line="240" w:lineRule="auto"/>
              <w:jc w:val="left"/>
              <w:rPr>
                <w:rFonts w:eastAsia="Times New Roman"/>
                <w:i/>
                <w:spacing w:val="-2"/>
                <w:sz w:val="16"/>
                <w:szCs w:val="16"/>
              </w:rPr>
            </w:pPr>
            <w:r w:rsidRPr="00FC16D3">
              <w:rPr>
                <w:rFonts w:eastAsia="Times New Roman"/>
                <w:i/>
                <w:spacing w:val="-2"/>
                <w:sz w:val="16"/>
                <w:szCs w:val="16"/>
              </w:rPr>
              <w:t>Rubus laudatus</w:t>
            </w:r>
          </w:p>
          <w:p w:rsidR="00FC16D3" w:rsidRPr="00FC16D3" w:rsidRDefault="00FC16D3" w:rsidP="00FC16D3">
            <w:pPr>
              <w:autoSpaceDE w:val="0"/>
              <w:autoSpaceDN w:val="0"/>
              <w:adjustRightInd w:val="0"/>
              <w:spacing w:after="0" w:line="240" w:lineRule="auto"/>
              <w:jc w:val="left"/>
              <w:rPr>
                <w:rFonts w:eastAsia="Times New Roman"/>
                <w:bCs/>
                <w:caps/>
                <w:spacing w:val="-2"/>
                <w:sz w:val="16"/>
                <w:szCs w:val="16"/>
              </w:rPr>
            </w:pPr>
            <w:r w:rsidRPr="00FC16D3">
              <w:rPr>
                <w:rFonts w:eastAsia="Times New Roman"/>
                <w:spacing w:val="-2"/>
                <w:sz w:val="16"/>
                <w:szCs w:val="16"/>
              </w:rPr>
              <w:t>Bundy blackberry</w:t>
            </w:r>
          </w:p>
          <w:p w:rsidR="00FC16D3" w:rsidRPr="00FC16D3" w:rsidRDefault="00FC16D3" w:rsidP="00FC16D3">
            <w:pPr>
              <w:autoSpaceDE w:val="0"/>
              <w:autoSpaceDN w:val="0"/>
              <w:adjustRightInd w:val="0"/>
              <w:spacing w:after="0" w:line="240" w:lineRule="auto"/>
              <w:jc w:val="left"/>
              <w:rPr>
                <w:rFonts w:eastAsia="Times New Roman"/>
                <w:bCs/>
                <w:spacing w:val="-2"/>
                <w:sz w:val="16"/>
                <w:szCs w:val="16"/>
              </w:rPr>
            </w:pPr>
          </w:p>
          <w:p w:rsidR="00FC16D3" w:rsidRPr="00FC16D3" w:rsidRDefault="00FC16D3" w:rsidP="00FC16D3">
            <w:pPr>
              <w:autoSpaceDE w:val="0"/>
              <w:autoSpaceDN w:val="0"/>
              <w:adjustRightInd w:val="0"/>
              <w:spacing w:after="0" w:line="240" w:lineRule="auto"/>
              <w:jc w:val="left"/>
              <w:rPr>
                <w:rFonts w:eastAsia="Times New Roman"/>
                <w:bCs/>
                <w:caps/>
                <w:spacing w:val="-2"/>
                <w:sz w:val="16"/>
                <w:szCs w:val="16"/>
              </w:rPr>
            </w:pPr>
            <w:r w:rsidRPr="00FC16D3">
              <w:rPr>
                <w:rFonts w:eastAsia="Times New Roman"/>
                <w:i/>
                <w:iCs/>
                <w:sz w:val="16"/>
                <w:szCs w:val="16"/>
                <w:lang w:val="en-US"/>
              </w:rPr>
              <w:t>Sagittaria montevidensis</w:t>
            </w:r>
          </w:p>
          <w:p w:rsidR="00FC16D3" w:rsidRPr="00FC16D3" w:rsidRDefault="00FC16D3" w:rsidP="00FC16D3">
            <w:pPr>
              <w:autoSpaceDE w:val="0"/>
              <w:autoSpaceDN w:val="0"/>
              <w:adjustRightInd w:val="0"/>
              <w:spacing w:after="0" w:line="240" w:lineRule="auto"/>
              <w:jc w:val="left"/>
              <w:rPr>
                <w:rFonts w:eastAsia="Times New Roman"/>
                <w:b/>
                <w:bCs/>
                <w:caps/>
                <w:spacing w:val="-2"/>
                <w:sz w:val="16"/>
                <w:szCs w:val="16"/>
              </w:rPr>
            </w:pPr>
            <w:r w:rsidRPr="00FC16D3">
              <w:rPr>
                <w:rFonts w:eastAsia="Times New Roman"/>
                <w:spacing w:val="-2"/>
                <w:sz w:val="16"/>
                <w:szCs w:val="16"/>
              </w:rPr>
              <w:t>giant arrowhead</w:t>
            </w:r>
          </w:p>
          <w:p w:rsidR="00FC16D3" w:rsidRPr="00FC16D3" w:rsidRDefault="00FC16D3" w:rsidP="00FC16D3">
            <w:pPr>
              <w:spacing w:after="0" w:line="240" w:lineRule="auto"/>
              <w:jc w:val="left"/>
              <w:rPr>
                <w:rFonts w:eastAsia="Times New Roman"/>
                <w:sz w:val="16"/>
                <w:szCs w:val="16"/>
              </w:rPr>
            </w:pPr>
          </w:p>
        </w:tc>
        <w:tc>
          <w:tcPr>
            <w:tcW w:w="1219" w:type="pct"/>
            <w:tcBorders>
              <w:top w:val="nil"/>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 190(1)(2)(3), 192(1), 194</w:t>
            </w:r>
          </w:p>
        </w:tc>
        <w:tc>
          <w:tcPr>
            <w:tcW w:w="578" w:type="pct"/>
            <w:tcBorders>
              <w:top w:val="nil"/>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w:t>
            </w:r>
          </w:p>
        </w:tc>
        <w:tc>
          <w:tcPr>
            <w:tcW w:w="1024" w:type="pct"/>
            <w:tcBorders>
              <w:top w:val="nil"/>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tc>
      </w:tr>
      <w:tr w:rsidR="00FC16D3" w:rsidRPr="00FC16D3" w:rsidTr="00805B8E">
        <w:trPr>
          <w:trHeight w:val="1778"/>
        </w:trPr>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1"/>
                <w:sz w:val="16"/>
                <w:szCs w:val="16"/>
                <w:lang w:val="en-US"/>
              </w:rPr>
              <w:t>Cabomba caroliniana</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spacing w:val="-2"/>
                <w:sz w:val="16"/>
                <w:szCs w:val="16"/>
              </w:rPr>
              <w:t>cabomba</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i/>
                <w:iCs/>
                <w:sz w:val="16"/>
                <w:szCs w:val="16"/>
                <w:lang w:val="en-US"/>
              </w:rPr>
              <w:t>Egeria densa</w:t>
            </w:r>
          </w:p>
          <w:p w:rsidR="00FC16D3" w:rsidRPr="00FC16D3" w:rsidRDefault="00FC16D3" w:rsidP="00FC16D3">
            <w:pPr>
              <w:spacing w:after="0" w:line="240" w:lineRule="auto"/>
              <w:jc w:val="left"/>
              <w:rPr>
                <w:rFonts w:eastAsia="Times New Roman"/>
                <w:sz w:val="16"/>
                <w:szCs w:val="16"/>
                <w:lang w:val="en-US"/>
              </w:rPr>
            </w:pPr>
            <w:r w:rsidRPr="00FC16D3">
              <w:rPr>
                <w:rFonts w:eastAsia="Times New Roman"/>
                <w:sz w:val="16"/>
                <w:szCs w:val="16"/>
                <w:lang w:val="en-US"/>
              </w:rPr>
              <w:t>leafy elodea</w:t>
            </w:r>
          </w:p>
          <w:p w:rsidR="00FC16D3" w:rsidRPr="00FC16D3" w:rsidRDefault="00FC16D3" w:rsidP="00FC16D3">
            <w:pPr>
              <w:spacing w:after="0" w:line="240" w:lineRule="auto"/>
              <w:jc w:val="left"/>
              <w:rPr>
                <w:rFonts w:eastAsia="Times New Roman"/>
                <w:sz w:val="16"/>
                <w:szCs w:val="16"/>
                <w:lang w:val="en-US"/>
              </w:rPr>
            </w:pP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i/>
                <w:iCs/>
                <w:sz w:val="16"/>
                <w:szCs w:val="16"/>
                <w:lang w:val="en-US"/>
              </w:rPr>
              <w:t>Eichhornia crassipes</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lang w:val="en-US"/>
              </w:rPr>
              <w:t>water hyacinth</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i/>
                <w:iCs/>
                <w:sz w:val="16"/>
                <w:szCs w:val="16"/>
                <w:lang w:val="en-US"/>
              </w:rPr>
              <w:t>Elodea canadensis</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sz w:val="16"/>
                <w:szCs w:val="16"/>
                <w:lang w:val="en-US"/>
              </w:rPr>
              <w:t>elodea</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p>
          <w:p w:rsidR="00FC16D3" w:rsidRPr="00FC16D3" w:rsidRDefault="00FC16D3" w:rsidP="00FC16D3">
            <w:pPr>
              <w:autoSpaceDE w:val="0"/>
              <w:autoSpaceDN w:val="0"/>
              <w:adjustRightInd w:val="0"/>
              <w:spacing w:after="0" w:line="240" w:lineRule="auto"/>
              <w:jc w:val="left"/>
              <w:rPr>
                <w:rFonts w:eastAsia="Times New Roman"/>
                <w:i/>
                <w:iCs/>
                <w:sz w:val="16"/>
                <w:szCs w:val="16"/>
                <w:lang w:val="en-US"/>
              </w:rPr>
            </w:pPr>
            <w:r w:rsidRPr="00FC16D3">
              <w:rPr>
                <w:rFonts w:eastAsia="Times New Roman"/>
                <w:i/>
                <w:iCs/>
                <w:sz w:val="16"/>
                <w:szCs w:val="16"/>
                <w:lang w:val="en-US"/>
              </w:rPr>
              <w:t>Hydrocotyle ranunculoides</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sz w:val="16"/>
                <w:szCs w:val="16"/>
                <w:lang w:val="en-US"/>
              </w:rPr>
              <w:t>hydrocotyle</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i/>
                <w:iCs/>
                <w:sz w:val="16"/>
                <w:szCs w:val="16"/>
                <w:lang w:val="en-US"/>
              </w:rPr>
              <w:t>Lagarosiphon major</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sz w:val="16"/>
                <w:szCs w:val="16"/>
                <w:lang w:val="en-US"/>
              </w:rPr>
              <w:t>lagarosiphon</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i/>
                <w:iCs/>
                <w:sz w:val="16"/>
                <w:szCs w:val="16"/>
                <w:lang w:val="en-US"/>
              </w:rPr>
              <w:t>Myriophyllum spicatum</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sz w:val="16"/>
                <w:szCs w:val="16"/>
                <w:lang w:val="en-US"/>
              </w:rPr>
              <w:t>Eurasian water-milfoil</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p>
          <w:p w:rsidR="00FC16D3" w:rsidRPr="00FC16D3" w:rsidRDefault="00FC16D3" w:rsidP="00FC16D3">
            <w:pPr>
              <w:spacing w:after="0" w:line="240" w:lineRule="auto"/>
              <w:jc w:val="left"/>
              <w:rPr>
                <w:rFonts w:eastAsia="Times New Roman"/>
                <w:i/>
                <w:iCs/>
                <w:sz w:val="16"/>
                <w:szCs w:val="16"/>
                <w:lang w:val="en-US"/>
              </w:rPr>
            </w:pPr>
            <w:r w:rsidRPr="00FC16D3">
              <w:rPr>
                <w:rFonts w:eastAsia="Times New Roman"/>
                <w:i/>
                <w:iCs/>
                <w:sz w:val="16"/>
                <w:szCs w:val="16"/>
                <w:lang w:val="en-US"/>
              </w:rPr>
              <w:t>Sagittaria platyphylla</w:t>
            </w:r>
          </w:p>
          <w:p w:rsidR="00FC16D3" w:rsidRPr="00FC16D3" w:rsidRDefault="00FC16D3" w:rsidP="00FC16D3">
            <w:pPr>
              <w:autoSpaceDE w:val="0"/>
              <w:autoSpaceDN w:val="0"/>
              <w:adjustRightInd w:val="0"/>
              <w:spacing w:after="0" w:line="240" w:lineRule="auto"/>
              <w:jc w:val="left"/>
              <w:rPr>
                <w:rFonts w:eastAsia="Times New Roman"/>
                <w:spacing w:val="-2"/>
                <w:sz w:val="16"/>
                <w:szCs w:val="16"/>
              </w:rPr>
            </w:pPr>
            <w:r w:rsidRPr="00FC16D3">
              <w:rPr>
                <w:rFonts w:eastAsia="Times New Roman"/>
                <w:sz w:val="16"/>
                <w:szCs w:val="16"/>
                <w:lang w:val="en-US"/>
              </w:rPr>
              <w:t>sagittaria, arrowhead</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i/>
                <w:iCs/>
                <w:sz w:val="16"/>
                <w:szCs w:val="16"/>
                <w:lang w:val="en-US"/>
              </w:rPr>
              <w:t xml:space="preserve">Salvinia  </w:t>
            </w:r>
            <w:r w:rsidRPr="00FC16D3">
              <w:rPr>
                <w:rFonts w:eastAsia="Times New Roman"/>
                <w:iCs/>
                <w:sz w:val="16"/>
                <w:szCs w:val="16"/>
                <w:lang w:val="en-US"/>
              </w:rPr>
              <w:t>spp.</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sz w:val="16"/>
                <w:szCs w:val="16"/>
                <w:lang w:val="en-US"/>
              </w:rPr>
              <w:t>salvinia</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p>
          <w:p w:rsidR="00FC16D3" w:rsidRPr="00FC16D3" w:rsidRDefault="00FC16D3" w:rsidP="00FC16D3">
            <w:pPr>
              <w:spacing w:after="0" w:line="240" w:lineRule="auto"/>
              <w:jc w:val="left"/>
              <w:rPr>
                <w:rFonts w:eastAsia="Times New Roman"/>
                <w:i/>
                <w:iCs/>
                <w:sz w:val="16"/>
                <w:szCs w:val="16"/>
                <w:lang w:val="en-US"/>
              </w:rPr>
            </w:pPr>
            <w:r w:rsidRPr="00FC16D3">
              <w:rPr>
                <w:rFonts w:eastAsia="Times New Roman"/>
                <w:i/>
                <w:iCs/>
                <w:sz w:val="16"/>
                <w:szCs w:val="16"/>
                <w:lang w:val="en-US"/>
              </w:rPr>
              <w:t>Stratiotes aloides</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sz w:val="16"/>
                <w:szCs w:val="16"/>
                <w:lang w:val="en-US"/>
              </w:rPr>
              <w:t>water soldier</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r w:rsidRPr="00FC16D3">
              <w:rPr>
                <w:rFonts w:eastAsia="Times New Roman"/>
                <w:i/>
                <w:iCs/>
                <w:sz w:val="16"/>
                <w:szCs w:val="16"/>
                <w:lang w:val="en-US"/>
              </w:rPr>
              <w:t xml:space="preserve">Trapa natans </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lang w:val="en-US"/>
              </w:rPr>
              <w:t>water caltrop</w:t>
            </w:r>
            <w:r w:rsidRPr="00FC16D3">
              <w:rPr>
                <w:rFonts w:eastAsia="Times New Roman"/>
                <w:sz w:val="16"/>
                <w:szCs w:val="16"/>
              </w:rPr>
              <w:t xml:space="preserve"> </w:t>
            </w:r>
          </w:p>
          <w:p w:rsidR="00FC16D3" w:rsidRPr="00FC16D3" w:rsidRDefault="00FC16D3" w:rsidP="00FC16D3">
            <w:pPr>
              <w:spacing w:after="0" w:line="240" w:lineRule="auto"/>
              <w:jc w:val="left"/>
              <w:rPr>
                <w:rFonts w:eastAsia="Times New Roman"/>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 190(1)(2)(3), 192(1)</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tc>
      </w:tr>
      <w:tr w:rsidR="00FC16D3" w:rsidRPr="00FC16D3" w:rsidTr="00805B8E">
        <w:trPr>
          <w:trHeight w:val="1778"/>
        </w:trPr>
        <w:tc>
          <w:tcPr>
            <w:tcW w:w="2179" w:type="pct"/>
          </w:tcPr>
          <w:p w:rsidR="00FC16D3" w:rsidRPr="00FC16D3" w:rsidRDefault="00FC16D3" w:rsidP="00FC16D3">
            <w:pPr>
              <w:spacing w:before="120" w:after="0" w:line="240" w:lineRule="auto"/>
              <w:jc w:val="left"/>
              <w:rPr>
                <w:rFonts w:eastAsia="Times New Roman"/>
                <w:b/>
                <w:bCs/>
                <w:sz w:val="24"/>
                <w:szCs w:val="24"/>
                <w:lang w:val="en-US"/>
              </w:rPr>
            </w:pPr>
            <w:r w:rsidRPr="00FC16D3">
              <w:rPr>
                <w:rFonts w:eastAsia="Times New Roman"/>
                <w:b/>
                <w:sz w:val="24"/>
                <w:szCs w:val="24"/>
                <w:lang w:val="en-US"/>
              </w:rPr>
              <w:t xml:space="preserve">CLASS </w:t>
            </w:r>
            <w:r w:rsidRPr="00FC16D3">
              <w:rPr>
                <w:rFonts w:eastAsia="Times New Roman"/>
                <w:b/>
                <w:bCs/>
                <w:sz w:val="24"/>
                <w:szCs w:val="24"/>
                <w:lang w:val="en-US"/>
              </w:rPr>
              <w:t>3</w:t>
            </w:r>
          </w:p>
          <w:p w:rsidR="00FC16D3" w:rsidRPr="00FC16D3" w:rsidRDefault="00FC16D3" w:rsidP="00FC16D3">
            <w:pPr>
              <w:spacing w:after="0" w:line="240" w:lineRule="auto"/>
              <w:jc w:val="left"/>
              <w:rPr>
                <w:rFonts w:eastAsia="Times New Roman"/>
                <w:sz w:val="16"/>
                <w:szCs w:val="16"/>
              </w:rPr>
            </w:pPr>
          </w:p>
          <w:p w:rsidR="00FC16D3" w:rsidRPr="009F78C8" w:rsidRDefault="00FC16D3" w:rsidP="009F78C8">
            <w:pPr>
              <w:autoSpaceDE w:val="0"/>
              <w:autoSpaceDN w:val="0"/>
              <w:adjustRightInd w:val="0"/>
              <w:spacing w:after="0" w:line="240" w:lineRule="auto"/>
              <w:jc w:val="left"/>
              <w:rPr>
                <w:rFonts w:eastAsia="Times New Roman"/>
                <w:i/>
                <w:iCs/>
                <w:sz w:val="16"/>
                <w:szCs w:val="16"/>
                <w:lang w:val="en-US"/>
              </w:rPr>
            </w:pPr>
            <w:r w:rsidRPr="009F78C8">
              <w:rPr>
                <w:rFonts w:eastAsia="Times New Roman"/>
                <w:i/>
                <w:iCs/>
                <w:sz w:val="16"/>
                <w:szCs w:val="16"/>
                <w:lang w:val="en-US"/>
              </w:rPr>
              <w:t>Orobanche ramosa</w:t>
            </w:r>
          </w:p>
          <w:p w:rsidR="00FC16D3" w:rsidRPr="00FC16D3" w:rsidRDefault="00FC16D3" w:rsidP="00FC16D3">
            <w:pPr>
              <w:spacing w:after="0" w:line="240" w:lineRule="auto"/>
              <w:jc w:val="left"/>
              <w:rPr>
                <w:rFonts w:eastAsia="Times New Roman"/>
                <w:sz w:val="16"/>
                <w:szCs w:val="16"/>
              </w:rPr>
            </w:pPr>
            <w:r w:rsidRPr="00FC16D3">
              <w:rPr>
                <w:rFonts w:eastAsia="Times New Roman"/>
                <w:spacing w:val="-2"/>
                <w:sz w:val="16"/>
                <w:szCs w:val="16"/>
              </w:rPr>
              <w:t>branched broomrape</w:t>
            </w:r>
          </w:p>
          <w:p w:rsidR="00FC16D3" w:rsidRPr="00FC16D3" w:rsidRDefault="00FC16D3" w:rsidP="00FC16D3">
            <w:pPr>
              <w:spacing w:after="0" w:line="240" w:lineRule="auto"/>
              <w:jc w:val="left"/>
              <w:rPr>
                <w:rFonts w:eastAsia="Times New Roman"/>
                <w:b/>
                <w:sz w:val="24"/>
                <w:szCs w:val="24"/>
                <w:lang w:val="en-US"/>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 xml:space="preserve">186(1)(2), 188(1)(2), </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190(1)(2)(3), 194</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192(1)</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w:t>
            </w:r>
          </w:p>
          <w:p w:rsidR="00FC16D3" w:rsidRPr="00FC16D3" w:rsidRDefault="00FC16D3" w:rsidP="00FC16D3">
            <w:pPr>
              <w:spacing w:after="0" w:line="240" w:lineRule="auto"/>
              <w:jc w:val="left"/>
              <w:rPr>
                <w:rFonts w:eastAsia="Times New Roman"/>
                <w:sz w:val="16"/>
                <w:szCs w:val="16"/>
              </w:rPr>
            </w:pP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Alinytjara Wilurara, Eyre Peninsula, Green Adelaide, Hills and Fleurieu, Kangaroo Island, Northern and Yorke, South Australian Arid Lands and Limestone Coast  Regions.</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 of the Murraylands and Riverland Region.</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1778"/>
        </w:trPr>
        <w:tc>
          <w:tcPr>
            <w:tcW w:w="2179" w:type="pct"/>
          </w:tcPr>
          <w:p w:rsidR="00FC16D3" w:rsidRPr="00FC16D3" w:rsidRDefault="00FC16D3" w:rsidP="00FC16D3">
            <w:pPr>
              <w:spacing w:before="120" w:after="0" w:line="240" w:lineRule="auto"/>
              <w:jc w:val="left"/>
              <w:rPr>
                <w:rFonts w:eastAsia="Times New Roman"/>
                <w:b/>
                <w:bCs/>
                <w:sz w:val="24"/>
                <w:szCs w:val="24"/>
                <w:lang w:val="en-US"/>
              </w:rPr>
            </w:pPr>
            <w:r w:rsidRPr="00FC16D3">
              <w:rPr>
                <w:rFonts w:eastAsia="Times New Roman"/>
                <w:b/>
                <w:sz w:val="24"/>
                <w:szCs w:val="24"/>
                <w:lang w:val="en-US"/>
              </w:rPr>
              <w:t xml:space="preserve">CLASS </w:t>
            </w:r>
            <w:r w:rsidRPr="00FC16D3">
              <w:rPr>
                <w:rFonts w:eastAsia="Times New Roman"/>
                <w:b/>
                <w:bCs/>
                <w:sz w:val="24"/>
                <w:szCs w:val="24"/>
                <w:lang w:val="en-US"/>
              </w:rPr>
              <w:t>4</w:t>
            </w:r>
          </w:p>
          <w:p w:rsidR="00FC16D3" w:rsidRPr="00FC16D3" w:rsidRDefault="00FC16D3" w:rsidP="00FC16D3">
            <w:pPr>
              <w:spacing w:after="0" w:line="240" w:lineRule="auto"/>
              <w:jc w:val="left"/>
              <w:rPr>
                <w:rFonts w:eastAsia="Times New Roman"/>
                <w:sz w:val="16"/>
                <w:szCs w:val="16"/>
              </w:rPr>
            </w:pPr>
          </w:p>
          <w:p w:rsidR="00FC16D3" w:rsidRPr="00FC16D3" w:rsidRDefault="00FC16D3" w:rsidP="00A06427">
            <w:pPr>
              <w:spacing w:after="0" w:line="240" w:lineRule="auto"/>
              <w:jc w:val="left"/>
              <w:rPr>
                <w:rFonts w:eastAsia="Times New Roman"/>
                <w:i/>
                <w:spacing w:val="-2"/>
                <w:sz w:val="16"/>
                <w:szCs w:val="16"/>
              </w:rPr>
            </w:pPr>
            <w:r w:rsidRPr="00A06427">
              <w:rPr>
                <w:rFonts w:eastAsia="Times New Roman"/>
                <w:bCs/>
                <w:i/>
                <w:iCs/>
                <w:snapToGrid w:val="0"/>
                <w:sz w:val="16"/>
                <w:szCs w:val="16"/>
                <w:lang w:val="en-US"/>
              </w:rPr>
              <w:t>Nassella leucotricha</w:t>
            </w:r>
          </w:p>
          <w:p w:rsidR="00FC16D3" w:rsidRPr="00FC16D3" w:rsidRDefault="00FC16D3" w:rsidP="00FC16D3">
            <w:pPr>
              <w:spacing w:after="0" w:line="240" w:lineRule="auto"/>
              <w:jc w:val="left"/>
              <w:rPr>
                <w:rFonts w:eastAsia="Times New Roman"/>
                <w:sz w:val="16"/>
                <w:szCs w:val="16"/>
              </w:rPr>
            </w:pPr>
            <w:r w:rsidRPr="00FC16D3">
              <w:rPr>
                <w:rFonts w:eastAsia="Times New Roman"/>
                <w:spacing w:val="-2"/>
                <w:sz w:val="16"/>
                <w:szCs w:val="16"/>
              </w:rPr>
              <w:t>Texas needlegrass</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p>
          <w:p w:rsidR="00FC16D3" w:rsidRPr="00FC16D3" w:rsidRDefault="00FC16D3" w:rsidP="00FC16D3">
            <w:pPr>
              <w:spacing w:after="0" w:line="240" w:lineRule="auto"/>
              <w:jc w:val="left"/>
              <w:rPr>
                <w:rFonts w:eastAsia="Times New Roman"/>
                <w:bCs/>
                <w:i/>
                <w:iCs/>
                <w:snapToGrid w:val="0"/>
                <w:sz w:val="16"/>
                <w:szCs w:val="16"/>
                <w:lang w:val="en-US"/>
              </w:rPr>
            </w:pPr>
            <w:r w:rsidRPr="00FC16D3">
              <w:rPr>
                <w:rFonts w:eastAsia="Times New Roman"/>
                <w:bCs/>
                <w:i/>
                <w:iCs/>
                <w:snapToGrid w:val="0"/>
                <w:sz w:val="16"/>
                <w:szCs w:val="16"/>
                <w:lang w:val="en-US"/>
              </w:rPr>
              <w:t>Nassella neesiana</w:t>
            </w:r>
          </w:p>
          <w:p w:rsidR="00FC16D3" w:rsidRPr="00FC16D3" w:rsidRDefault="00FC16D3" w:rsidP="00FC16D3">
            <w:pPr>
              <w:spacing w:after="0" w:line="240" w:lineRule="auto"/>
              <w:jc w:val="left"/>
              <w:rPr>
                <w:rFonts w:eastAsia="Times New Roman"/>
                <w:b/>
                <w:sz w:val="16"/>
                <w:szCs w:val="16"/>
              </w:rPr>
            </w:pPr>
            <w:r w:rsidRPr="00FC16D3">
              <w:rPr>
                <w:rFonts w:eastAsia="Times New Roman"/>
                <w:spacing w:val="-2"/>
                <w:sz w:val="16"/>
                <w:szCs w:val="16"/>
              </w:rPr>
              <w:t>Chilean needlegrass</w:t>
            </w:r>
          </w:p>
          <w:p w:rsidR="00FC16D3" w:rsidRPr="00FC16D3" w:rsidRDefault="00FC16D3" w:rsidP="00FC16D3">
            <w:pPr>
              <w:spacing w:after="0" w:line="240" w:lineRule="auto"/>
              <w:jc w:val="left"/>
              <w:rPr>
                <w:rFonts w:eastAsia="Times New Roman"/>
                <w:b/>
                <w:sz w:val="24"/>
                <w:szCs w:val="24"/>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 xml:space="preserve">186(1)(2), 188(1)(2), </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190(1)(2)(3), 192(1), 194</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186(3)</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Green Adelaide, Hills and Fleurieu, and Murraylands and Riverland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464"/>
        </w:trPr>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lang w:val="en-US"/>
              </w:rPr>
              <w:t>CLASS</w:t>
            </w:r>
            <w:r w:rsidRPr="00FC16D3">
              <w:rPr>
                <w:rFonts w:eastAsia="Times New Roman"/>
                <w:b/>
                <w:sz w:val="24"/>
                <w:szCs w:val="24"/>
              </w:rPr>
              <w:t xml:space="preserve"> 5</w:t>
            </w:r>
          </w:p>
          <w:p w:rsidR="00FC16D3" w:rsidRPr="00FC16D3" w:rsidRDefault="00FC16D3" w:rsidP="00FC16D3">
            <w:pPr>
              <w:autoSpaceDE w:val="0"/>
              <w:autoSpaceDN w:val="0"/>
              <w:adjustRightInd w:val="0"/>
              <w:spacing w:after="0" w:line="240" w:lineRule="auto"/>
              <w:jc w:val="left"/>
              <w:rPr>
                <w:rFonts w:eastAsia="Times New Roman"/>
                <w:sz w:val="16"/>
                <w:szCs w:val="16"/>
                <w:lang w:val="en-US"/>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Malvella leprosa</w:t>
            </w:r>
          </w:p>
          <w:p w:rsidR="00FC16D3" w:rsidRPr="00FC16D3" w:rsidRDefault="00FC16D3" w:rsidP="00FC16D3">
            <w:pPr>
              <w:autoSpaceDE w:val="0"/>
              <w:autoSpaceDN w:val="0"/>
              <w:adjustRightInd w:val="0"/>
              <w:spacing w:after="0" w:line="240" w:lineRule="auto"/>
              <w:jc w:val="left"/>
              <w:rPr>
                <w:rFonts w:eastAsia="Times New Roman"/>
                <w:spacing w:val="-2"/>
                <w:sz w:val="16"/>
                <w:szCs w:val="16"/>
              </w:rPr>
            </w:pPr>
            <w:r w:rsidRPr="00FC16D3">
              <w:rPr>
                <w:rFonts w:eastAsia="Times New Roman"/>
                <w:spacing w:val="-2"/>
                <w:sz w:val="16"/>
                <w:szCs w:val="16"/>
              </w:rPr>
              <w:t>alkali sida</w:t>
            </w:r>
          </w:p>
          <w:p w:rsidR="00FC16D3" w:rsidRPr="00FC16D3" w:rsidRDefault="00FC16D3" w:rsidP="00FC16D3">
            <w:pPr>
              <w:autoSpaceDE w:val="0"/>
              <w:autoSpaceDN w:val="0"/>
              <w:adjustRightInd w:val="0"/>
              <w:spacing w:after="0" w:line="240" w:lineRule="auto"/>
              <w:jc w:val="left"/>
              <w:rPr>
                <w:rFonts w:eastAsia="Times New Roman"/>
                <w:spacing w:val="-2"/>
                <w:sz w:val="16"/>
                <w:szCs w:val="16"/>
              </w:rPr>
            </w:pPr>
          </w:p>
          <w:p w:rsidR="00FC16D3" w:rsidRPr="00FC16D3" w:rsidRDefault="00FC16D3" w:rsidP="00FC16D3">
            <w:pPr>
              <w:autoSpaceDE w:val="0"/>
              <w:autoSpaceDN w:val="0"/>
              <w:adjustRightInd w:val="0"/>
              <w:spacing w:after="0" w:line="240" w:lineRule="auto"/>
              <w:jc w:val="left"/>
              <w:rPr>
                <w:rFonts w:eastAsia="Times New Roman"/>
                <w:b/>
                <w:spacing w:val="-2"/>
                <w:sz w:val="16"/>
                <w:szCs w:val="16"/>
              </w:rPr>
            </w:pPr>
          </w:p>
          <w:p w:rsidR="00FC16D3" w:rsidRPr="00FC16D3" w:rsidRDefault="00FC16D3" w:rsidP="00FC16D3">
            <w:pPr>
              <w:spacing w:after="0" w:line="240" w:lineRule="auto"/>
              <w:jc w:val="left"/>
              <w:rPr>
                <w:rFonts w:eastAsia="Times New Roman"/>
                <w:b/>
                <w:sz w:val="24"/>
                <w:szCs w:val="24"/>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  192(1), 194</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190(1)(2)(3)</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Alinytjara Wilurara, Green Adelaide, Hills and Fleurieu, Kangaroo Island, Northern and Yorke, South Australian Arid Lands, Murraylands and Riverland and Limestone Coast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1778"/>
        </w:trPr>
        <w:tc>
          <w:tcPr>
            <w:tcW w:w="2179" w:type="pct"/>
          </w:tcPr>
          <w:p w:rsidR="00FC16D3" w:rsidRPr="00FC16D3" w:rsidRDefault="00FC16D3" w:rsidP="00FC16D3">
            <w:pPr>
              <w:spacing w:before="120" w:after="0" w:line="240" w:lineRule="auto"/>
              <w:jc w:val="left"/>
              <w:rPr>
                <w:rFonts w:eastAsia="Times New Roman"/>
                <w:b/>
                <w:sz w:val="24"/>
                <w:szCs w:val="24"/>
                <w:lang w:val="en-US"/>
              </w:rPr>
            </w:pPr>
            <w:r w:rsidRPr="00FC16D3">
              <w:rPr>
                <w:rFonts w:eastAsia="Times New Roman"/>
                <w:b/>
                <w:sz w:val="24"/>
                <w:szCs w:val="24"/>
                <w:lang w:val="en-US"/>
              </w:rPr>
              <w:t>CLASS 6</w:t>
            </w:r>
          </w:p>
          <w:p w:rsidR="00FC16D3" w:rsidRPr="00FC16D3" w:rsidRDefault="00FC16D3" w:rsidP="00FC16D3">
            <w:pPr>
              <w:spacing w:after="0" w:line="240" w:lineRule="auto"/>
              <w:jc w:val="left"/>
              <w:rPr>
                <w:rFonts w:eastAsia="Times New Roman"/>
                <w:b/>
                <w:sz w:val="16"/>
                <w:szCs w:val="16"/>
                <w:lang w:val="en-US"/>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Cirsium arvense</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i/>
                <w:spacing w:val="-2"/>
                <w:sz w:val="16"/>
                <w:szCs w:val="16"/>
              </w:rPr>
            </w:pPr>
            <w:r w:rsidRPr="00FC16D3">
              <w:rPr>
                <w:rFonts w:eastAsia="Times New Roman"/>
                <w:sz w:val="16"/>
                <w:szCs w:val="16"/>
                <w:lang w:val="en-US"/>
              </w:rPr>
              <w:t>perennial thistle</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i/>
                <w:spacing w:val="-2"/>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Senecio jacobaea</w:t>
            </w:r>
          </w:p>
          <w:p w:rsidR="00FC16D3" w:rsidRPr="00FC16D3" w:rsidRDefault="00FC16D3" w:rsidP="00FC16D3">
            <w:pPr>
              <w:spacing w:after="0" w:line="240" w:lineRule="auto"/>
              <w:jc w:val="left"/>
              <w:rPr>
                <w:rFonts w:eastAsia="Times New Roman"/>
                <w:b/>
                <w:sz w:val="24"/>
                <w:szCs w:val="24"/>
                <w:lang w:val="en-US"/>
              </w:rPr>
            </w:pPr>
            <w:r w:rsidRPr="00FC16D3">
              <w:rPr>
                <w:rFonts w:eastAsia="Times New Roman"/>
                <w:sz w:val="16"/>
                <w:szCs w:val="16"/>
                <w:lang w:val="en-US"/>
              </w:rPr>
              <w:t>ragwort</w:t>
            </w: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190(1)(2)(3)</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192(1),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Green Adelaide, Hills and Fleurieu, Kangaroo Island, Northern and Yorke, Murraylands and Riverland and Limestone Coast Regions.</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Eyre Peninsula, Green Adelaide, Hills and Fleurieu, Kangaroo Island, Northern and Yorke, Murraylands and Riverland and Limestone Coast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1390"/>
        </w:trPr>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lang w:val="en-US"/>
              </w:rPr>
              <w:t>CLASS</w:t>
            </w:r>
            <w:r w:rsidRPr="00FC16D3">
              <w:rPr>
                <w:rFonts w:eastAsia="Times New Roman"/>
                <w:b/>
                <w:sz w:val="24"/>
                <w:szCs w:val="24"/>
              </w:rPr>
              <w:t xml:space="preserve"> 7</w:t>
            </w:r>
          </w:p>
          <w:p w:rsidR="00FC16D3" w:rsidRPr="00FC16D3" w:rsidRDefault="00FC16D3" w:rsidP="00FC16D3">
            <w:pPr>
              <w:spacing w:after="0" w:line="240" w:lineRule="auto"/>
              <w:jc w:val="left"/>
              <w:rPr>
                <w:rFonts w:eastAsia="Times New Roman"/>
                <w:b/>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i/>
                <w:spacing w:val="-2"/>
                <w:sz w:val="16"/>
                <w:szCs w:val="16"/>
              </w:rPr>
            </w:pPr>
            <w:r w:rsidRPr="00FC16D3">
              <w:rPr>
                <w:rFonts w:eastAsia="Times New Roman"/>
                <w:i/>
                <w:spacing w:val="-2"/>
                <w:sz w:val="16"/>
                <w:szCs w:val="16"/>
              </w:rPr>
              <w:t>Vachellia nilotica</w:t>
            </w:r>
            <w:r w:rsidRPr="00FC16D3">
              <w:rPr>
                <w:rFonts w:eastAsia="Times New Roman"/>
                <w:spacing w:val="-2"/>
                <w:sz w:val="16"/>
                <w:szCs w:val="16"/>
              </w:rPr>
              <w:t xml:space="preserve"> subsp. </w:t>
            </w:r>
            <w:r w:rsidRPr="00FC16D3">
              <w:rPr>
                <w:rFonts w:eastAsia="Times New Roman"/>
                <w:i/>
                <w:iCs/>
                <w:spacing w:val="-2"/>
                <w:sz w:val="16"/>
                <w:szCs w:val="16"/>
              </w:rPr>
              <w:t>ind</w:t>
            </w:r>
            <w:r w:rsidRPr="00FC16D3">
              <w:rPr>
                <w:rFonts w:eastAsia="Times New Roman"/>
                <w:i/>
                <w:spacing w:val="-2"/>
                <w:sz w:val="16"/>
                <w:szCs w:val="16"/>
              </w:rPr>
              <w:t>ica</w:t>
            </w:r>
          </w:p>
          <w:p w:rsidR="00FC16D3" w:rsidRPr="00FC16D3" w:rsidRDefault="00FC16D3" w:rsidP="00FC16D3">
            <w:pPr>
              <w:spacing w:after="0" w:line="240" w:lineRule="auto"/>
              <w:jc w:val="left"/>
              <w:rPr>
                <w:rFonts w:eastAsia="Times New Roman"/>
                <w:i/>
                <w:sz w:val="16"/>
                <w:szCs w:val="16"/>
              </w:rPr>
            </w:pPr>
            <w:r w:rsidRPr="00FC16D3">
              <w:rPr>
                <w:rFonts w:eastAsia="Times New Roman"/>
                <w:spacing w:val="-2"/>
                <w:sz w:val="16"/>
                <w:szCs w:val="16"/>
              </w:rPr>
              <w:t>prickly acacia</w:t>
            </w:r>
          </w:p>
          <w:p w:rsidR="00FC16D3" w:rsidRPr="00FC16D3" w:rsidRDefault="00FC16D3" w:rsidP="00FC16D3">
            <w:pPr>
              <w:spacing w:after="0" w:line="240" w:lineRule="auto"/>
              <w:jc w:val="left"/>
              <w:rPr>
                <w:rFonts w:eastAsia="Times New Roman"/>
                <w:b/>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 190(1)(2)(3)</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 (1)</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Alinytjara Wilurara and South Australian Arid Lands Regions.</w:t>
            </w:r>
          </w:p>
          <w:p w:rsidR="00FC16D3" w:rsidRPr="00FC16D3" w:rsidRDefault="00FC16D3" w:rsidP="00FC16D3">
            <w:pPr>
              <w:spacing w:after="0" w:line="240" w:lineRule="auto"/>
              <w:jc w:val="left"/>
              <w:rPr>
                <w:rFonts w:eastAsia="Times New Roman"/>
                <w:sz w:val="16"/>
                <w:szCs w:val="16"/>
              </w:rPr>
            </w:pPr>
          </w:p>
        </w:tc>
      </w:tr>
      <w:tr w:rsidR="00FC16D3" w:rsidRPr="00FC16D3" w:rsidTr="007A341C">
        <w:trPr>
          <w:trHeight w:val="974"/>
        </w:trPr>
        <w:tc>
          <w:tcPr>
            <w:tcW w:w="2179" w:type="pct"/>
          </w:tcPr>
          <w:p w:rsidR="00FC16D3" w:rsidRPr="00FC16D3" w:rsidRDefault="00FC16D3" w:rsidP="00FC16D3">
            <w:pPr>
              <w:spacing w:before="120" w:after="0" w:line="240" w:lineRule="auto"/>
              <w:jc w:val="left"/>
              <w:rPr>
                <w:rFonts w:eastAsia="Times New Roman"/>
                <w:b/>
                <w:sz w:val="24"/>
                <w:szCs w:val="24"/>
                <w:lang w:val="en-US"/>
              </w:rPr>
            </w:pPr>
            <w:r w:rsidRPr="00FC16D3">
              <w:rPr>
                <w:rFonts w:eastAsia="Times New Roman"/>
                <w:b/>
                <w:sz w:val="24"/>
                <w:szCs w:val="24"/>
                <w:lang w:val="en-US"/>
              </w:rPr>
              <w:t>CLASS 8</w:t>
            </w:r>
          </w:p>
          <w:p w:rsidR="00FC16D3" w:rsidRPr="00FC16D3" w:rsidRDefault="00FC16D3" w:rsidP="00FC16D3">
            <w:pPr>
              <w:spacing w:after="0" w:line="240" w:lineRule="auto"/>
              <w:jc w:val="left"/>
              <w:rPr>
                <w:rFonts w:eastAsia="Times New Roman"/>
                <w:b/>
                <w:sz w:val="16"/>
                <w:szCs w:val="16"/>
                <w:lang w:val="en-US"/>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Orobanche minor</w:t>
            </w:r>
          </w:p>
          <w:p w:rsidR="00FC16D3" w:rsidRPr="00FC16D3" w:rsidRDefault="00FC16D3" w:rsidP="007A341C">
            <w:pPr>
              <w:spacing w:line="240" w:lineRule="auto"/>
              <w:jc w:val="left"/>
              <w:rPr>
                <w:rFonts w:eastAsia="Times New Roman"/>
                <w:b/>
                <w:sz w:val="24"/>
                <w:szCs w:val="24"/>
                <w:lang w:val="en-US"/>
              </w:rPr>
            </w:pPr>
            <w:r w:rsidRPr="00FC16D3">
              <w:rPr>
                <w:rFonts w:eastAsia="Times New Roman"/>
                <w:sz w:val="16"/>
                <w:szCs w:val="16"/>
                <w:lang w:val="en-US"/>
              </w:rPr>
              <w:t>clover broomrape</w:t>
            </w: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tc>
      </w:tr>
      <w:tr w:rsidR="00FC16D3" w:rsidRPr="00FC16D3" w:rsidTr="00805B8E">
        <w:trPr>
          <w:trHeight w:val="961"/>
        </w:trPr>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lang w:val="en-US"/>
              </w:rPr>
              <w:t>CLASS</w:t>
            </w:r>
            <w:r w:rsidRPr="00FC16D3">
              <w:rPr>
                <w:rFonts w:eastAsia="Times New Roman"/>
                <w:b/>
                <w:sz w:val="24"/>
                <w:szCs w:val="24"/>
              </w:rPr>
              <w:t xml:space="preserve"> 9</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jc w:val="left"/>
              <w:rPr>
                <w:rFonts w:eastAsia="Times New Roman"/>
                <w:spacing w:val="-2"/>
                <w:sz w:val="16"/>
                <w:szCs w:val="16"/>
              </w:rPr>
            </w:pPr>
            <w:r w:rsidRPr="00FC16D3">
              <w:rPr>
                <w:rFonts w:eastAsia="Times New Roman"/>
                <w:i/>
                <w:iCs/>
                <w:spacing w:val="-2"/>
                <w:sz w:val="16"/>
                <w:szCs w:val="16"/>
              </w:rPr>
              <w:t xml:space="preserve">Bassia scoparia </w:t>
            </w:r>
            <w:r w:rsidRPr="00FC16D3">
              <w:rPr>
                <w:rFonts w:eastAsia="Times New Roman"/>
                <w:spacing w:val="-2"/>
                <w:sz w:val="16"/>
                <w:szCs w:val="16"/>
              </w:rPr>
              <w:t>(excluding the cultivar ‘Trichophylla’)</w:t>
            </w:r>
          </w:p>
          <w:p w:rsidR="00FC16D3" w:rsidRPr="007A341C" w:rsidRDefault="00FC16D3" w:rsidP="007A341C">
            <w:pPr>
              <w:spacing w:line="240" w:lineRule="auto"/>
              <w:jc w:val="left"/>
              <w:rPr>
                <w:rFonts w:eastAsia="Times New Roman"/>
                <w:spacing w:val="-2"/>
                <w:sz w:val="16"/>
                <w:szCs w:val="16"/>
              </w:rPr>
            </w:pPr>
            <w:r w:rsidRPr="00FC16D3">
              <w:rPr>
                <w:rFonts w:eastAsia="Times New Roman"/>
                <w:spacing w:val="-2"/>
                <w:sz w:val="16"/>
                <w:szCs w:val="16"/>
              </w:rPr>
              <w:t>kochia</w:t>
            </w: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 xml:space="preserve">186(1)(2), 188(1)(2), 192(1), 194 </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tc>
      </w:tr>
      <w:tr w:rsidR="00FC16D3" w:rsidRPr="00FC16D3" w:rsidTr="00805B8E">
        <w:trPr>
          <w:trHeight w:val="1998"/>
        </w:trPr>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10</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Senecio madagascariensis</w:t>
            </w:r>
          </w:p>
          <w:p w:rsidR="00FC16D3" w:rsidRPr="00FC16D3" w:rsidRDefault="00FC16D3" w:rsidP="00FC16D3">
            <w:pPr>
              <w:spacing w:after="0" w:line="240" w:lineRule="auto"/>
              <w:jc w:val="left"/>
              <w:rPr>
                <w:rFonts w:eastAsia="Times New Roman"/>
                <w:b/>
                <w:sz w:val="24"/>
                <w:szCs w:val="24"/>
              </w:rPr>
            </w:pPr>
            <w:r w:rsidRPr="00FC16D3">
              <w:rPr>
                <w:rFonts w:eastAsia="Times New Roman"/>
                <w:sz w:val="16"/>
                <w:szCs w:val="16"/>
              </w:rPr>
              <w:t>fireweed</w:t>
            </w: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192(1),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r w:rsidRPr="00FC16D3">
              <w:rPr>
                <w:rFonts w:eastAsia="Times New Roman"/>
                <w:sz w:val="16"/>
                <w:szCs w:val="16"/>
              </w:rPr>
              <w:t>The areas of the Eyre Peninsula, Green Adelaide, Hills and Fleurieu, Kangaroo Island, Northern and Yorke, Murraylands and Riverland and Limestone Coast  Regions.</w:t>
            </w:r>
          </w:p>
        </w:tc>
      </w:tr>
      <w:tr w:rsidR="00FC16D3" w:rsidRPr="00FC16D3" w:rsidTr="00805B8E">
        <w:trPr>
          <w:trHeight w:val="1898"/>
        </w:trPr>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lang w:val="en-US"/>
              </w:rPr>
              <w:t>CLASS</w:t>
            </w:r>
            <w:r w:rsidRPr="00FC16D3">
              <w:rPr>
                <w:rFonts w:eastAsia="Times New Roman"/>
                <w:b/>
                <w:sz w:val="24"/>
                <w:szCs w:val="24"/>
              </w:rPr>
              <w:t xml:space="preserve"> 11</w:t>
            </w:r>
          </w:p>
          <w:p w:rsidR="00FC16D3" w:rsidRPr="00FC16D3" w:rsidRDefault="00FC16D3" w:rsidP="00FC16D3">
            <w:pPr>
              <w:spacing w:after="0" w:line="240" w:lineRule="auto"/>
              <w:jc w:val="left"/>
              <w:rPr>
                <w:rFonts w:eastAsia="Times New Roman"/>
                <w:b/>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i/>
                <w:spacing w:val="-2"/>
                <w:sz w:val="16"/>
                <w:szCs w:val="16"/>
              </w:rPr>
            </w:pPr>
            <w:r w:rsidRPr="00FC16D3">
              <w:rPr>
                <w:rFonts w:eastAsia="Times New Roman"/>
                <w:i/>
                <w:spacing w:val="-2"/>
                <w:sz w:val="16"/>
                <w:szCs w:val="16"/>
              </w:rPr>
              <w:t>Chorispora tenella</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spacing w:val="-2"/>
                <w:sz w:val="16"/>
                <w:szCs w:val="16"/>
              </w:rPr>
              <w:t>blue mustard</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 xml:space="preserve">Cortaderia </w:t>
            </w:r>
            <w:r w:rsidRPr="00FC16D3">
              <w:rPr>
                <w:rFonts w:eastAsia="Times New Roman"/>
                <w:spacing w:val="-2"/>
                <w:sz w:val="16"/>
                <w:szCs w:val="16"/>
              </w:rPr>
              <w:t xml:space="preserve">(all species except </w:t>
            </w:r>
            <w:r w:rsidRPr="00FC16D3">
              <w:rPr>
                <w:rFonts w:eastAsia="Times New Roman"/>
                <w:i/>
                <w:spacing w:val="-2"/>
                <w:sz w:val="16"/>
                <w:szCs w:val="16"/>
              </w:rPr>
              <w:t>Cortaderia richardii)</w:t>
            </w:r>
          </w:p>
          <w:p w:rsidR="00FC16D3" w:rsidRPr="00FC16D3" w:rsidRDefault="00FC16D3" w:rsidP="00FC16D3">
            <w:pPr>
              <w:spacing w:after="0" w:line="240" w:lineRule="auto"/>
              <w:jc w:val="left"/>
              <w:rPr>
                <w:rFonts w:eastAsia="Times New Roman"/>
                <w:spacing w:val="-2"/>
                <w:sz w:val="16"/>
                <w:szCs w:val="16"/>
              </w:rPr>
            </w:pPr>
            <w:r w:rsidRPr="00FC16D3">
              <w:rPr>
                <w:rFonts w:eastAsia="Times New Roman"/>
                <w:spacing w:val="-2"/>
                <w:sz w:val="16"/>
                <w:szCs w:val="16"/>
              </w:rPr>
              <w:t>pampas grasses</w:t>
            </w:r>
          </w:p>
          <w:p w:rsidR="00FC16D3" w:rsidRPr="00FC16D3" w:rsidRDefault="00FC16D3" w:rsidP="00FC16D3">
            <w:pPr>
              <w:spacing w:after="0" w:line="240" w:lineRule="auto"/>
              <w:jc w:val="left"/>
              <w:rPr>
                <w:rFonts w:eastAsia="Times New Roman"/>
                <w:b/>
                <w:sz w:val="24"/>
                <w:szCs w:val="24"/>
                <w:lang w:val="en-US"/>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 190(1)(2)(3), 192(2),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tc>
      </w:tr>
      <w:tr w:rsidR="00FC16D3" w:rsidRPr="00FC16D3" w:rsidTr="00805B8E">
        <w:trPr>
          <w:trHeight w:val="1167"/>
        </w:trPr>
        <w:tc>
          <w:tcPr>
            <w:tcW w:w="2179" w:type="pct"/>
          </w:tcPr>
          <w:p w:rsidR="00FC16D3" w:rsidRPr="00FC16D3" w:rsidRDefault="00FC16D3" w:rsidP="00FC16D3">
            <w:pPr>
              <w:spacing w:before="120" w:after="0" w:line="240" w:lineRule="auto"/>
              <w:jc w:val="left"/>
              <w:rPr>
                <w:rFonts w:eastAsia="Times New Roman"/>
                <w:b/>
                <w:bCs/>
                <w:sz w:val="24"/>
                <w:szCs w:val="24"/>
                <w:lang w:val="en-US"/>
              </w:rPr>
            </w:pPr>
            <w:r w:rsidRPr="00FC16D3">
              <w:rPr>
                <w:rFonts w:eastAsia="Times New Roman"/>
                <w:b/>
                <w:sz w:val="24"/>
                <w:szCs w:val="24"/>
                <w:lang w:val="en-US"/>
              </w:rPr>
              <w:t>CLASS 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bCs/>
                <w:i/>
                <w:iCs/>
                <w:sz w:val="16"/>
                <w:szCs w:val="16"/>
                <w:lang w:val="en-US"/>
              </w:rPr>
            </w:pPr>
            <w:r w:rsidRPr="00FC16D3">
              <w:rPr>
                <w:rFonts w:eastAsia="Times New Roman"/>
                <w:bCs/>
                <w:i/>
                <w:iCs/>
                <w:sz w:val="16"/>
                <w:szCs w:val="16"/>
                <w:lang w:val="en-US"/>
              </w:rPr>
              <w:t>Hyparrhenia hirta</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Coolatai grass</w:t>
            </w:r>
          </w:p>
          <w:p w:rsidR="00FC16D3" w:rsidRPr="00FC16D3" w:rsidRDefault="00FC16D3" w:rsidP="00FC16D3">
            <w:pPr>
              <w:spacing w:after="0" w:line="240" w:lineRule="auto"/>
              <w:jc w:val="left"/>
              <w:rPr>
                <w:rFonts w:eastAsia="Times New Roman"/>
                <w:bCs/>
                <w:i/>
                <w:iCs/>
                <w:sz w:val="16"/>
                <w:szCs w:val="16"/>
                <w:lang w:val="en-US"/>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190(1)(2)(3), 192(2),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bCs/>
                <w:sz w:val="24"/>
                <w:szCs w:val="24"/>
                <w:lang w:val="en-US"/>
              </w:rPr>
            </w:pPr>
            <w:r w:rsidRPr="00FC16D3">
              <w:rPr>
                <w:rFonts w:eastAsia="Times New Roman"/>
                <w:b/>
                <w:sz w:val="24"/>
                <w:szCs w:val="24"/>
                <w:lang w:val="en-US"/>
              </w:rPr>
              <w:t>CLASS 13</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i/>
                <w:spacing w:val="-2"/>
                <w:sz w:val="16"/>
                <w:szCs w:val="16"/>
              </w:rPr>
            </w:pPr>
            <w:r w:rsidRPr="00FC16D3">
              <w:rPr>
                <w:rFonts w:eastAsia="Times New Roman"/>
                <w:i/>
                <w:spacing w:val="-2"/>
                <w:sz w:val="16"/>
                <w:szCs w:val="16"/>
              </w:rPr>
              <w:t>Solanum elaeagnifolium</w:t>
            </w:r>
          </w:p>
          <w:p w:rsidR="00FC16D3" w:rsidRPr="00FC16D3" w:rsidRDefault="00FC16D3" w:rsidP="00FC16D3">
            <w:pPr>
              <w:spacing w:after="0" w:line="240" w:lineRule="auto"/>
              <w:jc w:val="left"/>
              <w:rPr>
                <w:rFonts w:eastAsia="Times New Roman"/>
                <w:sz w:val="16"/>
                <w:szCs w:val="16"/>
              </w:rPr>
            </w:pPr>
            <w:r w:rsidRPr="00FC16D3">
              <w:rPr>
                <w:rFonts w:eastAsia="Times New Roman"/>
                <w:spacing w:val="-2"/>
                <w:sz w:val="16"/>
                <w:szCs w:val="16"/>
              </w:rPr>
              <w:t>silverleaf nightshade</w:t>
            </w:r>
          </w:p>
          <w:p w:rsidR="00FC16D3" w:rsidRPr="00FC16D3" w:rsidRDefault="00FC16D3" w:rsidP="00FC16D3">
            <w:pPr>
              <w:spacing w:after="0" w:line="240" w:lineRule="auto"/>
              <w:jc w:val="left"/>
              <w:rPr>
                <w:rFonts w:eastAsia="Times New Roman"/>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 192(2), 194</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190(1)</w:t>
            </w:r>
          </w:p>
          <w:p w:rsidR="00FC16D3" w:rsidRPr="00FC16D3" w:rsidRDefault="00FC16D3" w:rsidP="00FC16D3">
            <w:pPr>
              <w:spacing w:after="0" w:line="240" w:lineRule="auto"/>
              <w:jc w:val="left"/>
              <w:rPr>
                <w:rFonts w:eastAsia="Times New Roman"/>
                <w:sz w:val="16"/>
                <w:szCs w:val="16"/>
              </w:rPr>
            </w:pP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 of the Limestone Coast Region.</w:t>
            </w:r>
          </w:p>
          <w:p w:rsidR="00FC16D3" w:rsidRPr="00FC16D3" w:rsidRDefault="00FC16D3" w:rsidP="00FC16D3">
            <w:pPr>
              <w:spacing w:after="0" w:line="240" w:lineRule="auto"/>
              <w:jc w:val="left"/>
              <w:rPr>
                <w:rFonts w:eastAsia="Times New Roman"/>
                <w:sz w:val="16"/>
                <w:szCs w:val="16"/>
              </w:rPr>
            </w:pPr>
          </w:p>
        </w:tc>
      </w:tr>
      <w:tr w:rsidR="00FC16D3" w:rsidRPr="00FC16D3" w:rsidTr="00944BF7">
        <w:tc>
          <w:tcPr>
            <w:tcW w:w="2179" w:type="pct"/>
            <w:tcBorders>
              <w:bottom w:val="single" w:sz="4" w:space="0" w:color="auto"/>
            </w:tcBorders>
          </w:tcPr>
          <w:p w:rsidR="00FC16D3" w:rsidRPr="00FC16D3" w:rsidRDefault="00FC16D3" w:rsidP="00FC16D3">
            <w:pPr>
              <w:spacing w:before="120" w:after="0" w:line="240" w:lineRule="auto"/>
              <w:jc w:val="left"/>
              <w:rPr>
                <w:rFonts w:eastAsia="Times New Roman"/>
                <w:b/>
                <w:bCs/>
                <w:sz w:val="24"/>
                <w:szCs w:val="24"/>
                <w:lang w:val="en-US"/>
              </w:rPr>
            </w:pPr>
            <w:r w:rsidRPr="00FC16D3">
              <w:rPr>
                <w:rFonts w:eastAsia="Times New Roman"/>
                <w:b/>
                <w:sz w:val="24"/>
                <w:szCs w:val="24"/>
                <w:lang w:val="en-US"/>
              </w:rPr>
              <w:t>CLASS 14</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Rhaponticum repens</w:t>
            </w:r>
          </w:p>
          <w:p w:rsidR="00FC16D3" w:rsidRPr="00FC16D3" w:rsidRDefault="00FC16D3" w:rsidP="00FC16D3">
            <w:pPr>
              <w:spacing w:after="0" w:line="240" w:lineRule="auto"/>
              <w:jc w:val="left"/>
              <w:rPr>
                <w:rFonts w:eastAsia="Times New Roman"/>
                <w:spacing w:val="-2"/>
                <w:sz w:val="16"/>
                <w:szCs w:val="16"/>
              </w:rPr>
            </w:pPr>
            <w:r w:rsidRPr="00FC16D3">
              <w:rPr>
                <w:rFonts w:eastAsia="Times New Roman"/>
                <w:spacing w:val="-2"/>
                <w:sz w:val="16"/>
                <w:szCs w:val="16"/>
              </w:rPr>
              <w:t>creeping knapweed</w:t>
            </w:r>
          </w:p>
          <w:p w:rsidR="00FC16D3" w:rsidRPr="00FC16D3" w:rsidRDefault="00FC16D3" w:rsidP="00FC16D3">
            <w:pPr>
              <w:spacing w:after="0" w:line="240" w:lineRule="auto"/>
              <w:jc w:val="left"/>
              <w:rPr>
                <w:rFonts w:eastAsia="Times New Roman"/>
                <w:spacing w:val="-2"/>
                <w:sz w:val="16"/>
                <w:szCs w:val="16"/>
              </w:rPr>
            </w:pPr>
          </w:p>
          <w:p w:rsidR="00FC16D3" w:rsidRPr="00FC16D3" w:rsidRDefault="00FC16D3" w:rsidP="00FC16D3">
            <w:pPr>
              <w:spacing w:after="0" w:line="240" w:lineRule="auto"/>
              <w:jc w:val="left"/>
              <w:rPr>
                <w:rFonts w:eastAsia="Times New Roman"/>
                <w:b/>
                <w:sz w:val="24"/>
                <w:szCs w:val="24"/>
                <w:lang w:val="en-US"/>
              </w:rPr>
            </w:pPr>
          </w:p>
        </w:tc>
        <w:tc>
          <w:tcPr>
            <w:tcW w:w="1219"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 192(2), 194</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190(1)</w:t>
            </w:r>
          </w:p>
        </w:tc>
        <w:tc>
          <w:tcPr>
            <w:tcW w:w="578"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Green Adelaide, Hills and Fleurieu, Kangaroo Island, Northern and Yorke, Murraylands and Riverland and Limestone Coast Regions.</w:t>
            </w:r>
          </w:p>
          <w:p w:rsidR="00FC16D3" w:rsidRPr="00FC16D3" w:rsidRDefault="00FC16D3" w:rsidP="00FC16D3">
            <w:pPr>
              <w:spacing w:after="0" w:line="240" w:lineRule="auto"/>
              <w:jc w:val="left"/>
              <w:rPr>
                <w:rFonts w:eastAsia="Times New Roman"/>
                <w:sz w:val="16"/>
                <w:szCs w:val="16"/>
              </w:rPr>
            </w:pPr>
          </w:p>
        </w:tc>
      </w:tr>
      <w:tr w:rsidR="00FC16D3" w:rsidRPr="00FC16D3" w:rsidTr="00944BF7">
        <w:trPr>
          <w:trHeight w:val="1586"/>
        </w:trPr>
        <w:tc>
          <w:tcPr>
            <w:tcW w:w="2179" w:type="pct"/>
            <w:tcBorders>
              <w:bottom w:val="single" w:sz="4" w:space="0" w:color="auto"/>
            </w:tcBorders>
          </w:tcPr>
          <w:p w:rsidR="00FC16D3" w:rsidRPr="00FC16D3" w:rsidRDefault="00FC16D3" w:rsidP="00FC16D3">
            <w:pPr>
              <w:spacing w:before="120" w:after="0" w:line="240" w:lineRule="auto"/>
              <w:jc w:val="left"/>
              <w:rPr>
                <w:rFonts w:eastAsia="Times New Roman"/>
                <w:b/>
                <w:bCs/>
                <w:sz w:val="24"/>
                <w:szCs w:val="24"/>
                <w:lang w:val="en-US"/>
              </w:rPr>
            </w:pPr>
            <w:r w:rsidRPr="00FC16D3">
              <w:rPr>
                <w:rFonts w:eastAsia="Times New Roman"/>
                <w:b/>
                <w:sz w:val="24"/>
                <w:szCs w:val="24"/>
                <w:lang w:val="en-US"/>
              </w:rPr>
              <w:t>CLASS 15</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iCs/>
                <w:sz w:val="16"/>
                <w:szCs w:val="16"/>
              </w:rPr>
            </w:pPr>
            <w:r w:rsidRPr="00FC16D3">
              <w:rPr>
                <w:rFonts w:eastAsia="Times New Roman"/>
                <w:i/>
                <w:iCs/>
                <w:sz w:val="16"/>
                <w:szCs w:val="16"/>
              </w:rPr>
              <w:t xml:space="preserve">Xanthium strumarium </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Noogoora burr complex</w:t>
            </w:r>
          </w:p>
        </w:tc>
        <w:tc>
          <w:tcPr>
            <w:tcW w:w="1219"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 192(2), 194</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 xml:space="preserve">190(1) </w:t>
            </w:r>
          </w:p>
        </w:tc>
        <w:tc>
          <w:tcPr>
            <w:tcW w:w="578"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r w:rsidRPr="00FC16D3">
              <w:rPr>
                <w:rFonts w:eastAsia="Times New Roman"/>
                <w:sz w:val="16"/>
                <w:szCs w:val="16"/>
              </w:rPr>
              <w:t>The area of the South Australian Arid Lands Region.</w:t>
            </w:r>
          </w:p>
        </w:tc>
      </w:tr>
      <w:tr w:rsidR="00944BF7" w:rsidRPr="00FC16D3" w:rsidTr="00944BF7">
        <w:trPr>
          <w:trHeight w:val="47"/>
        </w:trPr>
        <w:tc>
          <w:tcPr>
            <w:tcW w:w="2179" w:type="pct"/>
            <w:tcBorders>
              <w:top w:val="single" w:sz="4" w:space="0" w:color="auto"/>
              <w:left w:val="nil"/>
              <w:bottom w:val="nil"/>
              <w:right w:val="nil"/>
            </w:tcBorders>
          </w:tcPr>
          <w:p w:rsidR="00944BF7" w:rsidRPr="00FC16D3" w:rsidRDefault="00944BF7" w:rsidP="00FC16D3">
            <w:pPr>
              <w:spacing w:before="120" w:after="0" w:line="240" w:lineRule="auto"/>
              <w:jc w:val="left"/>
              <w:rPr>
                <w:rFonts w:eastAsia="Times New Roman"/>
                <w:b/>
                <w:sz w:val="24"/>
                <w:szCs w:val="24"/>
                <w:lang w:val="en-US"/>
              </w:rPr>
            </w:pPr>
          </w:p>
        </w:tc>
        <w:tc>
          <w:tcPr>
            <w:tcW w:w="1219" w:type="pct"/>
            <w:tcBorders>
              <w:top w:val="single" w:sz="4" w:space="0" w:color="auto"/>
              <w:left w:val="nil"/>
              <w:bottom w:val="nil"/>
              <w:right w:val="nil"/>
            </w:tcBorders>
          </w:tcPr>
          <w:p w:rsidR="00944BF7" w:rsidRPr="00FC16D3" w:rsidRDefault="00944BF7" w:rsidP="00FC16D3">
            <w:pPr>
              <w:spacing w:after="0" w:line="240" w:lineRule="auto"/>
              <w:jc w:val="left"/>
              <w:rPr>
                <w:rFonts w:eastAsia="Times New Roman"/>
                <w:sz w:val="16"/>
                <w:szCs w:val="16"/>
              </w:rPr>
            </w:pPr>
          </w:p>
        </w:tc>
        <w:tc>
          <w:tcPr>
            <w:tcW w:w="578" w:type="pct"/>
            <w:tcBorders>
              <w:top w:val="single" w:sz="4" w:space="0" w:color="auto"/>
              <w:left w:val="nil"/>
              <w:bottom w:val="nil"/>
              <w:right w:val="nil"/>
            </w:tcBorders>
          </w:tcPr>
          <w:p w:rsidR="00944BF7" w:rsidRPr="00FC16D3" w:rsidRDefault="00944BF7" w:rsidP="00FC16D3">
            <w:pPr>
              <w:spacing w:after="0" w:line="240" w:lineRule="auto"/>
              <w:jc w:val="left"/>
              <w:rPr>
                <w:rFonts w:eastAsia="Times New Roman"/>
                <w:sz w:val="16"/>
                <w:szCs w:val="16"/>
              </w:rPr>
            </w:pPr>
          </w:p>
        </w:tc>
        <w:tc>
          <w:tcPr>
            <w:tcW w:w="1024" w:type="pct"/>
            <w:tcBorders>
              <w:top w:val="single" w:sz="4" w:space="0" w:color="auto"/>
              <w:left w:val="nil"/>
              <w:bottom w:val="nil"/>
              <w:right w:val="nil"/>
            </w:tcBorders>
          </w:tcPr>
          <w:p w:rsidR="00944BF7" w:rsidRPr="00FC16D3" w:rsidRDefault="00944BF7" w:rsidP="00FC16D3">
            <w:pPr>
              <w:spacing w:after="0" w:line="240" w:lineRule="auto"/>
              <w:jc w:val="left"/>
              <w:rPr>
                <w:rFonts w:eastAsia="Times New Roman"/>
                <w:sz w:val="16"/>
                <w:szCs w:val="16"/>
              </w:rPr>
            </w:pPr>
          </w:p>
        </w:tc>
      </w:tr>
      <w:tr w:rsidR="00FC16D3" w:rsidRPr="00FC16D3" w:rsidTr="00944BF7">
        <w:trPr>
          <w:trHeight w:val="864"/>
        </w:trPr>
        <w:tc>
          <w:tcPr>
            <w:tcW w:w="2179" w:type="pct"/>
            <w:tcBorders>
              <w:top w:val="nil"/>
            </w:tcBorders>
          </w:tcPr>
          <w:p w:rsidR="00FC16D3" w:rsidRPr="00FC16D3" w:rsidRDefault="00FC16D3" w:rsidP="00FC16D3">
            <w:pPr>
              <w:spacing w:before="120" w:after="0" w:line="240" w:lineRule="auto"/>
              <w:jc w:val="left"/>
              <w:rPr>
                <w:rFonts w:eastAsia="Times New Roman"/>
                <w:b/>
                <w:bCs/>
                <w:sz w:val="24"/>
                <w:szCs w:val="24"/>
              </w:rPr>
            </w:pPr>
            <w:r w:rsidRPr="00FC16D3">
              <w:rPr>
                <w:rFonts w:eastAsia="Times New Roman"/>
                <w:b/>
                <w:sz w:val="24"/>
                <w:szCs w:val="24"/>
                <w:lang w:val="en-US"/>
              </w:rPr>
              <w:t>CLASS</w:t>
            </w:r>
            <w:r w:rsidRPr="00FC16D3">
              <w:rPr>
                <w:rFonts w:eastAsia="Times New Roman"/>
                <w:b/>
                <w:bCs/>
                <w:sz w:val="24"/>
                <w:szCs w:val="24"/>
              </w:rPr>
              <w:t xml:space="preserve"> 16</w:t>
            </w:r>
          </w:p>
          <w:p w:rsidR="00FC16D3" w:rsidRPr="00FC16D3" w:rsidRDefault="00FC16D3" w:rsidP="00FC16D3">
            <w:pPr>
              <w:spacing w:after="0" w:line="240" w:lineRule="auto"/>
              <w:jc w:val="left"/>
              <w:rPr>
                <w:rFonts w:eastAsia="Times New Roman"/>
                <w:b/>
                <w:bCs/>
                <w:sz w:val="16"/>
                <w:szCs w:val="16"/>
              </w:rPr>
            </w:pPr>
          </w:p>
          <w:p w:rsidR="00FC16D3" w:rsidRPr="00FC16D3" w:rsidRDefault="00FC16D3" w:rsidP="00FC16D3">
            <w:pPr>
              <w:spacing w:after="0" w:line="240" w:lineRule="auto"/>
              <w:jc w:val="left"/>
              <w:rPr>
                <w:rFonts w:eastAsia="Times New Roman"/>
                <w:i/>
                <w:iCs/>
                <w:sz w:val="16"/>
                <w:szCs w:val="16"/>
              </w:rPr>
            </w:pPr>
            <w:r w:rsidRPr="00FC16D3">
              <w:rPr>
                <w:rFonts w:eastAsia="Times New Roman"/>
                <w:i/>
                <w:iCs/>
                <w:sz w:val="16"/>
                <w:szCs w:val="16"/>
              </w:rPr>
              <w:t>Peganum harmala</w:t>
            </w:r>
          </w:p>
          <w:p w:rsidR="00FC16D3" w:rsidRPr="00FC16D3" w:rsidRDefault="00FC16D3" w:rsidP="00FC16D3">
            <w:pPr>
              <w:spacing w:after="0" w:line="240" w:lineRule="auto"/>
              <w:jc w:val="left"/>
              <w:rPr>
                <w:rFonts w:eastAsia="Times New Roman"/>
                <w:b/>
                <w:bCs/>
                <w:sz w:val="16"/>
                <w:szCs w:val="16"/>
              </w:rPr>
            </w:pPr>
            <w:r w:rsidRPr="00FC16D3">
              <w:rPr>
                <w:rFonts w:eastAsia="Times New Roman"/>
                <w:sz w:val="16"/>
                <w:szCs w:val="16"/>
              </w:rPr>
              <w:t>African rue</w:t>
            </w:r>
          </w:p>
        </w:tc>
        <w:tc>
          <w:tcPr>
            <w:tcW w:w="1219" w:type="pct"/>
            <w:tcBorders>
              <w:top w:val="nil"/>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 192(2), 194</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190(1)</w:t>
            </w:r>
          </w:p>
        </w:tc>
        <w:tc>
          <w:tcPr>
            <w:tcW w:w="578" w:type="pct"/>
            <w:tcBorders>
              <w:top w:val="nil"/>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Borders>
              <w:top w:val="nil"/>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 xml:space="preserve">The areas of the South Australian Arid Lands and Murraylands and Riverland  Regions. </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1173"/>
        </w:trPr>
        <w:tc>
          <w:tcPr>
            <w:tcW w:w="2179" w:type="pct"/>
          </w:tcPr>
          <w:p w:rsidR="00FC16D3" w:rsidRPr="00FC16D3" w:rsidRDefault="00FC16D3" w:rsidP="00FC16D3">
            <w:pPr>
              <w:spacing w:before="120" w:after="0" w:line="240" w:lineRule="auto"/>
              <w:jc w:val="left"/>
              <w:rPr>
                <w:rFonts w:eastAsia="Times New Roman"/>
                <w:b/>
                <w:sz w:val="24"/>
                <w:szCs w:val="24"/>
                <w:lang w:val="en-US"/>
              </w:rPr>
            </w:pPr>
            <w:r w:rsidRPr="00FC16D3">
              <w:rPr>
                <w:rFonts w:eastAsia="Times New Roman"/>
                <w:b/>
                <w:sz w:val="24"/>
                <w:szCs w:val="24"/>
                <w:lang w:val="en-US"/>
              </w:rPr>
              <w:t>CLASS 17</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Cenchrus ciliaris</w:t>
            </w:r>
            <w:r w:rsidRPr="00FC16D3">
              <w:rPr>
                <w:rFonts w:eastAsia="Times New Roman"/>
                <w:sz w:val="16"/>
                <w:szCs w:val="16"/>
              </w:rPr>
              <w:t xml:space="preserve"> and </w:t>
            </w:r>
            <w:r w:rsidRPr="00FC16D3">
              <w:rPr>
                <w:rFonts w:eastAsia="Times New Roman"/>
                <w:i/>
                <w:sz w:val="16"/>
                <w:szCs w:val="16"/>
              </w:rPr>
              <w:t>Cenchrus pennisetiformis</w:t>
            </w:r>
          </w:p>
          <w:p w:rsidR="00FC16D3" w:rsidRPr="00FC16D3" w:rsidRDefault="00FC16D3" w:rsidP="00FC16D3">
            <w:pPr>
              <w:spacing w:after="0" w:line="240" w:lineRule="auto"/>
              <w:jc w:val="left"/>
              <w:rPr>
                <w:rFonts w:eastAsia="Times New Roman"/>
                <w:b/>
                <w:sz w:val="24"/>
                <w:szCs w:val="24"/>
                <w:lang w:val="en-US"/>
              </w:rPr>
            </w:pPr>
            <w:r w:rsidRPr="00FC16D3">
              <w:rPr>
                <w:rFonts w:eastAsia="Times New Roman"/>
                <w:sz w:val="16"/>
                <w:szCs w:val="16"/>
              </w:rPr>
              <w:t>buffel grass</w:t>
            </w: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 194</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190(1)(2)(3)</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192(1)</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Green Adelaide, Hills and Fleurieu, Kangaroo Island, Murraylands and Riverland, and Limestone Coast Regions.</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Eyre Peninsula, Green Adelaide, Hills and Fleurieu, Kangaroo Island, Murraylands and Riverland, and Limestone Coast Regions.</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Alinytjara Wilurara, Northern and Yorke, and South Australian Arid Lands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70"/>
        </w:trPr>
        <w:tc>
          <w:tcPr>
            <w:tcW w:w="2179" w:type="pct"/>
          </w:tcPr>
          <w:p w:rsidR="00FC16D3" w:rsidRPr="00FC16D3" w:rsidRDefault="00FC16D3" w:rsidP="00FC16D3">
            <w:pPr>
              <w:spacing w:before="120" w:after="0" w:line="240" w:lineRule="auto"/>
              <w:jc w:val="left"/>
              <w:rPr>
                <w:rFonts w:eastAsia="Times New Roman"/>
                <w:b/>
                <w:bCs/>
                <w:sz w:val="24"/>
                <w:szCs w:val="24"/>
              </w:rPr>
            </w:pPr>
            <w:r w:rsidRPr="00FC16D3">
              <w:rPr>
                <w:rFonts w:eastAsia="Times New Roman"/>
                <w:b/>
                <w:sz w:val="24"/>
                <w:szCs w:val="24"/>
                <w:lang w:val="en-US"/>
              </w:rPr>
              <w:t>CLASS</w:t>
            </w:r>
            <w:r w:rsidRPr="00FC16D3">
              <w:rPr>
                <w:rFonts w:eastAsia="Times New Roman"/>
                <w:b/>
                <w:bCs/>
                <w:sz w:val="24"/>
                <w:szCs w:val="24"/>
              </w:rPr>
              <w:t xml:space="preserve"> 18</w:t>
            </w:r>
          </w:p>
          <w:p w:rsidR="00FC16D3" w:rsidRPr="00FC16D3" w:rsidRDefault="00FC16D3" w:rsidP="00FC16D3">
            <w:pPr>
              <w:spacing w:after="0" w:line="240" w:lineRule="auto"/>
              <w:jc w:val="left"/>
              <w:rPr>
                <w:rFonts w:eastAsia="Times New Roman"/>
                <w:b/>
                <w:bCs/>
                <w:sz w:val="16"/>
                <w:szCs w:val="16"/>
              </w:rPr>
            </w:pPr>
          </w:p>
          <w:p w:rsidR="00FC16D3" w:rsidRPr="00FC16D3" w:rsidRDefault="00FC16D3" w:rsidP="00FC16D3">
            <w:pPr>
              <w:spacing w:after="0" w:line="240" w:lineRule="auto"/>
              <w:jc w:val="left"/>
              <w:rPr>
                <w:rFonts w:eastAsia="Times New Roman"/>
                <w:i/>
                <w:iCs/>
                <w:sz w:val="16"/>
                <w:szCs w:val="16"/>
              </w:rPr>
            </w:pPr>
            <w:r w:rsidRPr="00FC16D3">
              <w:rPr>
                <w:rFonts w:eastAsia="Times New Roman"/>
                <w:i/>
                <w:iCs/>
                <w:sz w:val="16"/>
                <w:szCs w:val="16"/>
              </w:rPr>
              <w:t>Chrysanthemoides monilifera</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boneseed</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 xml:space="preserve">Cylindropuntia </w:t>
            </w:r>
            <w:r w:rsidRPr="00FC16D3">
              <w:rPr>
                <w:rFonts w:eastAsia="Times New Roman"/>
                <w:spacing w:val="-2"/>
                <w:sz w:val="16"/>
                <w:szCs w:val="16"/>
              </w:rPr>
              <w:t>spp.</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i/>
                <w:spacing w:val="-2"/>
                <w:sz w:val="16"/>
                <w:szCs w:val="16"/>
              </w:rPr>
            </w:pPr>
            <w:r w:rsidRPr="00FC16D3">
              <w:rPr>
                <w:rFonts w:eastAsia="Times New Roman"/>
                <w:spacing w:val="-2"/>
                <w:sz w:val="16"/>
                <w:szCs w:val="16"/>
              </w:rPr>
              <w:t>cholla, Hudson pear and  rope cactus</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i/>
                <w:spacing w:val="-2"/>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Opuntia</w:t>
            </w:r>
            <w:r w:rsidRPr="00FC16D3">
              <w:rPr>
                <w:rFonts w:eastAsia="Times New Roman"/>
                <w:spacing w:val="-2"/>
                <w:sz w:val="16"/>
                <w:szCs w:val="16"/>
              </w:rPr>
              <w:t xml:space="preserve"> spp. (excluding spineless </w:t>
            </w:r>
            <w:r w:rsidRPr="00FC16D3">
              <w:rPr>
                <w:rFonts w:eastAsia="Times New Roman"/>
                <w:i/>
                <w:spacing w:val="-2"/>
                <w:sz w:val="16"/>
                <w:szCs w:val="16"/>
              </w:rPr>
              <w:t>Opuntia ficus-indica</w:t>
            </w:r>
            <w:r w:rsidRPr="00FC16D3">
              <w:rPr>
                <w:rFonts w:eastAsia="Times New Roman"/>
                <w:spacing w:val="-2"/>
                <w:sz w:val="16"/>
                <w:szCs w:val="16"/>
              </w:rPr>
              <w:t xml:space="preserve">) and </w:t>
            </w:r>
            <w:r w:rsidRPr="00FC16D3">
              <w:rPr>
                <w:rFonts w:eastAsia="Times New Roman"/>
                <w:i/>
                <w:spacing w:val="-2"/>
                <w:sz w:val="16"/>
                <w:szCs w:val="16"/>
              </w:rPr>
              <w:t>Tephrocactus</w:t>
            </w:r>
            <w:r w:rsidRPr="00FC16D3">
              <w:rPr>
                <w:rFonts w:eastAsia="Times New Roman"/>
                <w:spacing w:val="-2"/>
                <w:sz w:val="16"/>
                <w:szCs w:val="16"/>
              </w:rPr>
              <w:t xml:space="preserve"> spp.</w:t>
            </w:r>
          </w:p>
          <w:p w:rsidR="00FC16D3" w:rsidRPr="00FC16D3" w:rsidRDefault="00FC16D3" w:rsidP="00FC16D3">
            <w:pPr>
              <w:spacing w:after="0" w:line="240" w:lineRule="auto"/>
              <w:jc w:val="left"/>
              <w:rPr>
                <w:rFonts w:eastAsia="Times New Roman"/>
                <w:sz w:val="16"/>
                <w:szCs w:val="16"/>
              </w:rPr>
            </w:pPr>
            <w:r w:rsidRPr="00FC16D3">
              <w:rPr>
                <w:rFonts w:eastAsia="Times New Roman"/>
                <w:spacing w:val="-2"/>
                <w:sz w:val="16"/>
                <w:szCs w:val="16"/>
              </w:rPr>
              <w:t>prickly pear</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Polygala myrtifolia</w:t>
            </w:r>
          </w:p>
          <w:p w:rsidR="00FC16D3" w:rsidRPr="00FC16D3" w:rsidRDefault="00FC16D3" w:rsidP="00FC16D3">
            <w:pPr>
              <w:spacing w:line="240" w:lineRule="auto"/>
              <w:jc w:val="left"/>
              <w:rPr>
                <w:rFonts w:eastAsia="Times New Roman"/>
                <w:sz w:val="16"/>
                <w:szCs w:val="16"/>
              </w:rPr>
            </w:pPr>
            <w:r w:rsidRPr="00FC16D3">
              <w:rPr>
                <w:rFonts w:eastAsia="Times New Roman"/>
                <w:sz w:val="16"/>
                <w:szCs w:val="16"/>
              </w:rPr>
              <w:t>polygala</w:t>
            </w: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 192(2),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6276"/>
        </w:trPr>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19</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bCs/>
                <w:i/>
                <w:iCs/>
                <w:sz w:val="16"/>
                <w:szCs w:val="16"/>
                <w:lang w:val="en-US"/>
              </w:rPr>
            </w:pPr>
            <w:r w:rsidRPr="00FC16D3">
              <w:rPr>
                <w:rFonts w:eastAsia="Times New Roman"/>
                <w:bCs/>
                <w:i/>
                <w:iCs/>
                <w:sz w:val="16"/>
                <w:szCs w:val="16"/>
                <w:lang w:val="en-US"/>
              </w:rPr>
              <w:t xml:space="preserve">Ambrosia </w:t>
            </w:r>
            <w:r w:rsidRPr="00FC16D3">
              <w:rPr>
                <w:rFonts w:eastAsia="Times New Roman"/>
                <w:bCs/>
                <w:iCs/>
                <w:sz w:val="16"/>
                <w:szCs w:val="16"/>
                <w:lang w:val="en-US"/>
              </w:rPr>
              <w:t>spp.</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i/>
                <w:spacing w:val="-2"/>
                <w:sz w:val="16"/>
                <w:szCs w:val="16"/>
              </w:rPr>
            </w:pPr>
            <w:r w:rsidRPr="00FC16D3">
              <w:rPr>
                <w:rFonts w:eastAsia="Times New Roman"/>
                <w:sz w:val="16"/>
                <w:szCs w:val="16"/>
              </w:rPr>
              <w:t>perennial ragweed</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i/>
                <w:spacing w:val="-2"/>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Asparagus asparagoides</w:t>
            </w:r>
            <w:r w:rsidRPr="00FC16D3">
              <w:rPr>
                <w:rFonts w:eastAsia="Times New Roman"/>
                <w:spacing w:val="-2"/>
                <w:sz w:val="16"/>
                <w:szCs w:val="16"/>
              </w:rPr>
              <w:t xml:space="preserve"> </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spacing w:val="-2"/>
                <w:sz w:val="16"/>
                <w:szCs w:val="16"/>
              </w:rPr>
              <w:t>bridal creeper</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Asparagus declinatus</w:t>
            </w:r>
          </w:p>
          <w:p w:rsidR="00FC16D3" w:rsidRPr="00A0151E" w:rsidRDefault="00FC16D3" w:rsidP="00A0151E">
            <w:pPr>
              <w:spacing w:after="0" w:line="240" w:lineRule="auto"/>
              <w:jc w:val="left"/>
              <w:rPr>
                <w:rFonts w:eastAsia="Times New Roman"/>
                <w:sz w:val="16"/>
                <w:szCs w:val="16"/>
              </w:rPr>
            </w:pPr>
            <w:r w:rsidRPr="00A0151E">
              <w:rPr>
                <w:rFonts w:eastAsia="Times New Roman"/>
                <w:sz w:val="16"/>
                <w:szCs w:val="16"/>
              </w:rPr>
              <w:t>bridal veil</w:t>
            </w:r>
          </w:p>
          <w:p w:rsidR="00FC16D3" w:rsidRPr="00FC16D3" w:rsidRDefault="00FC16D3" w:rsidP="00FC16D3">
            <w:pPr>
              <w:keepNext/>
              <w:spacing w:after="0" w:line="240" w:lineRule="auto"/>
              <w:jc w:val="left"/>
              <w:outlineLvl w:val="1"/>
              <w:rPr>
                <w:rFonts w:eastAsia="Times New Roman"/>
                <w:b/>
                <w:spacing w:val="-2"/>
                <w:sz w:val="16"/>
                <w:szCs w:val="16"/>
              </w:rPr>
            </w:pPr>
          </w:p>
          <w:p w:rsidR="00FC16D3" w:rsidRPr="00FC16D3" w:rsidRDefault="00FC16D3" w:rsidP="00FC16D3">
            <w:pPr>
              <w:spacing w:after="0" w:line="240" w:lineRule="auto"/>
              <w:jc w:val="left"/>
              <w:rPr>
                <w:rFonts w:eastAsia="Times New Roman"/>
                <w:bCs/>
                <w:i/>
                <w:iCs/>
                <w:sz w:val="16"/>
                <w:szCs w:val="16"/>
                <w:lang w:val="en-US"/>
              </w:rPr>
            </w:pPr>
            <w:r w:rsidRPr="00FC16D3">
              <w:rPr>
                <w:rFonts w:eastAsia="Times New Roman"/>
                <w:bCs/>
                <w:i/>
                <w:iCs/>
                <w:sz w:val="16"/>
                <w:szCs w:val="16"/>
                <w:lang w:val="en-US"/>
              </w:rPr>
              <w:t>Cenchrus longispinus</w:t>
            </w:r>
            <w:r w:rsidRPr="00FC16D3">
              <w:rPr>
                <w:rFonts w:eastAsia="Times New Roman"/>
                <w:bCs/>
                <w:iCs/>
                <w:sz w:val="16"/>
                <w:szCs w:val="16"/>
                <w:lang w:val="en-US"/>
              </w:rPr>
              <w:t xml:space="preserve"> and </w:t>
            </w:r>
            <w:r w:rsidRPr="00FC16D3">
              <w:rPr>
                <w:rFonts w:eastAsia="Times New Roman"/>
                <w:bCs/>
                <w:i/>
                <w:iCs/>
                <w:sz w:val="16"/>
                <w:szCs w:val="16"/>
                <w:lang w:val="en-US"/>
              </w:rPr>
              <w:t>Cenchrus spinifex</w:t>
            </w:r>
          </w:p>
          <w:p w:rsidR="00FC16D3" w:rsidRPr="00FC16D3" w:rsidRDefault="00FC16D3" w:rsidP="00FC16D3">
            <w:pPr>
              <w:spacing w:after="0" w:line="240" w:lineRule="auto"/>
              <w:jc w:val="left"/>
              <w:rPr>
                <w:rFonts w:eastAsia="Times New Roman"/>
                <w:sz w:val="16"/>
                <w:szCs w:val="24"/>
                <w:lang w:val="en-US"/>
              </w:rPr>
            </w:pPr>
            <w:r w:rsidRPr="00FC16D3">
              <w:rPr>
                <w:rFonts w:eastAsia="Times New Roman"/>
                <w:sz w:val="16"/>
                <w:szCs w:val="16"/>
              </w:rPr>
              <w:t>innocent weed</w:t>
            </w:r>
            <w:r w:rsidRPr="00FC16D3" w:rsidDel="00C03410">
              <w:rPr>
                <w:rFonts w:eastAsia="Times New Roman"/>
                <w:sz w:val="16"/>
                <w:szCs w:val="24"/>
                <w:lang w:val="en-US"/>
              </w:rPr>
              <w:t xml:space="preserve"> </w:t>
            </w:r>
          </w:p>
          <w:p w:rsidR="00FC16D3" w:rsidRPr="00FC16D3" w:rsidRDefault="00FC16D3" w:rsidP="00FC16D3">
            <w:pPr>
              <w:spacing w:after="0" w:line="240" w:lineRule="auto"/>
              <w:jc w:val="left"/>
              <w:rPr>
                <w:rFonts w:eastAsia="Times New Roman"/>
                <w:sz w:val="16"/>
                <w:szCs w:val="16"/>
                <w:lang w:val="en-US"/>
              </w:rPr>
            </w:pPr>
          </w:p>
          <w:p w:rsidR="00FC16D3" w:rsidRPr="00FC16D3" w:rsidRDefault="00FC16D3" w:rsidP="00FC16D3">
            <w:pPr>
              <w:spacing w:after="0" w:line="240" w:lineRule="auto"/>
              <w:jc w:val="left"/>
              <w:rPr>
                <w:rFonts w:eastAsia="Times New Roman"/>
                <w:bCs/>
                <w:i/>
                <w:iCs/>
                <w:sz w:val="16"/>
                <w:szCs w:val="16"/>
                <w:lang w:val="en-US"/>
              </w:rPr>
            </w:pPr>
            <w:r w:rsidRPr="00FC16D3">
              <w:rPr>
                <w:rFonts w:eastAsia="Times New Roman"/>
                <w:bCs/>
                <w:i/>
                <w:iCs/>
                <w:sz w:val="16"/>
                <w:szCs w:val="16"/>
                <w:lang w:val="en-US"/>
              </w:rPr>
              <w:t>Chondrilla juncea</w:t>
            </w:r>
          </w:p>
          <w:p w:rsidR="00FC16D3" w:rsidRPr="00FC16D3" w:rsidRDefault="00FC16D3" w:rsidP="00FC16D3">
            <w:pPr>
              <w:spacing w:after="0" w:line="240" w:lineRule="auto"/>
              <w:jc w:val="left"/>
              <w:rPr>
                <w:rFonts w:eastAsia="Times New Roman"/>
                <w:sz w:val="16"/>
                <w:szCs w:val="24"/>
                <w:lang w:val="en-US"/>
              </w:rPr>
            </w:pPr>
            <w:r w:rsidRPr="00FC16D3">
              <w:rPr>
                <w:rFonts w:eastAsia="Times New Roman"/>
                <w:sz w:val="16"/>
                <w:szCs w:val="16"/>
              </w:rPr>
              <w:t>skeleton weed</w:t>
            </w:r>
          </w:p>
          <w:p w:rsidR="00FC16D3" w:rsidRPr="00FC16D3" w:rsidRDefault="00FC16D3" w:rsidP="00FC16D3">
            <w:pPr>
              <w:spacing w:after="0" w:line="240" w:lineRule="auto"/>
              <w:jc w:val="left"/>
              <w:rPr>
                <w:rFonts w:eastAsia="Times New Roman"/>
                <w:sz w:val="16"/>
                <w:szCs w:val="16"/>
                <w:lang w:val="en-US"/>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i/>
                <w:spacing w:val="-2"/>
                <w:sz w:val="16"/>
                <w:szCs w:val="16"/>
              </w:rPr>
            </w:pPr>
            <w:r w:rsidRPr="00FC16D3">
              <w:rPr>
                <w:rFonts w:eastAsia="Times New Roman"/>
                <w:i/>
                <w:spacing w:val="-2"/>
                <w:sz w:val="16"/>
                <w:szCs w:val="16"/>
              </w:rPr>
              <w:t>Lycium ferocissimum</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spacing w:val="-2"/>
                <w:sz w:val="16"/>
                <w:szCs w:val="16"/>
              </w:rPr>
              <w:t>African boxthorn</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i/>
                <w:spacing w:val="-2"/>
                <w:sz w:val="16"/>
                <w:szCs w:val="16"/>
              </w:rPr>
            </w:pPr>
            <w:r w:rsidRPr="00FC16D3">
              <w:rPr>
                <w:rFonts w:eastAsia="Times New Roman"/>
                <w:i/>
                <w:spacing w:val="-2"/>
                <w:sz w:val="16"/>
                <w:szCs w:val="16"/>
              </w:rPr>
              <w:t>Oncosiphon suffruticosum</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spacing w:val="-2"/>
                <w:sz w:val="16"/>
                <w:szCs w:val="16"/>
              </w:rPr>
              <w:t>Calomba daisy</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p>
          <w:p w:rsidR="00FC16D3" w:rsidRPr="00FC16D3" w:rsidRDefault="00FC16D3" w:rsidP="00FC16D3">
            <w:pPr>
              <w:spacing w:after="0" w:line="240" w:lineRule="auto"/>
              <w:jc w:val="left"/>
              <w:rPr>
                <w:rFonts w:eastAsia="Times New Roman"/>
                <w:bCs/>
                <w:i/>
                <w:iCs/>
                <w:sz w:val="16"/>
                <w:szCs w:val="16"/>
                <w:lang w:val="en-US"/>
              </w:rPr>
            </w:pPr>
            <w:r w:rsidRPr="00FC16D3">
              <w:rPr>
                <w:rFonts w:eastAsia="Times New Roman"/>
                <w:bCs/>
                <w:i/>
                <w:iCs/>
                <w:sz w:val="16"/>
                <w:szCs w:val="16"/>
                <w:lang w:val="en-US"/>
              </w:rPr>
              <w:t>Reseda lutea</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sz w:val="16"/>
                <w:szCs w:val="16"/>
              </w:rPr>
              <w:t>cutleaf mignonette</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i/>
                <w:sz w:val="16"/>
                <w:szCs w:val="16"/>
              </w:rPr>
            </w:pPr>
            <w:r w:rsidRPr="00FC16D3">
              <w:rPr>
                <w:rFonts w:eastAsia="Times New Roman"/>
                <w:i/>
                <w:sz w:val="16"/>
                <w:szCs w:val="16"/>
              </w:rPr>
              <w:t>Silene vulgaris</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spacing w:val="-2"/>
                <w:sz w:val="16"/>
                <w:szCs w:val="16"/>
              </w:rPr>
              <w:t>bladder campion</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p>
          <w:p w:rsidR="00FC16D3" w:rsidRPr="00FC16D3" w:rsidRDefault="00FC16D3" w:rsidP="00FC16D3">
            <w:pPr>
              <w:spacing w:after="0" w:line="240" w:lineRule="auto"/>
              <w:jc w:val="left"/>
              <w:rPr>
                <w:rFonts w:eastAsia="Times New Roman"/>
                <w:i/>
                <w:iCs/>
                <w:sz w:val="16"/>
                <w:szCs w:val="16"/>
              </w:rPr>
            </w:pPr>
            <w:r w:rsidRPr="00FC16D3">
              <w:rPr>
                <w:rFonts w:eastAsia="Times New Roman"/>
                <w:i/>
                <w:iCs/>
                <w:sz w:val="16"/>
                <w:szCs w:val="16"/>
              </w:rPr>
              <w:t>Tribulus terrestris</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sz w:val="16"/>
                <w:szCs w:val="16"/>
              </w:rPr>
              <w:t>caltrop</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Ulex europaeus</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spacing w:val="-2"/>
                <w:sz w:val="16"/>
                <w:szCs w:val="16"/>
              </w:rPr>
              <w:t>gorse; furze</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bCs/>
                <w:i/>
                <w:spacing w:val="-2"/>
                <w:sz w:val="16"/>
                <w:szCs w:val="16"/>
              </w:rPr>
              <w:t>Xanthium spinosum</w:t>
            </w:r>
          </w:p>
          <w:p w:rsidR="00FC16D3" w:rsidRPr="00FC16D3" w:rsidRDefault="00FC16D3" w:rsidP="00FC16D3">
            <w:pPr>
              <w:spacing w:after="0" w:line="240" w:lineRule="auto"/>
              <w:jc w:val="left"/>
              <w:rPr>
                <w:rFonts w:eastAsia="Times New Roman"/>
                <w:spacing w:val="-2"/>
                <w:sz w:val="16"/>
                <w:szCs w:val="16"/>
              </w:rPr>
            </w:pPr>
            <w:r w:rsidRPr="00FC16D3">
              <w:rPr>
                <w:rFonts w:eastAsia="Times New Roman"/>
                <w:spacing w:val="-2"/>
                <w:sz w:val="16"/>
                <w:szCs w:val="16"/>
              </w:rPr>
              <w:t>Bathurst burr</w:t>
            </w:r>
          </w:p>
          <w:p w:rsidR="00FC16D3" w:rsidRPr="00FC16D3" w:rsidRDefault="00FC16D3" w:rsidP="00FC16D3">
            <w:pPr>
              <w:spacing w:after="0" w:line="240" w:lineRule="auto"/>
              <w:jc w:val="left"/>
              <w:rPr>
                <w:rFonts w:eastAsia="Times New Roman"/>
                <w:b/>
                <w:sz w:val="16"/>
                <w:szCs w:val="16"/>
                <w:lang w:val="en-US"/>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 192(2),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tc>
      </w:tr>
      <w:tr w:rsidR="00FC16D3" w:rsidRPr="00FC16D3" w:rsidTr="00805B8E">
        <w:trPr>
          <w:trHeight w:val="1918"/>
        </w:trPr>
        <w:tc>
          <w:tcPr>
            <w:tcW w:w="2179" w:type="pct"/>
            <w:tcBorders>
              <w:bottom w:val="single" w:sz="4" w:space="0" w:color="auto"/>
            </w:tcBorders>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lang w:val="en-US"/>
              </w:rPr>
              <w:t>CLASS</w:t>
            </w:r>
            <w:r w:rsidRPr="00FC16D3">
              <w:rPr>
                <w:rFonts w:eastAsia="Times New Roman"/>
                <w:b/>
                <w:sz w:val="24"/>
                <w:szCs w:val="24"/>
              </w:rPr>
              <w:t xml:space="preserve"> 20</w:t>
            </w:r>
          </w:p>
          <w:p w:rsidR="00FC16D3" w:rsidRPr="00FC16D3" w:rsidRDefault="00FC16D3" w:rsidP="00FC16D3">
            <w:pPr>
              <w:spacing w:after="0" w:line="240" w:lineRule="auto"/>
              <w:jc w:val="left"/>
              <w:rPr>
                <w:rFonts w:eastAsia="Times New Roman"/>
                <w:b/>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Asparagus scandens</w:t>
            </w:r>
          </w:p>
          <w:p w:rsidR="00FC16D3" w:rsidRPr="00FC16D3" w:rsidRDefault="00FC16D3" w:rsidP="00FC16D3">
            <w:pPr>
              <w:spacing w:after="0" w:line="240" w:lineRule="auto"/>
              <w:jc w:val="left"/>
              <w:rPr>
                <w:rFonts w:eastAsia="Times New Roman"/>
                <w:b/>
                <w:sz w:val="24"/>
                <w:szCs w:val="24"/>
                <w:lang w:val="en-US"/>
              </w:rPr>
            </w:pPr>
            <w:r w:rsidRPr="00FC16D3">
              <w:rPr>
                <w:rFonts w:eastAsia="Times New Roman"/>
                <w:spacing w:val="-2"/>
                <w:sz w:val="16"/>
                <w:szCs w:val="16"/>
              </w:rPr>
              <w:t>asparagus fern</w:t>
            </w:r>
          </w:p>
        </w:tc>
        <w:tc>
          <w:tcPr>
            <w:tcW w:w="1219"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tc>
        <w:tc>
          <w:tcPr>
            <w:tcW w:w="578"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Eyre Peninsula, Green Adelaide, Hills and Fleurieu,  Murraylands and Riverland and Limestone Coast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2253"/>
        </w:trPr>
        <w:tc>
          <w:tcPr>
            <w:tcW w:w="2179" w:type="pct"/>
            <w:tcBorders>
              <w:bottom w:val="single" w:sz="4" w:space="0" w:color="auto"/>
            </w:tcBorders>
          </w:tcPr>
          <w:p w:rsidR="00FC16D3" w:rsidRPr="00FC16D3" w:rsidRDefault="00FC16D3" w:rsidP="00FC16D3">
            <w:pPr>
              <w:spacing w:before="120" w:after="0" w:line="240" w:lineRule="auto"/>
              <w:jc w:val="left"/>
              <w:rPr>
                <w:rFonts w:eastAsia="Times New Roman"/>
                <w:b/>
                <w:bCs/>
                <w:sz w:val="24"/>
                <w:szCs w:val="24"/>
                <w:lang w:val="en-US"/>
              </w:rPr>
            </w:pPr>
            <w:r w:rsidRPr="00FC16D3">
              <w:rPr>
                <w:rFonts w:eastAsia="Times New Roman"/>
                <w:b/>
                <w:sz w:val="24"/>
                <w:szCs w:val="24"/>
                <w:lang w:val="en-US"/>
              </w:rPr>
              <w:t>CLASS 21</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Lepidium draba</w:t>
            </w:r>
          </w:p>
          <w:p w:rsidR="00FC16D3" w:rsidRPr="00FC16D3" w:rsidRDefault="00FC16D3" w:rsidP="00FC16D3">
            <w:pPr>
              <w:spacing w:after="0" w:line="240" w:lineRule="auto"/>
              <w:jc w:val="left"/>
              <w:rPr>
                <w:rFonts w:eastAsia="Times New Roman"/>
                <w:spacing w:val="-2"/>
                <w:sz w:val="16"/>
                <w:szCs w:val="16"/>
              </w:rPr>
            </w:pPr>
            <w:r w:rsidRPr="00FC16D3">
              <w:rPr>
                <w:rFonts w:eastAsia="Times New Roman"/>
                <w:spacing w:val="-2"/>
                <w:sz w:val="16"/>
                <w:szCs w:val="16"/>
              </w:rPr>
              <w:t>hoary cress</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iCs/>
                <w:snapToGrid w:val="0"/>
                <w:sz w:val="16"/>
                <w:szCs w:val="16"/>
              </w:rPr>
            </w:pPr>
            <w:r w:rsidRPr="00FC16D3">
              <w:rPr>
                <w:rFonts w:eastAsia="Times New Roman"/>
                <w:i/>
                <w:iCs/>
                <w:snapToGrid w:val="0"/>
                <w:sz w:val="16"/>
                <w:szCs w:val="16"/>
              </w:rPr>
              <w:t>Moraea flaccida</w:t>
            </w:r>
          </w:p>
          <w:p w:rsidR="00FC16D3" w:rsidRPr="00FC16D3" w:rsidRDefault="00FC16D3" w:rsidP="00FC16D3">
            <w:pPr>
              <w:spacing w:after="0" w:line="240" w:lineRule="auto"/>
              <w:jc w:val="left"/>
              <w:rPr>
                <w:rFonts w:eastAsia="Times New Roman"/>
                <w:i/>
                <w:iCs/>
                <w:snapToGrid w:val="0"/>
                <w:sz w:val="16"/>
                <w:szCs w:val="16"/>
              </w:rPr>
            </w:pPr>
            <w:r w:rsidRPr="00FC16D3">
              <w:rPr>
                <w:rFonts w:eastAsia="Times New Roman"/>
                <w:snapToGrid w:val="0"/>
                <w:sz w:val="16"/>
                <w:szCs w:val="16"/>
              </w:rPr>
              <w:t>one-leaf Cape tulip</w:t>
            </w:r>
          </w:p>
          <w:p w:rsidR="00FC16D3" w:rsidRPr="00FC16D3" w:rsidRDefault="00FC16D3" w:rsidP="00FC16D3">
            <w:pPr>
              <w:spacing w:after="0" w:line="240" w:lineRule="auto"/>
              <w:jc w:val="left"/>
              <w:rPr>
                <w:rFonts w:eastAsia="Times New Roman"/>
                <w:snapToGrid w:val="0"/>
                <w:sz w:val="16"/>
                <w:szCs w:val="16"/>
              </w:rPr>
            </w:pPr>
          </w:p>
          <w:p w:rsidR="00FC16D3" w:rsidRPr="00FC16D3" w:rsidRDefault="00FC16D3" w:rsidP="00FC16D3">
            <w:pPr>
              <w:spacing w:after="0" w:line="240" w:lineRule="auto"/>
              <w:jc w:val="left"/>
              <w:rPr>
                <w:rFonts w:eastAsia="Times New Roman"/>
                <w:i/>
                <w:iCs/>
                <w:snapToGrid w:val="0"/>
                <w:sz w:val="16"/>
                <w:szCs w:val="16"/>
              </w:rPr>
            </w:pPr>
            <w:r w:rsidRPr="00FC16D3">
              <w:rPr>
                <w:rFonts w:eastAsia="Times New Roman"/>
                <w:i/>
                <w:iCs/>
                <w:snapToGrid w:val="0"/>
                <w:sz w:val="16"/>
                <w:szCs w:val="16"/>
              </w:rPr>
              <w:t>Moraea miniata</w:t>
            </w:r>
          </w:p>
          <w:p w:rsidR="00FC16D3" w:rsidRPr="00FC16D3" w:rsidRDefault="00FC16D3" w:rsidP="00FC16D3">
            <w:pPr>
              <w:spacing w:after="0" w:line="240" w:lineRule="auto"/>
              <w:jc w:val="left"/>
              <w:rPr>
                <w:rFonts w:eastAsia="Times New Roman"/>
                <w:snapToGrid w:val="0"/>
                <w:sz w:val="16"/>
                <w:szCs w:val="16"/>
              </w:rPr>
            </w:pPr>
            <w:r w:rsidRPr="00FC16D3">
              <w:rPr>
                <w:rFonts w:eastAsia="Times New Roman"/>
                <w:snapToGrid w:val="0"/>
                <w:sz w:val="16"/>
                <w:szCs w:val="16"/>
              </w:rPr>
              <w:t>two-leaf Cape tulip</w:t>
            </w:r>
          </w:p>
          <w:p w:rsidR="00FC16D3" w:rsidRPr="00FC16D3" w:rsidRDefault="00FC16D3" w:rsidP="00FC16D3">
            <w:pPr>
              <w:spacing w:after="0" w:line="240" w:lineRule="auto"/>
              <w:jc w:val="left"/>
              <w:rPr>
                <w:rFonts w:eastAsia="Times New Roman"/>
                <w:b/>
                <w:sz w:val="24"/>
                <w:szCs w:val="24"/>
                <w:lang w:val="en-US"/>
              </w:rPr>
            </w:pPr>
          </w:p>
        </w:tc>
        <w:tc>
          <w:tcPr>
            <w:tcW w:w="1219"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tc>
        <w:tc>
          <w:tcPr>
            <w:tcW w:w="578"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r w:rsidRPr="00FC16D3">
              <w:rPr>
                <w:rFonts w:eastAsia="Times New Roman"/>
                <w:sz w:val="16"/>
                <w:szCs w:val="16"/>
              </w:rPr>
              <w:t>The area of the Alinytjara Wilurara, Eyre Peninsula, Green Adelaide, Hills and Fleurieu, Kangaroo Island, Northern and Yorke, Murraylands and Riverland, and Limestone Coast  Regions.</w:t>
            </w:r>
          </w:p>
        </w:tc>
      </w:tr>
      <w:tr w:rsidR="00FC16D3" w:rsidRPr="00FC16D3" w:rsidTr="00805B8E">
        <w:trPr>
          <w:trHeight w:val="747"/>
        </w:trPr>
        <w:tc>
          <w:tcPr>
            <w:tcW w:w="2179" w:type="pct"/>
            <w:tcBorders>
              <w:top w:val="single" w:sz="4" w:space="0" w:color="auto"/>
              <w:left w:val="nil"/>
              <w:bottom w:val="nil"/>
              <w:right w:val="nil"/>
            </w:tcBorders>
          </w:tcPr>
          <w:p w:rsidR="00FC16D3" w:rsidRPr="00FC16D3" w:rsidRDefault="00FC16D3" w:rsidP="00FC16D3">
            <w:pPr>
              <w:spacing w:before="120" w:line="240" w:lineRule="auto"/>
              <w:jc w:val="left"/>
              <w:rPr>
                <w:rFonts w:eastAsia="Times New Roman"/>
                <w:b/>
                <w:sz w:val="24"/>
                <w:szCs w:val="24"/>
                <w:lang w:val="en-US"/>
              </w:rPr>
            </w:pPr>
          </w:p>
        </w:tc>
        <w:tc>
          <w:tcPr>
            <w:tcW w:w="1219" w:type="pct"/>
            <w:tcBorders>
              <w:top w:val="single" w:sz="4" w:space="0" w:color="auto"/>
              <w:left w:val="nil"/>
              <w:bottom w:val="nil"/>
              <w:right w:val="nil"/>
            </w:tcBorders>
          </w:tcPr>
          <w:p w:rsidR="00FC16D3" w:rsidRPr="00FC16D3" w:rsidRDefault="00FC16D3" w:rsidP="00FC16D3">
            <w:pPr>
              <w:spacing w:line="240" w:lineRule="auto"/>
              <w:jc w:val="left"/>
              <w:rPr>
                <w:rFonts w:eastAsia="Times New Roman"/>
                <w:sz w:val="16"/>
                <w:szCs w:val="16"/>
              </w:rPr>
            </w:pPr>
          </w:p>
        </w:tc>
        <w:tc>
          <w:tcPr>
            <w:tcW w:w="578" w:type="pct"/>
            <w:tcBorders>
              <w:top w:val="single" w:sz="4" w:space="0" w:color="auto"/>
              <w:left w:val="nil"/>
              <w:bottom w:val="nil"/>
              <w:right w:val="nil"/>
            </w:tcBorders>
          </w:tcPr>
          <w:p w:rsidR="00FC16D3" w:rsidRPr="00FC16D3" w:rsidRDefault="00FC16D3" w:rsidP="00FC16D3">
            <w:pPr>
              <w:spacing w:line="240" w:lineRule="auto"/>
              <w:jc w:val="left"/>
              <w:rPr>
                <w:rFonts w:eastAsia="Times New Roman"/>
                <w:sz w:val="16"/>
                <w:szCs w:val="16"/>
              </w:rPr>
            </w:pPr>
          </w:p>
        </w:tc>
        <w:tc>
          <w:tcPr>
            <w:tcW w:w="1024" w:type="pct"/>
            <w:tcBorders>
              <w:top w:val="single" w:sz="4" w:space="0" w:color="auto"/>
              <w:left w:val="nil"/>
              <w:bottom w:val="nil"/>
              <w:right w:val="nil"/>
            </w:tcBorders>
          </w:tcPr>
          <w:p w:rsidR="00FC16D3" w:rsidRPr="00FC16D3" w:rsidRDefault="00FC16D3" w:rsidP="00FC16D3">
            <w:pPr>
              <w:spacing w:line="240" w:lineRule="auto"/>
              <w:jc w:val="left"/>
              <w:rPr>
                <w:rFonts w:eastAsia="Times New Roman"/>
                <w:sz w:val="16"/>
                <w:szCs w:val="16"/>
              </w:rPr>
            </w:pPr>
          </w:p>
        </w:tc>
      </w:tr>
      <w:tr w:rsidR="00FC16D3" w:rsidRPr="00FC16D3" w:rsidTr="00805B8E">
        <w:trPr>
          <w:trHeight w:val="747"/>
        </w:trPr>
        <w:tc>
          <w:tcPr>
            <w:tcW w:w="2179" w:type="pct"/>
            <w:tcBorders>
              <w:top w:val="nil"/>
            </w:tcBorders>
          </w:tcPr>
          <w:p w:rsidR="00FC16D3" w:rsidRPr="00FC16D3" w:rsidRDefault="00FC16D3" w:rsidP="00FC16D3">
            <w:pPr>
              <w:spacing w:before="120" w:line="240" w:lineRule="auto"/>
              <w:jc w:val="left"/>
              <w:rPr>
                <w:rFonts w:eastAsia="Times New Roman"/>
                <w:b/>
                <w:bCs/>
                <w:sz w:val="24"/>
                <w:szCs w:val="24"/>
                <w:lang w:val="en-US"/>
              </w:rPr>
            </w:pPr>
            <w:r w:rsidRPr="00FC16D3">
              <w:rPr>
                <w:rFonts w:eastAsia="Times New Roman"/>
                <w:b/>
                <w:sz w:val="24"/>
                <w:szCs w:val="24"/>
                <w:lang w:val="en-US"/>
              </w:rPr>
              <w:t>CLASS 22</w:t>
            </w: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Allium vineale</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line="240" w:lineRule="auto"/>
              <w:ind w:left="283" w:hanging="283"/>
              <w:jc w:val="left"/>
              <w:rPr>
                <w:rFonts w:eastAsia="Times New Roman"/>
                <w:spacing w:val="-2"/>
                <w:sz w:val="16"/>
                <w:szCs w:val="16"/>
              </w:rPr>
            </w:pPr>
            <w:r w:rsidRPr="00FC16D3">
              <w:rPr>
                <w:rFonts w:eastAsia="Times New Roman"/>
                <w:spacing w:val="-2"/>
                <w:sz w:val="16"/>
                <w:szCs w:val="16"/>
              </w:rPr>
              <w:t>field garlic</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line="240" w:lineRule="auto"/>
              <w:ind w:left="283" w:hanging="283"/>
              <w:jc w:val="left"/>
              <w:rPr>
                <w:rFonts w:eastAsia="Times New Roman"/>
                <w:spacing w:val="-2"/>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line="240" w:lineRule="auto"/>
              <w:jc w:val="left"/>
              <w:rPr>
                <w:rFonts w:eastAsia="Times New Roman"/>
                <w:spacing w:val="-2"/>
                <w:sz w:val="16"/>
                <w:szCs w:val="16"/>
              </w:rPr>
            </w:pPr>
          </w:p>
          <w:p w:rsidR="00FC16D3" w:rsidRPr="00FC16D3" w:rsidRDefault="00FC16D3" w:rsidP="00FC16D3">
            <w:pPr>
              <w:spacing w:line="240" w:lineRule="auto"/>
              <w:jc w:val="left"/>
              <w:rPr>
                <w:rFonts w:eastAsia="Times New Roman"/>
                <w:bCs/>
                <w:sz w:val="16"/>
                <w:szCs w:val="16"/>
                <w:lang w:val="en-US"/>
              </w:rPr>
            </w:pPr>
          </w:p>
        </w:tc>
        <w:tc>
          <w:tcPr>
            <w:tcW w:w="1219" w:type="pct"/>
            <w:tcBorders>
              <w:top w:val="nil"/>
            </w:tcBorders>
          </w:tcPr>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r w:rsidRPr="00FC16D3">
              <w:rPr>
                <w:rFonts w:eastAsia="Times New Roman"/>
                <w:sz w:val="16"/>
                <w:szCs w:val="16"/>
              </w:rPr>
              <w:t>192(2)</w:t>
            </w: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r w:rsidRPr="00FC16D3">
              <w:rPr>
                <w:rFonts w:eastAsia="Times New Roman"/>
                <w:sz w:val="16"/>
                <w:szCs w:val="16"/>
              </w:rPr>
              <w:t>194</w:t>
            </w:r>
          </w:p>
        </w:tc>
        <w:tc>
          <w:tcPr>
            <w:tcW w:w="578" w:type="pct"/>
            <w:tcBorders>
              <w:top w:val="nil"/>
            </w:tcBorders>
          </w:tcPr>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r w:rsidRPr="00FC16D3">
              <w:rPr>
                <w:rFonts w:eastAsia="Times New Roman"/>
                <w:sz w:val="16"/>
                <w:szCs w:val="16"/>
              </w:rPr>
              <w:t>2</w:t>
            </w:r>
          </w:p>
        </w:tc>
        <w:tc>
          <w:tcPr>
            <w:tcW w:w="1024" w:type="pct"/>
            <w:tcBorders>
              <w:top w:val="nil"/>
            </w:tcBorders>
          </w:tcPr>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r w:rsidRPr="00FC16D3">
              <w:rPr>
                <w:rFonts w:eastAsia="Times New Roman"/>
                <w:sz w:val="16"/>
                <w:szCs w:val="16"/>
              </w:rPr>
              <w:t>The areas of the Eyre Peninsula, Green Adelaide, Hills and Fleurieu, Kangaroo Island, Northern and Yorke, Murraylands and Riverland, and Limestone Coast  Regions.</w:t>
            </w:r>
          </w:p>
          <w:p w:rsidR="00FC16D3" w:rsidRPr="00FC16D3" w:rsidRDefault="00FC16D3" w:rsidP="00FC16D3">
            <w:pPr>
              <w:spacing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r w:rsidRPr="00FC16D3">
              <w:rPr>
                <w:rFonts w:eastAsia="Times New Roman"/>
                <w:sz w:val="16"/>
                <w:szCs w:val="16"/>
              </w:rPr>
              <w:t>The areas of the Green Adelaide, Hills and Fleurieu, Kangaroo Island, Northern and Yorke, Murraylands and Riverland, and Limestone Coast Regions.</w:t>
            </w:r>
          </w:p>
          <w:p w:rsidR="00FC16D3" w:rsidRPr="00FC16D3" w:rsidRDefault="00FC16D3" w:rsidP="00FC16D3">
            <w:pPr>
              <w:spacing w:line="240" w:lineRule="auto"/>
              <w:jc w:val="left"/>
              <w:rPr>
                <w:rFonts w:eastAsia="Times New Roman"/>
                <w:sz w:val="16"/>
                <w:szCs w:val="16"/>
              </w:rPr>
            </w:pPr>
          </w:p>
        </w:tc>
      </w:tr>
      <w:tr w:rsidR="00FC16D3" w:rsidRPr="00FC16D3" w:rsidTr="00805B8E">
        <w:trPr>
          <w:trHeight w:val="3036"/>
        </w:trPr>
        <w:tc>
          <w:tcPr>
            <w:tcW w:w="2179" w:type="pct"/>
          </w:tcPr>
          <w:p w:rsidR="00FC16D3" w:rsidRPr="00FC16D3" w:rsidRDefault="00FC16D3" w:rsidP="00FC16D3">
            <w:pPr>
              <w:spacing w:before="120" w:after="0" w:line="240" w:lineRule="auto"/>
              <w:jc w:val="left"/>
              <w:rPr>
                <w:rFonts w:eastAsia="Times New Roman"/>
                <w:b/>
                <w:bCs/>
                <w:sz w:val="24"/>
                <w:szCs w:val="24"/>
              </w:rPr>
            </w:pPr>
            <w:r w:rsidRPr="00FC16D3">
              <w:rPr>
                <w:rFonts w:eastAsia="Times New Roman"/>
                <w:b/>
                <w:sz w:val="24"/>
                <w:szCs w:val="24"/>
                <w:lang w:val="en-US"/>
              </w:rPr>
              <w:t>CLASS</w:t>
            </w:r>
            <w:r w:rsidRPr="00FC16D3">
              <w:rPr>
                <w:rFonts w:eastAsia="Times New Roman"/>
                <w:b/>
                <w:bCs/>
                <w:sz w:val="24"/>
                <w:szCs w:val="24"/>
              </w:rPr>
              <w:t xml:space="preserve"> 23</w:t>
            </w:r>
          </w:p>
          <w:p w:rsidR="00FC16D3" w:rsidRPr="00FC16D3" w:rsidRDefault="00FC16D3" w:rsidP="00FC16D3">
            <w:pPr>
              <w:spacing w:after="0" w:line="240" w:lineRule="auto"/>
              <w:jc w:val="left"/>
              <w:rPr>
                <w:rFonts w:eastAsia="Times New Roman"/>
                <w:b/>
                <w:bCs/>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i/>
                <w:iCs/>
                <w:sz w:val="16"/>
                <w:szCs w:val="16"/>
              </w:rPr>
              <w:t xml:space="preserve">Rubus fruticosus </w:t>
            </w:r>
            <w:r w:rsidRPr="00FC16D3">
              <w:rPr>
                <w:rFonts w:eastAsia="Times New Roman"/>
                <w:sz w:val="16"/>
                <w:szCs w:val="16"/>
              </w:rPr>
              <w:t>sp. agg.</w:t>
            </w:r>
          </w:p>
          <w:p w:rsidR="00FC16D3" w:rsidRPr="00FC16D3" w:rsidRDefault="00FC16D3" w:rsidP="00FC16D3">
            <w:pPr>
              <w:spacing w:after="0" w:line="240" w:lineRule="auto"/>
              <w:jc w:val="left"/>
              <w:rPr>
                <w:rFonts w:eastAsia="Times New Roman"/>
                <w:b/>
                <w:bCs/>
                <w:sz w:val="16"/>
                <w:szCs w:val="16"/>
              </w:rPr>
            </w:pPr>
            <w:r w:rsidRPr="00FC16D3">
              <w:rPr>
                <w:rFonts w:eastAsia="Times New Roman"/>
                <w:sz w:val="16"/>
                <w:szCs w:val="16"/>
              </w:rPr>
              <w:t>blackberry</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excluding a) any detached fruit</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b) the following cultivars when planted and maintained for domestic or commercial purposes under conditions approved by the Minister:</w:t>
            </w:r>
          </w:p>
          <w:p w:rsidR="00FC16D3" w:rsidRPr="00FC16D3" w:rsidRDefault="00FC16D3" w:rsidP="00FC16D3">
            <w:pPr>
              <w:numPr>
                <w:ilvl w:val="0"/>
                <w:numId w:val="38"/>
              </w:numPr>
              <w:spacing w:after="0" w:line="240" w:lineRule="auto"/>
              <w:jc w:val="left"/>
              <w:rPr>
                <w:rFonts w:eastAsia="Times New Roman"/>
                <w:sz w:val="16"/>
                <w:szCs w:val="16"/>
              </w:rPr>
            </w:pPr>
            <w:r w:rsidRPr="00FC16D3">
              <w:rPr>
                <w:rFonts w:eastAsia="Times New Roman"/>
                <w:sz w:val="16"/>
                <w:szCs w:val="16"/>
              </w:rPr>
              <w:t>‘Black Satin’</w:t>
            </w:r>
          </w:p>
          <w:p w:rsidR="00FC16D3" w:rsidRPr="00FC16D3" w:rsidRDefault="00FC16D3" w:rsidP="00FC16D3">
            <w:pPr>
              <w:numPr>
                <w:ilvl w:val="0"/>
                <w:numId w:val="38"/>
              </w:numPr>
              <w:spacing w:after="0" w:line="240" w:lineRule="auto"/>
              <w:jc w:val="left"/>
              <w:rPr>
                <w:rFonts w:eastAsia="Times New Roman"/>
                <w:sz w:val="16"/>
                <w:szCs w:val="16"/>
              </w:rPr>
            </w:pPr>
            <w:r w:rsidRPr="00FC16D3">
              <w:rPr>
                <w:rFonts w:eastAsia="Times New Roman"/>
                <w:sz w:val="16"/>
                <w:szCs w:val="16"/>
              </w:rPr>
              <w:t>‘Dirksen Thornless’</w:t>
            </w:r>
          </w:p>
          <w:p w:rsidR="00FC16D3" w:rsidRPr="00FC16D3" w:rsidRDefault="00FC16D3" w:rsidP="00FC16D3">
            <w:pPr>
              <w:numPr>
                <w:ilvl w:val="0"/>
                <w:numId w:val="38"/>
              </w:numPr>
              <w:spacing w:after="0" w:line="240" w:lineRule="auto"/>
              <w:jc w:val="left"/>
              <w:rPr>
                <w:rFonts w:eastAsia="Times New Roman"/>
                <w:sz w:val="16"/>
                <w:szCs w:val="16"/>
              </w:rPr>
            </w:pPr>
            <w:r w:rsidRPr="00FC16D3">
              <w:rPr>
                <w:rFonts w:eastAsia="Times New Roman"/>
                <w:sz w:val="16"/>
                <w:szCs w:val="16"/>
              </w:rPr>
              <w:t>‘Smoothstem’</w:t>
            </w:r>
          </w:p>
          <w:p w:rsidR="00FC16D3" w:rsidRPr="00FC16D3" w:rsidRDefault="00FC16D3" w:rsidP="00FC16D3">
            <w:pPr>
              <w:numPr>
                <w:ilvl w:val="0"/>
                <w:numId w:val="38"/>
              </w:numPr>
              <w:spacing w:after="0" w:line="240" w:lineRule="auto"/>
              <w:jc w:val="left"/>
              <w:rPr>
                <w:rFonts w:eastAsia="Times New Roman"/>
                <w:sz w:val="16"/>
                <w:szCs w:val="16"/>
              </w:rPr>
            </w:pPr>
            <w:r w:rsidRPr="00FC16D3">
              <w:rPr>
                <w:rFonts w:eastAsia="Times New Roman"/>
                <w:sz w:val="16"/>
                <w:szCs w:val="16"/>
              </w:rPr>
              <w:t>‘Thornfree’</w:t>
            </w:r>
          </w:p>
          <w:p w:rsidR="00FC16D3" w:rsidRPr="00FC16D3" w:rsidRDefault="00FC16D3" w:rsidP="00FC16D3">
            <w:pPr>
              <w:numPr>
                <w:ilvl w:val="0"/>
                <w:numId w:val="38"/>
              </w:numPr>
              <w:spacing w:after="0" w:line="240" w:lineRule="auto"/>
              <w:jc w:val="left"/>
              <w:rPr>
                <w:rFonts w:eastAsia="Times New Roman"/>
                <w:sz w:val="16"/>
                <w:szCs w:val="16"/>
              </w:rPr>
            </w:pPr>
            <w:r w:rsidRPr="00FC16D3">
              <w:rPr>
                <w:rFonts w:eastAsia="Times New Roman"/>
                <w:sz w:val="16"/>
                <w:szCs w:val="16"/>
              </w:rPr>
              <w:t>‘Loch Ness’</w:t>
            </w:r>
          </w:p>
          <w:p w:rsidR="00FC16D3" w:rsidRPr="00FC16D3" w:rsidRDefault="00FC16D3" w:rsidP="00FC16D3">
            <w:pPr>
              <w:numPr>
                <w:ilvl w:val="0"/>
                <w:numId w:val="38"/>
              </w:numPr>
              <w:spacing w:after="0" w:line="240" w:lineRule="auto"/>
              <w:jc w:val="left"/>
              <w:rPr>
                <w:rFonts w:eastAsia="Times New Roman"/>
                <w:b/>
                <w:bCs/>
                <w:sz w:val="16"/>
                <w:szCs w:val="16"/>
              </w:rPr>
            </w:pPr>
            <w:r w:rsidRPr="00FC16D3">
              <w:rPr>
                <w:rFonts w:eastAsia="Times New Roman"/>
                <w:sz w:val="16"/>
                <w:szCs w:val="16"/>
              </w:rPr>
              <w:t>‘Chester Thornless’</w:t>
            </w:r>
          </w:p>
          <w:p w:rsidR="00FC16D3" w:rsidRPr="00FC16D3" w:rsidRDefault="00FC16D3" w:rsidP="00FC16D3">
            <w:pPr>
              <w:spacing w:after="0" w:line="240" w:lineRule="auto"/>
              <w:jc w:val="left"/>
              <w:rPr>
                <w:rFonts w:eastAsia="Times New Roman"/>
                <w:b/>
                <w:bCs/>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Eyre Peninsula, Green Adelaide, Hills and Fleurieu, Kangaroo Island, Northern and Yorke, Murraylands and Riverland, and Limestone Coast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606"/>
        </w:trPr>
        <w:tc>
          <w:tcPr>
            <w:tcW w:w="2179" w:type="pct"/>
          </w:tcPr>
          <w:p w:rsidR="00FC16D3" w:rsidRPr="00FC16D3" w:rsidRDefault="00FC16D3" w:rsidP="00FC16D3">
            <w:pPr>
              <w:spacing w:before="120" w:after="0" w:line="240" w:lineRule="auto"/>
              <w:jc w:val="left"/>
              <w:rPr>
                <w:rFonts w:eastAsia="Times New Roman"/>
                <w:b/>
                <w:bCs/>
                <w:sz w:val="24"/>
                <w:szCs w:val="24"/>
              </w:rPr>
            </w:pPr>
            <w:r w:rsidRPr="00FC16D3">
              <w:rPr>
                <w:rFonts w:eastAsia="Times New Roman"/>
                <w:b/>
                <w:sz w:val="24"/>
                <w:szCs w:val="24"/>
                <w:lang w:val="en-US"/>
              </w:rPr>
              <w:t>CLASS</w:t>
            </w:r>
            <w:r w:rsidRPr="00FC16D3">
              <w:rPr>
                <w:rFonts w:eastAsia="Times New Roman"/>
                <w:b/>
                <w:bCs/>
                <w:sz w:val="24"/>
                <w:szCs w:val="24"/>
              </w:rPr>
              <w:t xml:space="preserve"> 24</w:t>
            </w:r>
          </w:p>
          <w:p w:rsidR="00FC16D3" w:rsidRPr="00FC16D3" w:rsidRDefault="00FC16D3" w:rsidP="00FC16D3">
            <w:pPr>
              <w:spacing w:after="0" w:line="240" w:lineRule="auto"/>
              <w:jc w:val="left"/>
              <w:rPr>
                <w:rFonts w:eastAsia="Times New Roman"/>
                <w:b/>
                <w:bCs/>
                <w:sz w:val="16"/>
                <w:szCs w:val="16"/>
              </w:rPr>
            </w:pPr>
          </w:p>
          <w:p w:rsidR="00FC16D3" w:rsidRPr="00FC16D3" w:rsidRDefault="00FC16D3" w:rsidP="00FC16D3">
            <w:pPr>
              <w:spacing w:after="0" w:line="240" w:lineRule="auto"/>
              <w:jc w:val="left"/>
              <w:rPr>
                <w:rFonts w:eastAsia="Times New Roman"/>
                <w:i/>
                <w:iCs/>
                <w:sz w:val="16"/>
                <w:szCs w:val="16"/>
              </w:rPr>
            </w:pPr>
            <w:r w:rsidRPr="00FC16D3">
              <w:rPr>
                <w:rFonts w:eastAsia="Times New Roman"/>
                <w:i/>
                <w:iCs/>
                <w:sz w:val="16"/>
                <w:szCs w:val="16"/>
              </w:rPr>
              <w:t>Rosa canina</w:t>
            </w:r>
          </w:p>
          <w:p w:rsidR="00FC16D3" w:rsidRPr="00FC16D3" w:rsidRDefault="00FC16D3" w:rsidP="00FC16D3">
            <w:pPr>
              <w:spacing w:after="0" w:line="240" w:lineRule="auto"/>
              <w:jc w:val="left"/>
              <w:rPr>
                <w:rFonts w:eastAsia="Times New Roman"/>
                <w:i/>
                <w:iCs/>
                <w:sz w:val="16"/>
                <w:szCs w:val="16"/>
              </w:rPr>
            </w:pPr>
            <w:r w:rsidRPr="00FC16D3">
              <w:rPr>
                <w:rFonts w:eastAsia="Times New Roman"/>
                <w:sz w:val="16"/>
                <w:szCs w:val="16"/>
              </w:rPr>
              <w:t>dog rose</w:t>
            </w:r>
            <w:r w:rsidRPr="00FC16D3">
              <w:rPr>
                <w:rFonts w:eastAsia="Times New Roman"/>
                <w:i/>
                <w:iCs/>
                <w:sz w:val="16"/>
                <w:szCs w:val="16"/>
              </w:rPr>
              <w:t xml:space="preserve"> </w:t>
            </w:r>
          </w:p>
          <w:p w:rsidR="00FC16D3" w:rsidRPr="00FC16D3" w:rsidRDefault="00FC16D3" w:rsidP="00FC16D3">
            <w:pPr>
              <w:spacing w:after="0" w:line="240" w:lineRule="auto"/>
              <w:jc w:val="left"/>
              <w:rPr>
                <w:rFonts w:eastAsia="Times New Roman"/>
                <w:i/>
                <w:iCs/>
                <w:sz w:val="16"/>
                <w:szCs w:val="16"/>
              </w:rPr>
            </w:pPr>
          </w:p>
          <w:p w:rsidR="00FC16D3" w:rsidRPr="00FC16D3" w:rsidRDefault="00FC16D3" w:rsidP="00FC16D3">
            <w:pPr>
              <w:spacing w:after="0" w:line="240" w:lineRule="auto"/>
              <w:jc w:val="left"/>
              <w:rPr>
                <w:rFonts w:eastAsia="Times New Roman"/>
                <w:b/>
                <w:bCs/>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Green Adelaide, Hills and Fleurieu, Northern and Yorke, Murraylands and Riverland, and Limestone Coast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1782"/>
        </w:trPr>
        <w:tc>
          <w:tcPr>
            <w:tcW w:w="2179" w:type="pct"/>
          </w:tcPr>
          <w:p w:rsidR="00FC16D3" w:rsidRPr="00FC16D3" w:rsidRDefault="00FC16D3" w:rsidP="00FC16D3">
            <w:pPr>
              <w:spacing w:before="120" w:after="0" w:line="240" w:lineRule="auto"/>
              <w:jc w:val="left"/>
              <w:rPr>
                <w:rFonts w:eastAsia="Times New Roman"/>
                <w:b/>
                <w:bCs/>
                <w:sz w:val="24"/>
                <w:szCs w:val="24"/>
              </w:rPr>
            </w:pPr>
            <w:r w:rsidRPr="00FC16D3">
              <w:rPr>
                <w:rFonts w:eastAsia="Times New Roman"/>
                <w:b/>
                <w:sz w:val="24"/>
                <w:szCs w:val="24"/>
                <w:lang w:val="en-US"/>
              </w:rPr>
              <w:t>CLASS</w:t>
            </w:r>
            <w:r w:rsidRPr="00FC16D3">
              <w:rPr>
                <w:rFonts w:eastAsia="Times New Roman"/>
                <w:b/>
                <w:bCs/>
                <w:sz w:val="24"/>
                <w:szCs w:val="24"/>
              </w:rPr>
              <w:t xml:space="preserve"> 25</w:t>
            </w:r>
          </w:p>
          <w:p w:rsidR="00FC16D3" w:rsidRPr="00FC16D3" w:rsidRDefault="00FC16D3" w:rsidP="00FC16D3">
            <w:pPr>
              <w:spacing w:after="0" w:line="240" w:lineRule="auto"/>
              <w:jc w:val="left"/>
              <w:rPr>
                <w:rFonts w:eastAsia="Times New Roman"/>
                <w:b/>
                <w:bCs/>
                <w:sz w:val="16"/>
                <w:szCs w:val="16"/>
              </w:rPr>
            </w:pPr>
          </w:p>
          <w:p w:rsidR="00FC16D3" w:rsidRPr="00FC16D3" w:rsidRDefault="00FC16D3" w:rsidP="00FC16D3">
            <w:pPr>
              <w:spacing w:after="0" w:line="240" w:lineRule="auto"/>
              <w:jc w:val="left"/>
              <w:rPr>
                <w:rFonts w:eastAsia="Times New Roman"/>
                <w:i/>
                <w:iCs/>
                <w:sz w:val="16"/>
                <w:szCs w:val="16"/>
              </w:rPr>
            </w:pPr>
            <w:r w:rsidRPr="00FC16D3">
              <w:rPr>
                <w:rFonts w:eastAsia="Times New Roman"/>
                <w:i/>
                <w:iCs/>
                <w:sz w:val="16"/>
                <w:szCs w:val="16"/>
              </w:rPr>
              <w:t xml:space="preserve">Rosa rubiginosa </w:t>
            </w:r>
          </w:p>
          <w:p w:rsidR="00FC16D3" w:rsidRPr="00FC16D3" w:rsidRDefault="00FC16D3" w:rsidP="00FC16D3">
            <w:pPr>
              <w:spacing w:after="0" w:line="240" w:lineRule="auto"/>
              <w:jc w:val="left"/>
              <w:rPr>
                <w:rFonts w:eastAsia="Times New Roman"/>
                <w:b/>
                <w:bCs/>
                <w:sz w:val="16"/>
                <w:szCs w:val="16"/>
              </w:rPr>
            </w:pPr>
            <w:r w:rsidRPr="00FC16D3">
              <w:rPr>
                <w:rFonts w:eastAsia="Times New Roman"/>
                <w:sz w:val="16"/>
                <w:szCs w:val="16"/>
              </w:rPr>
              <w:t>sweet briar</w:t>
            </w: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p w:rsidR="00FC16D3" w:rsidRPr="00FC16D3" w:rsidRDefault="00FC16D3" w:rsidP="00FC16D3">
            <w:pPr>
              <w:spacing w:after="0" w:line="240" w:lineRule="auto"/>
              <w:jc w:val="left"/>
              <w:rPr>
                <w:rFonts w:eastAsia="Times New Roman"/>
                <w:sz w:val="16"/>
                <w:szCs w:val="16"/>
              </w:rPr>
            </w:pP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Green Adelaide, Hills and Fleurieu, Murraylands and Riverland, and Limestone Coast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2205"/>
        </w:trPr>
        <w:tc>
          <w:tcPr>
            <w:tcW w:w="2179" w:type="pct"/>
          </w:tcPr>
          <w:p w:rsidR="00FC16D3" w:rsidRPr="00FC16D3" w:rsidRDefault="00FC16D3" w:rsidP="00FC16D3">
            <w:pPr>
              <w:spacing w:before="120" w:after="0" w:line="240" w:lineRule="auto"/>
              <w:jc w:val="left"/>
              <w:rPr>
                <w:rFonts w:eastAsia="Times New Roman"/>
                <w:b/>
                <w:bCs/>
                <w:sz w:val="24"/>
                <w:szCs w:val="24"/>
              </w:rPr>
            </w:pPr>
            <w:r w:rsidRPr="00FC16D3">
              <w:rPr>
                <w:rFonts w:eastAsia="Times New Roman"/>
                <w:b/>
                <w:sz w:val="24"/>
                <w:szCs w:val="24"/>
                <w:lang w:val="en-US"/>
              </w:rPr>
              <w:t>CLASS</w:t>
            </w:r>
            <w:r w:rsidRPr="00FC16D3">
              <w:rPr>
                <w:rFonts w:eastAsia="Times New Roman"/>
                <w:b/>
                <w:bCs/>
                <w:sz w:val="24"/>
                <w:szCs w:val="24"/>
              </w:rPr>
              <w:t xml:space="preserve"> 26</w:t>
            </w:r>
          </w:p>
          <w:p w:rsidR="00FC16D3" w:rsidRPr="00FC16D3" w:rsidRDefault="00FC16D3" w:rsidP="00FC16D3">
            <w:pPr>
              <w:spacing w:after="0" w:line="240" w:lineRule="auto"/>
              <w:jc w:val="left"/>
              <w:rPr>
                <w:rFonts w:eastAsia="Times New Roman"/>
                <w:b/>
                <w:bCs/>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i/>
                <w:iCs/>
                <w:sz w:val="16"/>
                <w:szCs w:val="16"/>
              </w:rPr>
              <w:t xml:space="preserve">Amsinckia </w:t>
            </w:r>
            <w:r w:rsidRPr="00FC16D3">
              <w:rPr>
                <w:rFonts w:eastAsia="Times New Roman"/>
                <w:sz w:val="16"/>
                <w:szCs w:val="16"/>
              </w:rPr>
              <w:t>spp.</w:t>
            </w:r>
          </w:p>
          <w:p w:rsidR="00FC16D3" w:rsidRPr="00FC16D3" w:rsidRDefault="00FC16D3" w:rsidP="00FC16D3">
            <w:pPr>
              <w:spacing w:after="0" w:line="240" w:lineRule="auto"/>
              <w:jc w:val="left"/>
              <w:rPr>
                <w:rFonts w:eastAsia="Times New Roman"/>
                <w:b/>
                <w:bCs/>
                <w:sz w:val="16"/>
                <w:szCs w:val="16"/>
              </w:rPr>
            </w:pPr>
            <w:r w:rsidRPr="00FC16D3">
              <w:rPr>
                <w:rFonts w:eastAsia="Times New Roman"/>
                <w:sz w:val="16"/>
                <w:szCs w:val="16"/>
              </w:rPr>
              <w:t>yellow burrweed</w:t>
            </w:r>
          </w:p>
          <w:p w:rsidR="00FC16D3" w:rsidRPr="00FC16D3" w:rsidRDefault="00FC16D3" w:rsidP="00FC16D3">
            <w:pPr>
              <w:spacing w:after="0" w:line="240" w:lineRule="auto"/>
              <w:jc w:val="left"/>
              <w:rPr>
                <w:rFonts w:eastAsia="Times New Roman"/>
                <w:b/>
                <w:bCs/>
                <w:sz w:val="16"/>
                <w:szCs w:val="16"/>
              </w:rPr>
            </w:pPr>
          </w:p>
          <w:p w:rsidR="00FC16D3" w:rsidRPr="00FC16D3" w:rsidRDefault="00FC16D3" w:rsidP="00FC16D3">
            <w:pPr>
              <w:spacing w:after="0" w:line="240" w:lineRule="auto"/>
              <w:jc w:val="left"/>
              <w:rPr>
                <w:rFonts w:eastAsia="Times New Roman"/>
                <w:i/>
                <w:iCs/>
                <w:sz w:val="16"/>
                <w:szCs w:val="16"/>
              </w:rPr>
            </w:pPr>
            <w:r w:rsidRPr="00FC16D3">
              <w:rPr>
                <w:rFonts w:eastAsia="Times New Roman"/>
                <w:i/>
                <w:iCs/>
                <w:sz w:val="16"/>
                <w:szCs w:val="16"/>
              </w:rPr>
              <w:t>Diplotaxis tenuifolia</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Lincoln weed</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w:t>
            </w:r>
            <w:r w:rsidRPr="00FC16D3">
              <w:rPr>
                <w:rFonts w:eastAsia="Times New Roman"/>
                <w:iCs/>
                <w:sz w:val="16"/>
                <w:szCs w:val="16"/>
              </w:rPr>
              <w:t>excluding plants grown as a commercial crop or in domestic vegetable gardens</w:t>
            </w:r>
            <w:r w:rsidRPr="00FC16D3">
              <w:rPr>
                <w:rFonts w:eastAsia="Times New Roman"/>
                <w:sz w:val="16"/>
                <w:szCs w:val="16"/>
              </w:rPr>
              <w:t>, and leaves or shoots harvested as a vegetable)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Genista linifolia</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flax-leaf broom</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iCs/>
                <w:sz w:val="16"/>
                <w:szCs w:val="16"/>
              </w:rPr>
            </w:pPr>
            <w:r w:rsidRPr="00FC16D3">
              <w:rPr>
                <w:rFonts w:eastAsia="Times New Roman"/>
                <w:i/>
                <w:iCs/>
                <w:sz w:val="16"/>
                <w:szCs w:val="16"/>
              </w:rPr>
              <w:t>Genista monspessulana</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Cape broom;  Montpellier broom</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b/>
                <w:bCs/>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p w:rsidR="00FC16D3" w:rsidRPr="00FC16D3" w:rsidRDefault="00FC16D3" w:rsidP="00FC16D3">
            <w:pPr>
              <w:spacing w:after="0" w:line="240" w:lineRule="auto"/>
              <w:jc w:val="left"/>
              <w:rPr>
                <w:rFonts w:eastAsia="Times New Roman"/>
                <w:sz w:val="16"/>
                <w:szCs w:val="16"/>
              </w:rPr>
            </w:pP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 xml:space="preserve">The areas of the Eyre Peninsula, Green Adelaide, Hills and Fleurieu, Kangaroo Island, Northern and Yorke, Murraylands and Riverland, and Limestone Coast Regions. </w:t>
            </w: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bCs/>
                <w:sz w:val="24"/>
                <w:szCs w:val="24"/>
              </w:rPr>
            </w:pPr>
            <w:r w:rsidRPr="00FC16D3">
              <w:rPr>
                <w:rFonts w:eastAsia="Times New Roman"/>
                <w:b/>
                <w:sz w:val="24"/>
                <w:szCs w:val="24"/>
                <w:lang w:val="en-US"/>
              </w:rPr>
              <w:t>CLASS</w:t>
            </w:r>
            <w:r w:rsidRPr="00FC16D3">
              <w:rPr>
                <w:rFonts w:eastAsia="Times New Roman"/>
                <w:b/>
                <w:bCs/>
                <w:sz w:val="24"/>
                <w:szCs w:val="24"/>
              </w:rPr>
              <w:t xml:space="preserve"> 27</w:t>
            </w:r>
          </w:p>
          <w:p w:rsidR="00FC16D3" w:rsidRPr="00FC16D3" w:rsidRDefault="00FC16D3" w:rsidP="00FC16D3">
            <w:pPr>
              <w:spacing w:after="0" w:line="240" w:lineRule="auto"/>
              <w:jc w:val="left"/>
              <w:rPr>
                <w:rFonts w:eastAsia="Times New Roman"/>
                <w:sz w:val="16"/>
                <w:szCs w:val="16"/>
                <w:u w:val="single"/>
              </w:rPr>
            </w:pPr>
          </w:p>
          <w:p w:rsidR="00FC16D3" w:rsidRPr="00FC16D3" w:rsidRDefault="00FC16D3" w:rsidP="00FC16D3">
            <w:pPr>
              <w:spacing w:after="0" w:line="240" w:lineRule="auto"/>
              <w:jc w:val="left"/>
              <w:rPr>
                <w:rFonts w:eastAsia="Times New Roman"/>
                <w:i/>
                <w:iCs/>
                <w:spacing w:val="-2"/>
                <w:sz w:val="16"/>
                <w:szCs w:val="16"/>
              </w:rPr>
            </w:pPr>
            <w:r w:rsidRPr="00FC16D3">
              <w:rPr>
                <w:rFonts w:eastAsia="Times New Roman"/>
                <w:i/>
                <w:iCs/>
                <w:spacing w:val="-2"/>
                <w:sz w:val="16"/>
                <w:szCs w:val="16"/>
              </w:rPr>
              <w:t xml:space="preserve">Olea europaea </w:t>
            </w:r>
          </w:p>
          <w:p w:rsidR="00FC16D3" w:rsidRPr="00FC16D3" w:rsidRDefault="00FC16D3" w:rsidP="00FC16D3">
            <w:pPr>
              <w:spacing w:after="0" w:line="240" w:lineRule="auto"/>
              <w:jc w:val="left"/>
              <w:rPr>
                <w:rFonts w:eastAsia="Times New Roman"/>
                <w:sz w:val="16"/>
                <w:szCs w:val="16"/>
              </w:rPr>
            </w:pPr>
            <w:r w:rsidRPr="00FC16D3">
              <w:rPr>
                <w:rFonts w:eastAsia="Times New Roman"/>
                <w:spacing w:val="-2"/>
                <w:sz w:val="16"/>
                <w:szCs w:val="16"/>
              </w:rPr>
              <w:t>olive (not planted, used and maintained for domestic, public amenity or commercial purposes)</w:t>
            </w:r>
          </w:p>
          <w:p w:rsidR="00FC16D3" w:rsidRPr="00FC16D3" w:rsidRDefault="00FC16D3" w:rsidP="00FC16D3">
            <w:pPr>
              <w:spacing w:after="0" w:line="240" w:lineRule="auto"/>
              <w:jc w:val="left"/>
              <w:rPr>
                <w:rFonts w:eastAsia="Times New Roman"/>
                <w:b/>
                <w:bCs/>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192(2)(3),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lang w:val="en-US"/>
              </w:rPr>
              <w:t>CLASS</w:t>
            </w:r>
            <w:r w:rsidRPr="00FC16D3">
              <w:rPr>
                <w:rFonts w:eastAsia="Times New Roman"/>
                <w:b/>
                <w:sz w:val="24"/>
                <w:szCs w:val="24"/>
              </w:rPr>
              <w:t xml:space="preserve"> 28</w:t>
            </w:r>
          </w:p>
          <w:p w:rsidR="00FC16D3" w:rsidRPr="00FC16D3" w:rsidRDefault="00FC16D3" w:rsidP="00FC16D3">
            <w:pPr>
              <w:spacing w:after="0" w:line="240" w:lineRule="auto"/>
              <w:jc w:val="left"/>
              <w:rPr>
                <w:rFonts w:eastAsia="Times New Roman"/>
                <w:b/>
                <w:sz w:val="16"/>
                <w:szCs w:val="16"/>
              </w:rPr>
            </w:pPr>
          </w:p>
          <w:p w:rsidR="00FC16D3" w:rsidRPr="00FC16D3" w:rsidRDefault="00FC16D3" w:rsidP="00FC16D3">
            <w:pPr>
              <w:spacing w:after="0" w:line="240" w:lineRule="auto"/>
              <w:jc w:val="left"/>
              <w:rPr>
                <w:rFonts w:eastAsia="Times New Roman"/>
                <w:i/>
                <w:spacing w:val="-2"/>
                <w:sz w:val="16"/>
                <w:szCs w:val="16"/>
              </w:rPr>
            </w:pPr>
            <w:r w:rsidRPr="00FC16D3">
              <w:rPr>
                <w:rFonts w:eastAsia="Times New Roman"/>
                <w:i/>
                <w:spacing w:val="-2"/>
                <w:sz w:val="16"/>
                <w:szCs w:val="16"/>
              </w:rPr>
              <w:t>Anredera cordifolia</w:t>
            </w:r>
          </w:p>
          <w:p w:rsidR="00FC16D3" w:rsidRPr="00FC16D3" w:rsidRDefault="00FC16D3" w:rsidP="00FC16D3">
            <w:pPr>
              <w:spacing w:after="0" w:line="240" w:lineRule="auto"/>
              <w:jc w:val="left"/>
              <w:rPr>
                <w:rFonts w:eastAsia="Times New Roman"/>
                <w:spacing w:val="-2"/>
                <w:sz w:val="16"/>
                <w:szCs w:val="16"/>
              </w:rPr>
            </w:pPr>
            <w:r w:rsidRPr="00FC16D3">
              <w:rPr>
                <w:rFonts w:eastAsia="Times New Roman"/>
                <w:spacing w:val="-2"/>
                <w:sz w:val="16"/>
                <w:szCs w:val="16"/>
              </w:rPr>
              <w:t>Madeira vine</w:t>
            </w:r>
          </w:p>
          <w:p w:rsidR="00FC16D3" w:rsidRPr="00FC16D3" w:rsidRDefault="00FC16D3" w:rsidP="00FC16D3">
            <w:pPr>
              <w:spacing w:after="0" w:line="240" w:lineRule="auto"/>
              <w:jc w:val="left"/>
              <w:rPr>
                <w:rFonts w:eastAsia="Times New Roman"/>
                <w:spacing w:val="-2"/>
                <w:sz w:val="16"/>
                <w:szCs w:val="16"/>
              </w:rPr>
            </w:pPr>
          </w:p>
          <w:p w:rsidR="00FC16D3" w:rsidRPr="00FC16D3" w:rsidRDefault="00FC16D3" w:rsidP="00FC16D3">
            <w:pPr>
              <w:spacing w:after="0" w:line="240" w:lineRule="auto"/>
              <w:jc w:val="left"/>
              <w:rPr>
                <w:rFonts w:eastAsia="Times New Roman"/>
                <w:i/>
                <w:spacing w:val="-2"/>
                <w:sz w:val="16"/>
                <w:szCs w:val="16"/>
              </w:rPr>
            </w:pPr>
            <w:r w:rsidRPr="00FC16D3">
              <w:rPr>
                <w:rFonts w:eastAsia="Times New Roman"/>
                <w:i/>
                <w:spacing w:val="-2"/>
                <w:sz w:val="16"/>
                <w:szCs w:val="16"/>
              </w:rPr>
              <w:t>Asparagus aethiopicus</w:t>
            </w:r>
          </w:p>
          <w:p w:rsidR="00FC16D3" w:rsidRPr="00FC16D3" w:rsidRDefault="00FC16D3" w:rsidP="00FC16D3">
            <w:pPr>
              <w:spacing w:after="0" w:line="240" w:lineRule="auto"/>
              <w:jc w:val="left"/>
              <w:rPr>
                <w:rFonts w:eastAsia="Times New Roman"/>
                <w:spacing w:val="-2"/>
                <w:sz w:val="16"/>
                <w:szCs w:val="16"/>
              </w:rPr>
            </w:pPr>
            <w:r w:rsidRPr="00FC16D3">
              <w:rPr>
                <w:rFonts w:eastAsia="Times New Roman"/>
                <w:spacing w:val="-2"/>
                <w:sz w:val="16"/>
                <w:szCs w:val="16"/>
              </w:rPr>
              <w:t>ground asparagus</w:t>
            </w:r>
          </w:p>
          <w:p w:rsidR="00FC16D3" w:rsidRPr="00FC16D3" w:rsidRDefault="00FC16D3" w:rsidP="00FC16D3">
            <w:pPr>
              <w:spacing w:after="0" w:line="240" w:lineRule="auto"/>
              <w:jc w:val="left"/>
              <w:rPr>
                <w:rFonts w:eastAsia="Times New Roman"/>
                <w:spacing w:val="-2"/>
                <w:sz w:val="16"/>
                <w:szCs w:val="16"/>
              </w:rPr>
            </w:pPr>
            <w:r w:rsidRPr="00FC16D3">
              <w:rPr>
                <w:rFonts w:eastAsia="Times New Roman"/>
                <w:spacing w:val="-2"/>
                <w:sz w:val="16"/>
                <w:szCs w:val="16"/>
              </w:rPr>
              <w:t>(excluding the cultivar 'Myersii')</w:t>
            </w:r>
          </w:p>
          <w:p w:rsidR="00FC16D3" w:rsidRPr="00FC16D3" w:rsidRDefault="00FC16D3" w:rsidP="00FC16D3">
            <w:pPr>
              <w:spacing w:after="0" w:line="240" w:lineRule="auto"/>
              <w:jc w:val="left"/>
              <w:rPr>
                <w:rFonts w:eastAsia="Times New Roman"/>
                <w:spacing w:val="-2"/>
                <w:sz w:val="16"/>
                <w:szCs w:val="16"/>
              </w:rPr>
            </w:pPr>
          </w:p>
          <w:p w:rsidR="00FC16D3" w:rsidRPr="00FC16D3" w:rsidRDefault="00FC16D3" w:rsidP="00FC16D3">
            <w:pPr>
              <w:spacing w:after="0" w:line="240" w:lineRule="auto"/>
              <w:jc w:val="left"/>
              <w:rPr>
                <w:rFonts w:eastAsia="Times New Roman"/>
                <w:i/>
                <w:spacing w:val="-2"/>
                <w:sz w:val="16"/>
                <w:szCs w:val="16"/>
              </w:rPr>
            </w:pPr>
            <w:r w:rsidRPr="00FC16D3">
              <w:rPr>
                <w:rFonts w:eastAsia="Times New Roman"/>
                <w:i/>
                <w:spacing w:val="-2"/>
                <w:sz w:val="16"/>
                <w:szCs w:val="16"/>
              </w:rPr>
              <w:t>Asparagus africanus</w:t>
            </w:r>
          </w:p>
          <w:p w:rsidR="00FC16D3" w:rsidRPr="00FC16D3" w:rsidRDefault="00FC16D3" w:rsidP="00FC16D3">
            <w:pPr>
              <w:spacing w:after="0" w:line="240" w:lineRule="auto"/>
              <w:jc w:val="left"/>
              <w:rPr>
                <w:rFonts w:eastAsia="Times New Roman"/>
                <w:spacing w:val="-2"/>
                <w:sz w:val="16"/>
                <w:szCs w:val="16"/>
              </w:rPr>
            </w:pPr>
            <w:r w:rsidRPr="00FC16D3">
              <w:rPr>
                <w:rFonts w:eastAsia="Times New Roman"/>
                <w:spacing w:val="-2"/>
                <w:sz w:val="16"/>
                <w:szCs w:val="16"/>
              </w:rPr>
              <w:t>ornamental asparagus</w:t>
            </w:r>
          </w:p>
          <w:p w:rsidR="00FC16D3" w:rsidRPr="00FC16D3" w:rsidRDefault="00FC16D3" w:rsidP="00FC16D3">
            <w:pPr>
              <w:spacing w:after="0" w:line="240" w:lineRule="auto"/>
              <w:jc w:val="left"/>
              <w:rPr>
                <w:rFonts w:eastAsia="Times New Roman"/>
                <w:spacing w:val="-2"/>
                <w:sz w:val="16"/>
                <w:szCs w:val="16"/>
              </w:rPr>
            </w:pPr>
          </w:p>
          <w:p w:rsidR="00FC16D3" w:rsidRPr="00FC16D3" w:rsidRDefault="00FC16D3" w:rsidP="00FC16D3">
            <w:pPr>
              <w:spacing w:after="0" w:line="240" w:lineRule="auto"/>
              <w:jc w:val="left"/>
              <w:rPr>
                <w:rFonts w:eastAsia="Times New Roman"/>
                <w:i/>
                <w:spacing w:val="-2"/>
                <w:sz w:val="16"/>
                <w:szCs w:val="16"/>
              </w:rPr>
            </w:pPr>
            <w:r w:rsidRPr="00FC16D3">
              <w:rPr>
                <w:rFonts w:eastAsia="Times New Roman"/>
                <w:i/>
                <w:spacing w:val="-2"/>
                <w:sz w:val="16"/>
                <w:szCs w:val="16"/>
              </w:rPr>
              <w:t>Asparagus plumosus</w:t>
            </w:r>
          </w:p>
          <w:p w:rsidR="00FC16D3" w:rsidRPr="00FC16D3" w:rsidRDefault="00FC16D3" w:rsidP="00FC16D3">
            <w:pPr>
              <w:spacing w:after="0" w:line="240" w:lineRule="auto"/>
              <w:jc w:val="left"/>
              <w:rPr>
                <w:rFonts w:eastAsia="Times New Roman"/>
                <w:spacing w:val="-2"/>
                <w:sz w:val="16"/>
                <w:szCs w:val="16"/>
              </w:rPr>
            </w:pPr>
            <w:r w:rsidRPr="00FC16D3">
              <w:rPr>
                <w:rFonts w:eastAsia="Times New Roman"/>
                <w:spacing w:val="-2"/>
                <w:sz w:val="16"/>
                <w:szCs w:val="16"/>
              </w:rPr>
              <w:t>climbing asparagus fern</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rPr>
                <w:rFonts w:eastAsia="Times New Roman"/>
                <w:spacing w:val="-2"/>
                <w:sz w:val="16"/>
                <w:szCs w:val="16"/>
              </w:rPr>
            </w:pPr>
            <w:r w:rsidRPr="00FC16D3">
              <w:rPr>
                <w:rFonts w:eastAsia="Times New Roman"/>
                <w:i/>
                <w:iCs/>
                <w:spacing w:val="-2"/>
                <w:sz w:val="16"/>
                <w:szCs w:val="16"/>
              </w:rPr>
              <w:t>Distichlis spicata</w:t>
            </w:r>
            <w:r w:rsidRPr="00FC16D3">
              <w:rPr>
                <w:rFonts w:eastAsia="Times New Roman"/>
                <w:spacing w:val="-2"/>
                <w:sz w:val="16"/>
                <w:szCs w:val="16"/>
              </w:rPr>
              <w:t xml:space="preserve"> ‘Nypa Reclamation’ and any cultivars of </w:t>
            </w:r>
            <w:r w:rsidRPr="00FC16D3">
              <w:rPr>
                <w:rFonts w:eastAsia="Times New Roman"/>
                <w:i/>
                <w:iCs/>
                <w:spacing w:val="-2"/>
                <w:sz w:val="16"/>
                <w:szCs w:val="16"/>
              </w:rPr>
              <w:t xml:space="preserve">Distichlis spicata </w:t>
            </w:r>
            <w:r w:rsidRPr="00FC16D3">
              <w:rPr>
                <w:rFonts w:eastAsia="Times New Roman"/>
                <w:spacing w:val="-2"/>
                <w:sz w:val="16"/>
                <w:szCs w:val="16"/>
              </w:rPr>
              <w:t>consisting of lines that include seedbearing individuals.</w:t>
            </w:r>
          </w:p>
          <w:p w:rsidR="00FC16D3" w:rsidRPr="00FC16D3" w:rsidRDefault="00FC16D3" w:rsidP="00FC16D3">
            <w:pPr>
              <w:spacing w:after="0" w:line="240" w:lineRule="auto"/>
              <w:jc w:val="left"/>
              <w:rPr>
                <w:rFonts w:eastAsia="Times New Roman"/>
                <w:spacing w:val="-2"/>
                <w:sz w:val="16"/>
                <w:szCs w:val="16"/>
              </w:rPr>
            </w:pPr>
            <w:r w:rsidRPr="00FC16D3">
              <w:rPr>
                <w:rFonts w:eastAsia="Times New Roman"/>
                <w:spacing w:val="-2"/>
                <w:sz w:val="16"/>
                <w:szCs w:val="16"/>
              </w:rPr>
              <w:t>distichlis</w:t>
            </w:r>
          </w:p>
          <w:p w:rsidR="00FC16D3" w:rsidRPr="00FC16D3" w:rsidRDefault="00FC16D3" w:rsidP="00FC16D3">
            <w:pPr>
              <w:spacing w:after="0" w:line="240" w:lineRule="auto"/>
              <w:jc w:val="left"/>
              <w:rPr>
                <w:rFonts w:eastAsia="Times New Roman"/>
                <w:spacing w:val="-2"/>
                <w:sz w:val="16"/>
                <w:szCs w:val="16"/>
              </w:rPr>
            </w:pP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rPr>
                <w:rFonts w:eastAsia="Times New Roman"/>
                <w:i/>
                <w:spacing w:val="-2"/>
                <w:sz w:val="16"/>
                <w:szCs w:val="16"/>
              </w:rPr>
            </w:pPr>
            <w:r w:rsidRPr="00FC16D3">
              <w:rPr>
                <w:rFonts w:eastAsia="Times New Roman"/>
                <w:i/>
                <w:spacing w:val="-2"/>
                <w:sz w:val="16"/>
                <w:szCs w:val="16"/>
              </w:rPr>
              <w:t>Dolichandra unguis-cati</w:t>
            </w: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rPr>
                <w:rFonts w:eastAsia="Times New Roman"/>
                <w:spacing w:val="-2"/>
                <w:sz w:val="16"/>
                <w:szCs w:val="16"/>
              </w:rPr>
            </w:pPr>
            <w:r w:rsidRPr="00FC16D3">
              <w:rPr>
                <w:rFonts w:eastAsia="Times New Roman"/>
                <w:spacing w:val="-2"/>
                <w:sz w:val="16"/>
                <w:szCs w:val="16"/>
              </w:rPr>
              <w:t>cats claw creeper</w:t>
            </w: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rPr>
                <w:rFonts w:eastAsia="Times New Roman"/>
                <w:spacing w:val="-2"/>
                <w:sz w:val="16"/>
                <w:szCs w:val="16"/>
              </w:rPr>
            </w:pP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rPr>
                <w:rFonts w:eastAsia="Times New Roman"/>
                <w:i/>
                <w:spacing w:val="-2"/>
                <w:sz w:val="16"/>
                <w:szCs w:val="16"/>
              </w:rPr>
            </w:pPr>
            <w:r w:rsidRPr="00FC16D3">
              <w:rPr>
                <w:rFonts w:eastAsia="Times New Roman"/>
                <w:i/>
                <w:spacing w:val="-2"/>
                <w:sz w:val="16"/>
                <w:szCs w:val="16"/>
              </w:rPr>
              <w:t>Hieracium aurantiacum</w:t>
            </w:r>
          </w:p>
          <w:p w:rsidR="00FC16D3" w:rsidRPr="00FC16D3" w:rsidRDefault="00FC16D3" w:rsidP="00FC16D3">
            <w:pPr>
              <w:spacing w:after="0" w:line="240" w:lineRule="auto"/>
              <w:jc w:val="left"/>
              <w:rPr>
                <w:rFonts w:eastAsia="Times New Roman"/>
                <w:sz w:val="16"/>
                <w:szCs w:val="16"/>
              </w:rPr>
            </w:pPr>
            <w:r w:rsidRPr="00FC16D3">
              <w:rPr>
                <w:rFonts w:eastAsia="Times New Roman"/>
                <w:spacing w:val="-2"/>
                <w:sz w:val="16"/>
                <w:szCs w:val="16"/>
              </w:rPr>
              <w:t>orange hawkweed</w:t>
            </w:r>
          </w:p>
          <w:p w:rsidR="00FC16D3" w:rsidRPr="00FC16D3" w:rsidRDefault="00FC16D3" w:rsidP="00FC16D3">
            <w:pPr>
              <w:spacing w:after="0" w:line="240" w:lineRule="auto"/>
              <w:jc w:val="left"/>
              <w:rPr>
                <w:rFonts w:eastAsia="Times New Roman"/>
                <w:b/>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29</w:t>
            </w:r>
          </w:p>
          <w:p w:rsidR="00FC16D3" w:rsidRPr="00FC16D3" w:rsidRDefault="00FC16D3" w:rsidP="00FC16D3">
            <w:pPr>
              <w:spacing w:after="0" w:line="240" w:lineRule="auto"/>
              <w:jc w:val="left"/>
              <w:rPr>
                <w:rFonts w:eastAsia="Times New Roman"/>
                <w:b/>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i/>
                <w:iCs/>
                <w:sz w:val="16"/>
                <w:szCs w:val="16"/>
              </w:rPr>
              <w:t>Austrocylindropuntia</w:t>
            </w:r>
            <w:r w:rsidRPr="00FC16D3">
              <w:rPr>
                <w:rFonts w:eastAsia="Times New Roman"/>
                <w:b/>
                <w:sz w:val="24"/>
                <w:szCs w:val="24"/>
              </w:rPr>
              <w:t xml:space="preserve"> </w:t>
            </w:r>
            <w:r w:rsidRPr="00FC16D3">
              <w:rPr>
                <w:rFonts w:eastAsia="Times New Roman"/>
                <w:sz w:val="16"/>
                <w:szCs w:val="16"/>
              </w:rPr>
              <w:t>spp.</w:t>
            </w:r>
          </w:p>
          <w:p w:rsidR="00FC16D3" w:rsidRPr="00FC16D3" w:rsidRDefault="00FC16D3" w:rsidP="00FC16D3">
            <w:pPr>
              <w:spacing w:after="0" w:line="240" w:lineRule="auto"/>
              <w:jc w:val="left"/>
              <w:rPr>
                <w:rFonts w:eastAsia="Times New Roman"/>
                <w:b/>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188(1)</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30</w:t>
            </w:r>
          </w:p>
          <w:p w:rsidR="00FC16D3" w:rsidRPr="00FC16D3" w:rsidRDefault="00FC16D3" w:rsidP="00FC16D3">
            <w:pPr>
              <w:spacing w:after="0" w:line="240" w:lineRule="auto"/>
              <w:jc w:val="left"/>
              <w:rPr>
                <w:rFonts w:eastAsia="Times New Roman"/>
                <w:bCs/>
                <w:sz w:val="16"/>
                <w:szCs w:val="16"/>
              </w:rPr>
            </w:pPr>
          </w:p>
          <w:p w:rsidR="00FC16D3" w:rsidRPr="00FC16D3" w:rsidRDefault="00FC16D3" w:rsidP="00FC16D3">
            <w:pPr>
              <w:spacing w:after="0" w:line="240" w:lineRule="auto"/>
              <w:jc w:val="left"/>
              <w:rPr>
                <w:rFonts w:eastAsia="Times New Roman"/>
                <w:bCs/>
                <w:i/>
                <w:iCs/>
                <w:sz w:val="16"/>
                <w:szCs w:val="16"/>
              </w:rPr>
            </w:pPr>
            <w:r w:rsidRPr="00FC16D3">
              <w:rPr>
                <w:rFonts w:eastAsia="Times New Roman"/>
                <w:bCs/>
                <w:i/>
                <w:iCs/>
                <w:sz w:val="16"/>
                <w:szCs w:val="16"/>
              </w:rPr>
              <w:t>Toxicodendron succedaneum</w:t>
            </w:r>
          </w:p>
          <w:p w:rsidR="00FC16D3" w:rsidRPr="00FC16D3" w:rsidRDefault="00FC16D3" w:rsidP="00FC16D3">
            <w:pPr>
              <w:spacing w:after="0" w:line="240" w:lineRule="auto"/>
              <w:jc w:val="left"/>
              <w:rPr>
                <w:rFonts w:eastAsia="Times New Roman"/>
                <w:bCs/>
                <w:i/>
                <w:iCs/>
                <w:sz w:val="16"/>
                <w:szCs w:val="16"/>
              </w:rPr>
            </w:pPr>
            <w:r w:rsidRPr="00FC16D3">
              <w:rPr>
                <w:rFonts w:eastAsia="Times New Roman"/>
                <w:bCs/>
                <w:sz w:val="16"/>
                <w:szCs w:val="16"/>
              </w:rPr>
              <w:t>rhus tree</w:t>
            </w:r>
          </w:p>
          <w:p w:rsidR="00FC16D3" w:rsidRPr="00FC16D3" w:rsidRDefault="00FC16D3" w:rsidP="00FC16D3">
            <w:pPr>
              <w:spacing w:after="0" w:line="240" w:lineRule="auto"/>
              <w:jc w:val="left"/>
              <w:rPr>
                <w:rFonts w:eastAsia="Times New Roman"/>
                <w:b/>
                <w:bCs/>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 192(1)</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31</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bCs/>
                <w:i/>
                <w:iCs/>
                <w:sz w:val="16"/>
                <w:szCs w:val="16"/>
              </w:rPr>
            </w:pPr>
            <w:r w:rsidRPr="00FC16D3">
              <w:rPr>
                <w:rFonts w:eastAsia="Times New Roman"/>
                <w:bCs/>
                <w:i/>
                <w:iCs/>
                <w:sz w:val="16"/>
                <w:szCs w:val="16"/>
              </w:rPr>
              <w:t>Toxicodendron radicans</w:t>
            </w:r>
          </w:p>
          <w:p w:rsidR="00FC16D3" w:rsidRPr="00FC16D3" w:rsidRDefault="00FC16D3" w:rsidP="00FC16D3">
            <w:pPr>
              <w:spacing w:after="0" w:line="240" w:lineRule="auto"/>
              <w:jc w:val="left"/>
              <w:rPr>
                <w:rFonts w:eastAsia="Times New Roman"/>
                <w:sz w:val="16"/>
                <w:szCs w:val="16"/>
              </w:rPr>
            </w:pPr>
            <w:r w:rsidRPr="00FC16D3">
              <w:rPr>
                <w:rFonts w:eastAsia="Times New Roman"/>
                <w:bCs/>
                <w:sz w:val="16"/>
                <w:szCs w:val="16"/>
              </w:rPr>
              <w:t>poison ivy</w:t>
            </w:r>
          </w:p>
          <w:p w:rsidR="00FC16D3" w:rsidRPr="00FC16D3" w:rsidRDefault="00FC16D3" w:rsidP="00FC16D3">
            <w:pPr>
              <w:spacing w:after="0" w:line="240" w:lineRule="auto"/>
              <w:jc w:val="left"/>
              <w:rPr>
                <w:rFonts w:eastAsia="Times New Roman"/>
                <w:b/>
                <w:bCs/>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 190(1)(2)(3), 192(1)</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32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Oenanthe pimpinelloides</w:t>
            </w:r>
          </w:p>
          <w:p w:rsidR="00FC16D3" w:rsidRPr="00FC16D3" w:rsidRDefault="00FC16D3" w:rsidP="00FC16D3">
            <w:pPr>
              <w:spacing w:after="0" w:line="240" w:lineRule="auto"/>
              <w:jc w:val="left"/>
              <w:rPr>
                <w:rFonts w:eastAsia="Times New Roman"/>
                <w:b/>
                <w:bCs/>
                <w:sz w:val="24"/>
                <w:szCs w:val="24"/>
              </w:rPr>
            </w:pPr>
            <w:r w:rsidRPr="00FC16D3">
              <w:rPr>
                <w:rFonts w:eastAsia="Times New Roman"/>
                <w:sz w:val="16"/>
                <w:szCs w:val="16"/>
              </w:rPr>
              <w:t>water-dropwort</w:t>
            </w: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 192(2), 194</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190(1)(2)(3)</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Green Adelaide, Hills and Fleurieu, Kangaroo Island, Northern and Yorke, Murraylands and Riverland, and Limestone Coast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33</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i/>
                <w:spacing w:val="-2"/>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Trachyandra divaricata</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dune onionweed</w:t>
            </w:r>
          </w:p>
          <w:p w:rsidR="00FC16D3" w:rsidRPr="00FC16D3" w:rsidRDefault="00FC16D3" w:rsidP="00FC16D3">
            <w:pPr>
              <w:spacing w:after="0" w:line="240" w:lineRule="auto"/>
              <w:jc w:val="left"/>
              <w:rPr>
                <w:rFonts w:eastAsia="Times New Roman"/>
                <w:b/>
                <w:sz w:val="24"/>
                <w:szCs w:val="24"/>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192(1),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 of the Green Adelaide and Hills and Fleurieu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i/>
                <w:spacing w:val="-2"/>
                <w:sz w:val="16"/>
                <w:szCs w:val="16"/>
              </w:rPr>
            </w:pPr>
            <w:r w:rsidRPr="00FC16D3">
              <w:rPr>
                <w:rFonts w:eastAsia="Times New Roman"/>
                <w:b/>
                <w:sz w:val="24"/>
                <w:szCs w:val="24"/>
              </w:rPr>
              <w:t>CLASS 34</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i/>
                <w:spacing w:val="-2"/>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 xml:space="preserve">Eragrostis curvula </w:t>
            </w:r>
            <w:r w:rsidRPr="00FC16D3">
              <w:rPr>
                <w:rFonts w:eastAsia="Times New Roman"/>
                <w:spacing w:val="-2"/>
                <w:sz w:val="16"/>
                <w:szCs w:val="16"/>
              </w:rPr>
              <w:t xml:space="preserve"> (excluding the cultivar ‘Consol’)</w:t>
            </w:r>
          </w:p>
          <w:p w:rsidR="00FC16D3" w:rsidRPr="00FC16D3" w:rsidRDefault="00FC16D3" w:rsidP="00FC16D3">
            <w:pPr>
              <w:spacing w:after="0" w:line="240" w:lineRule="auto"/>
              <w:jc w:val="left"/>
              <w:rPr>
                <w:rFonts w:eastAsia="Times New Roman"/>
                <w:spacing w:val="-2"/>
                <w:sz w:val="16"/>
                <w:szCs w:val="16"/>
              </w:rPr>
            </w:pPr>
            <w:r w:rsidRPr="00FC16D3">
              <w:rPr>
                <w:rFonts w:eastAsia="Times New Roman"/>
                <w:spacing w:val="-2"/>
                <w:sz w:val="16"/>
                <w:szCs w:val="16"/>
              </w:rPr>
              <w:t>African lovegrass</w:t>
            </w:r>
          </w:p>
          <w:p w:rsidR="00FC16D3" w:rsidRPr="00FC16D3" w:rsidRDefault="00FC16D3" w:rsidP="00FC16D3">
            <w:pPr>
              <w:spacing w:after="0" w:line="240" w:lineRule="auto"/>
              <w:jc w:val="left"/>
              <w:rPr>
                <w:rFonts w:eastAsia="Times New Roman"/>
                <w:b/>
                <w:sz w:val="16"/>
                <w:szCs w:val="16"/>
                <w:lang w:val="en-US"/>
              </w:rPr>
            </w:pPr>
          </w:p>
        </w:tc>
        <w:tc>
          <w:tcPr>
            <w:tcW w:w="1219"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 192(2), 194</w:t>
            </w:r>
          </w:p>
        </w:tc>
        <w:tc>
          <w:tcPr>
            <w:tcW w:w="578"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tc>
      </w:tr>
      <w:tr w:rsidR="00FC16D3" w:rsidRPr="00FC16D3" w:rsidTr="00805B8E">
        <w:tc>
          <w:tcPr>
            <w:tcW w:w="2179" w:type="pct"/>
            <w:vMerge w:val="restart"/>
          </w:tcPr>
          <w:p w:rsidR="00FC16D3" w:rsidRPr="00FC16D3" w:rsidRDefault="00FC16D3" w:rsidP="00FC16D3">
            <w:pPr>
              <w:spacing w:before="120" w:after="0" w:line="240" w:lineRule="auto"/>
              <w:jc w:val="left"/>
              <w:rPr>
                <w:rFonts w:eastAsia="Times New Roman"/>
                <w:b/>
                <w:bCs/>
                <w:sz w:val="24"/>
                <w:szCs w:val="24"/>
              </w:rPr>
            </w:pPr>
            <w:r w:rsidRPr="00FC16D3">
              <w:rPr>
                <w:rFonts w:eastAsia="Times New Roman"/>
                <w:b/>
                <w:sz w:val="24"/>
                <w:szCs w:val="24"/>
              </w:rPr>
              <w:t>CLASS</w:t>
            </w:r>
            <w:r w:rsidRPr="00FC16D3">
              <w:rPr>
                <w:rFonts w:eastAsia="Times New Roman"/>
                <w:b/>
                <w:bCs/>
                <w:sz w:val="24"/>
                <w:szCs w:val="24"/>
              </w:rPr>
              <w:t xml:space="preserve"> 35</w:t>
            </w:r>
          </w:p>
          <w:p w:rsidR="00FC16D3" w:rsidRPr="00FC16D3" w:rsidRDefault="00FC16D3" w:rsidP="00FC16D3">
            <w:pPr>
              <w:spacing w:after="0" w:line="240" w:lineRule="auto"/>
              <w:jc w:val="left"/>
              <w:rPr>
                <w:rFonts w:eastAsia="Times New Roman"/>
                <w:i/>
                <w:iCs/>
                <w:spacing w:val="-2"/>
                <w:sz w:val="16"/>
                <w:szCs w:val="16"/>
              </w:rPr>
            </w:pPr>
          </w:p>
          <w:p w:rsidR="00FC16D3" w:rsidRPr="00FC16D3" w:rsidRDefault="00FC16D3" w:rsidP="00FC16D3">
            <w:pPr>
              <w:spacing w:after="0" w:line="240" w:lineRule="auto"/>
              <w:jc w:val="left"/>
              <w:rPr>
                <w:rFonts w:eastAsia="Times New Roman"/>
                <w:i/>
                <w:iCs/>
                <w:spacing w:val="-2"/>
                <w:sz w:val="16"/>
                <w:szCs w:val="16"/>
              </w:rPr>
            </w:pPr>
            <w:r w:rsidRPr="00FC16D3">
              <w:rPr>
                <w:rFonts w:eastAsia="Times New Roman"/>
                <w:i/>
                <w:iCs/>
                <w:spacing w:val="-2"/>
                <w:sz w:val="16"/>
                <w:szCs w:val="16"/>
              </w:rPr>
              <w:t>Crataegus monogyna</w:t>
            </w: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ind w:left="7140" w:hanging="7140"/>
              <w:rPr>
                <w:rFonts w:eastAsia="Times New Roman"/>
                <w:spacing w:val="-2"/>
                <w:sz w:val="16"/>
                <w:szCs w:val="16"/>
              </w:rPr>
            </w:pPr>
            <w:r w:rsidRPr="00FC16D3">
              <w:rPr>
                <w:rFonts w:eastAsia="Times New Roman"/>
                <w:spacing w:val="-2"/>
                <w:sz w:val="16"/>
                <w:szCs w:val="16"/>
              </w:rPr>
              <w:t>may; hawthorn</w:t>
            </w: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ind w:left="7140" w:hanging="7140"/>
              <w:rPr>
                <w:rFonts w:eastAsia="Times New Roman"/>
                <w:spacing w:val="-2"/>
                <w:sz w:val="16"/>
                <w:szCs w:val="16"/>
              </w:rPr>
            </w:pP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ind w:left="7140" w:hanging="7140"/>
              <w:rPr>
                <w:rFonts w:eastAsia="Times New Roman"/>
                <w:b/>
                <w:bCs/>
                <w:sz w:val="16"/>
                <w:szCs w:val="16"/>
              </w:rPr>
            </w:pPr>
          </w:p>
        </w:tc>
        <w:tc>
          <w:tcPr>
            <w:tcW w:w="1219" w:type="pct"/>
            <w:tcBorders>
              <w:bottom w:val="nil"/>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tc>
        <w:tc>
          <w:tcPr>
            <w:tcW w:w="578" w:type="pct"/>
            <w:tcBorders>
              <w:bottom w:val="nil"/>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Borders>
              <w:bottom w:val="nil"/>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vMerge/>
          </w:tcPr>
          <w:p w:rsidR="00FC16D3" w:rsidRPr="00FC16D3" w:rsidRDefault="00FC16D3" w:rsidP="00FC16D3">
            <w:pPr>
              <w:spacing w:after="0" w:line="240" w:lineRule="auto"/>
              <w:jc w:val="left"/>
              <w:rPr>
                <w:rFonts w:eastAsia="Times New Roman"/>
                <w:sz w:val="16"/>
                <w:szCs w:val="16"/>
              </w:rPr>
            </w:pPr>
          </w:p>
        </w:tc>
        <w:tc>
          <w:tcPr>
            <w:tcW w:w="1219" w:type="pct"/>
            <w:tcBorders>
              <w:top w:val="nil"/>
            </w:tcBorders>
          </w:tcPr>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tc>
        <w:tc>
          <w:tcPr>
            <w:tcW w:w="578" w:type="pct"/>
            <w:tcBorders>
              <w:top w:val="nil"/>
            </w:tcBorders>
          </w:tcPr>
          <w:p w:rsidR="00FC16D3" w:rsidRPr="00FC16D3" w:rsidRDefault="00FC16D3" w:rsidP="00FC16D3">
            <w:pPr>
              <w:spacing w:after="0" w:line="240" w:lineRule="auto"/>
              <w:jc w:val="left"/>
              <w:rPr>
                <w:rFonts w:eastAsia="Times New Roman"/>
                <w:sz w:val="16"/>
                <w:szCs w:val="16"/>
              </w:rPr>
            </w:pPr>
          </w:p>
        </w:tc>
        <w:tc>
          <w:tcPr>
            <w:tcW w:w="1024" w:type="pct"/>
            <w:tcBorders>
              <w:top w:val="nil"/>
            </w:tcBorders>
          </w:tcPr>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Green Adelaide, Hills and Fleurieu and Kangaroo Island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1520"/>
        </w:trPr>
        <w:tc>
          <w:tcPr>
            <w:tcW w:w="2179" w:type="pct"/>
          </w:tcPr>
          <w:p w:rsidR="00FC16D3" w:rsidRPr="00FC16D3" w:rsidRDefault="00FC16D3" w:rsidP="00FC16D3">
            <w:pPr>
              <w:spacing w:before="120" w:after="0" w:line="240" w:lineRule="auto"/>
              <w:jc w:val="left"/>
              <w:rPr>
                <w:rFonts w:eastAsia="Times New Roman"/>
                <w:b/>
                <w:bCs/>
                <w:sz w:val="24"/>
                <w:szCs w:val="24"/>
              </w:rPr>
            </w:pPr>
            <w:r w:rsidRPr="00FC16D3">
              <w:rPr>
                <w:rFonts w:eastAsia="Times New Roman"/>
                <w:b/>
                <w:sz w:val="24"/>
                <w:szCs w:val="24"/>
              </w:rPr>
              <w:t>CLASS</w:t>
            </w:r>
            <w:r w:rsidRPr="00FC16D3">
              <w:rPr>
                <w:rFonts w:eastAsia="Times New Roman"/>
                <w:b/>
                <w:bCs/>
                <w:sz w:val="24"/>
                <w:szCs w:val="24"/>
              </w:rPr>
              <w:t xml:space="preserve"> 36</w:t>
            </w:r>
          </w:p>
          <w:p w:rsidR="00FC16D3" w:rsidRPr="00FC16D3" w:rsidRDefault="00FC16D3" w:rsidP="00FC16D3">
            <w:pPr>
              <w:spacing w:after="0" w:line="240" w:lineRule="auto"/>
              <w:jc w:val="left"/>
              <w:rPr>
                <w:rFonts w:eastAsia="Times New Roman"/>
                <w:b/>
                <w:bCs/>
                <w:sz w:val="16"/>
                <w:szCs w:val="16"/>
              </w:rPr>
            </w:pP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ind w:left="7140" w:hanging="7140"/>
              <w:rPr>
                <w:rFonts w:eastAsia="Times New Roman"/>
                <w:i/>
                <w:iCs/>
                <w:spacing w:val="-2"/>
                <w:sz w:val="16"/>
                <w:szCs w:val="16"/>
              </w:rPr>
            </w:pPr>
            <w:r w:rsidRPr="00FC16D3">
              <w:rPr>
                <w:rFonts w:eastAsia="Times New Roman"/>
                <w:i/>
                <w:iCs/>
                <w:spacing w:val="-2"/>
                <w:sz w:val="16"/>
                <w:szCs w:val="16"/>
              </w:rPr>
              <w:t>Crataegus sinaica</w:t>
            </w:r>
          </w:p>
          <w:p w:rsidR="00FC16D3" w:rsidRPr="00FC16D3" w:rsidRDefault="00FC16D3" w:rsidP="00FC16D3">
            <w:pPr>
              <w:spacing w:after="0" w:line="240" w:lineRule="auto"/>
              <w:jc w:val="left"/>
              <w:rPr>
                <w:rFonts w:eastAsia="Times New Roman"/>
                <w:sz w:val="16"/>
                <w:szCs w:val="16"/>
              </w:rPr>
            </w:pPr>
            <w:r w:rsidRPr="00FC16D3">
              <w:rPr>
                <w:rFonts w:eastAsia="Times New Roman"/>
                <w:spacing w:val="-2"/>
                <w:sz w:val="16"/>
                <w:szCs w:val="16"/>
              </w:rPr>
              <w:t>azarola</w:t>
            </w: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r w:rsidRPr="00FC16D3">
              <w:rPr>
                <w:rFonts w:eastAsia="Times New Roman"/>
                <w:sz w:val="16"/>
                <w:szCs w:val="16"/>
              </w:rPr>
              <w:t>The areas of the Green Adelaide, Hills and Fleurieu and Limestone Coast Regions.</w:t>
            </w:r>
          </w:p>
        </w:tc>
      </w:tr>
      <w:tr w:rsidR="00FC16D3" w:rsidRPr="00FC16D3" w:rsidTr="00805B8E">
        <w:trPr>
          <w:trHeight w:val="1520"/>
        </w:trPr>
        <w:tc>
          <w:tcPr>
            <w:tcW w:w="2179" w:type="pct"/>
          </w:tcPr>
          <w:p w:rsidR="00FC16D3" w:rsidRPr="00FC16D3" w:rsidRDefault="00FC16D3" w:rsidP="00FC16D3">
            <w:pPr>
              <w:spacing w:before="120" w:after="0" w:line="240" w:lineRule="auto"/>
              <w:jc w:val="left"/>
              <w:rPr>
                <w:rFonts w:eastAsia="Times New Roman"/>
                <w:b/>
                <w:bCs/>
                <w:sz w:val="24"/>
                <w:szCs w:val="24"/>
              </w:rPr>
            </w:pPr>
            <w:r w:rsidRPr="00FC16D3">
              <w:rPr>
                <w:rFonts w:eastAsia="Times New Roman"/>
                <w:b/>
                <w:sz w:val="24"/>
                <w:szCs w:val="24"/>
              </w:rPr>
              <w:t>CLASS</w:t>
            </w:r>
            <w:r w:rsidRPr="00FC16D3">
              <w:rPr>
                <w:rFonts w:eastAsia="Times New Roman"/>
                <w:b/>
                <w:bCs/>
                <w:sz w:val="24"/>
                <w:szCs w:val="24"/>
              </w:rPr>
              <w:t xml:space="preserve"> 37</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i/>
                <w:sz w:val="16"/>
                <w:szCs w:val="16"/>
              </w:rPr>
              <w:t>Casuarina glauca</w:t>
            </w:r>
            <w:r w:rsidRPr="00FC16D3">
              <w:rPr>
                <w:rFonts w:eastAsia="Times New Roman"/>
                <w:sz w:val="16"/>
                <w:szCs w:val="16"/>
              </w:rPr>
              <w:t xml:space="preserve"> and </w:t>
            </w:r>
            <w:r w:rsidRPr="00FC16D3">
              <w:rPr>
                <w:rFonts w:eastAsia="Times New Roman"/>
                <w:i/>
                <w:sz w:val="16"/>
                <w:szCs w:val="16"/>
              </w:rPr>
              <w:t>Casuarina obesa</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swamp oak</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excluding the cultivars:</w:t>
            </w:r>
          </w:p>
          <w:p w:rsidR="00FC16D3" w:rsidRPr="00FC16D3" w:rsidRDefault="00FC16D3" w:rsidP="00FC16D3">
            <w:pPr>
              <w:spacing w:after="0" w:line="240" w:lineRule="auto"/>
              <w:ind w:left="720"/>
              <w:jc w:val="left"/>
              <w:rPr>
                <w:rFonts w:eastAsia="Times New Roman"/>
                <w:sz w:val="16"/>
                <w:szCs w:val="16"/>
              </w:rPr>
            </w:pPr>
            <w:r w:rsidRPr="00FC16D3">
              <w:rPr>
                <w:rFonts w:eastAsia="Times New Roman"/>
                <w:sz w:val="16"/>
                <w:szCs w:val="16"/>
              </w:rPr>
              <w:t>‘CAS01’ (marketed as Free Fall</w:t>
            </w:r>
            <w:r w:rsidRPr="00FC16D3">
              <w:rPr>
                <w:rFonts w:eastAsia="Times New Roman"/>
                <w:sz w:val="16"/>
                <w:szCs w:val="16"/>
                <w:vertAlign w:val="superscript"/>
              </w:rPr>
              <w:t>TM</w:t>
            </w:r>
            <w:r w:rsidRPr="00FC16D3">
              <w:rPr>
                <w:rFonts w:eastAsia="Times New Roman"/>
                <w:sz w:val="16"/>
                <w:szCs w:val="16"/>
              </w:rPr>
              <w:t>)</w:t>
            </w:r>
          </w:p>
          <w:p w:rsidR="00FC16D3" w:rsidRPr="00FC16D3" w:rsidRDefault="00FC16D3" w:rsidP="00FC16D3">
            <w:pPr>
              <w:spacing w:after="0" w:line="240" w:lineRule="auto"/>
              <w:ind w:left="720"/>
              <w:jc w:val="left"/>
              <w:rPr>
                <w:rFonts w:eastAsia="Times New Roman"/>
                <w:b/>
                <w:bCs/>
                <w:sz w:val="24"/>
                <w:szCs w:val="24"/>
              </w:rPr>
            </w:pPr>
            <w:r w:rsidRPr="00FC16D3">
              <w:rPr>
                <w:rFonts w:eastAsia="Times New Roman"/>
                <w:sz w:val="16"/>
                <w:szCs w:val="16"/>
              </w:rPr>
              <w:t>‘Cousin It’</w:t>
            </w: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r w:rsidRPr="00FC16D3">
              <w:rPr>
                <w:rFonts w:eastAsia="Times New Roman"/>
                <w:sz w:val="16"/>
                <w:szCs w:val="16"/>
              </w:rPr>
              <w:t>The area of the Green Adelaide and Hills and Fleurieu Regions.</w:t>
            </w:r>
          </w:p>
        </w:tc>
      </w:tr>
      <w:tr w:rsidR="00FC16D3" w:rsidRPr="00FC16D3" w:rsidTr="00805B8E">
        <w:trPr>
          <w:trHeight w:val="464"/>
        </w:trPr>
        <w:tc>
          <w:tcPr>
            <w:tcW w:w="2179" w:type="pct"/>
          </w:tcPr>
          <w:p w:rsidR="00FC16D3" w:rsidRPr="00FC16D3" w:rsidRDefault="00FC16D3" w:rsidP="00FC16D3">
            <w:pPr>
              <w:spacing w:before="120" w:after="0" w:line="240" w:lineRule="auto"/>
              <w:jc w:val="left"/>
              <w:rPr>
                <w:rFonts w:eastAsia="Times New Roman"/>
                <w:b/>
                <w:bCs/>
                <w:sz w:val="24"/>
                <w:szCs w:val="24"/>
              </w:rPr>
            </w:pPr>
            <w:r w:rsidRPr="00FC16D3">
              <w:rPr>
                <w:rFonts w:eastAsia="Times New Roman"/>
                <w:b/>
                <w:sz w:val="24"/>
                <w:szCs w:val="24"/>
              </w:rPr>
              <w:t>CLASS</w:t>
            </w:r>
            <w:r w:rsidRPr="00FC16D3">
              <w:rPr>
                <w:rFonts w:eastAsia="Times New Roman"/>
                <w:b/>
                <w:bCs/>
                <w:sz w:val="24"/>
                <w:szCs w:val="24"/>
              </w:rPr>
              <w:t xml:space="preserve"> 38</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iCs/>
                <w:sz w:val="16"/>
                <w:szCs w:val="16"/>
              </w:rPr>
            </w:pPr>
            <w:r w:rsidRPr="00FC16D3">
              <w:rPr>
                <w:rFonts w:eastAsia="Times New Roman"/>
                <w:i/>
                <w:iCs/>
                <w:sz w:val="16"/>
                <w:szCs w:val="16"/>
              </w:rPr>
              <w:t>Marrubium vulgare</w:t>
            </w:r>
          </w:p>
          <w:p w:rsidR="00FC16D3" w:rsidRPr="00FC16D3" w:rsidRDefault="00FC16D3" w:rsidP="00FC16D3">
            <w:pPr>
              <w:spacing w:after="0" w:line="240" w:lineRule="auto"/>
              <w:jc w:val="left"/>
              <w:rPr>
                <w:rFonts w:eastAsia="Times New Roman"/>
                <w:b/>
                <w:bCs/>
                <w:sz w:val="16"/>
                <w:szCs w:val="16"/>
              </w:rPr>
            </w:pPr>
            <w:r w:rsidRPr="00FC16D3">
              <w:rPr>
                <w:rFonts w:eastAsia="Times New Roman"/>
                <w:sz w:val="16"/>
                <w:szCs w:val="16"/>
              </w:rPr>
              <w:t>horehound</w:t>
            </w: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r w:rsidRPr="00FC16D3">
              <w:rPr>
                <w:rFonts w:eastAsia="Times New Roman"/>
                <w:sz w:val="16"/>
                <w:szCs w:val="16"/>
              </w:rPr>
              <w:t xml:space="preserve">The areas of the Alinytjara Wilurara, Eyre Peninsula, Kangaroo Island, Northern and Yorke, Murraylands and Riverland, and Limestone Coast Regions.  </w:t>
            </w:r>
          </w:p>
        </w:tc>
      </w:tr>
      <w:tr w:rsidR="00FC16D3" w:rsidRPr="00FC16D3" w:rsidTr="00805B8E">
        <w:trPr>
          <w:trHeight w:val="1520"/>
        </w:trPr>
        <w:tc>
          <w:tcPr>
            <w:tcW w:w="2179" w:type="pct"/>
          </w:tcPr>
          <w:p w:rsidR="00FC16D3" w:rsidRPr="00FC16D3" w:rsidRDefault="00FC16D3" w:rsidP="00FC16D3">
            <w:pPr>
              <w:spacing w:before="120" w:after="0" w:line="240" w:lineRule="auto"/>
              <w:jc w:val="left"/>
              <w:rPr>
                <w:rFonts w:eastAsia="Times New Roman"/>
                <w:b/>
                <w:sz w:val="24"/>
                <w:szCs w:val="24"/>
                <w:lang w:val="en-US"/>
              </w:rPr>
            </w:pPr>
            <w:r w:rsidRPr="00FC16D3">
              <w:rPr>
                <w:rFonts w:eastAsia="Times New Roman"/>
                <w:b/>
                <w:sz w:val="24"/>
                <w:szCs w:val="24"/>
              </w:rPr>
              <w:t>CLASS</w:t>
            </w:r>
            <w:r w:rsidRPr="00FC16D3">
              <w:rPr>
                <w:rFonts w:eastAsia="Times New Roman"/>
                <w:b/>
                <w:sz w:val="24"/>
                <w:szCs w:val="24"/>
                <w:lang w:val="en-US"/>
              </w:rPr>
              <w:t xml:space="preserve"> 39</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i/>
                <w:spacing w:val="-2"/>
                <w:sz w:val="16"/>
                <w:szCs w:val="16"/>
              </w:rPr>
            </w:pP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r w:rsidRPr="00FC16D3">
              <w:rPr>
                <w:rFonts w:eastAsia="Times New Roman"/>
                <w:i/>
                <w:spacing w:val="-2"/>
                <w:sz w:val="16"/>
                <w:szCs w:val="16"/>
              </w:rPr>
              <w:t>Emex australis</w:t>
            </w:r>
          </w:p>
          <w:p w:rsidR="00FC16D3" w:rsidRPr="00FC16D3" w:rsidRDefault="00FC16D3" w:rsidP="00FC16D3">
            <w:pPr>
              <w:spacing w:after="0" w:line="240" w:lineRule="auto"/>
              <w:jc w:val="left"/>
              <w:rPr>
                <w:rFonts w:eastAsia="Times New Roman"/>
                <w:b/>
                <w:sz w:val="16"/>
                <w:szCs w:val="16"/>
                <w:lang w:val="en-US"/>
              </w:rPr>
            </w:pPr>
            <w:r w:rsidRPr="00FC16D3">
              <w:rPr>
                <w:rFonts w:eastAsia="Times New Roman"/>
                <w:spacing w:val="-2"/>
                <w:sz w:val="16"/>
                <w:szCs w:val="16"/>
              </w:rPr>
              <w:t>three-corner jack</w:t>
            </w:r>
          </w:p>
          <w:p w:rsidR="00FC16D3" w:rsidRPr="00FC16D3" w:rsidRDefault="00FC16D3" w:rsidP="00FC16D3">
            <w:pPr>
              <w:spacing w:after="0" w:line="240" w:lineRule="auto"/>
              <w:jc w:val="left"/>
              <w:rPr>
                <w:rFonts w:eastAsia="Times New Roman"/>
                <w:b/>
                <w:sz w:val="24"/>
                <w:szCs w:val="24"/>
                <w:lang w:val="en-US"/>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Alinytjara Wilurara, Eyre Peninsula, Kangaroo Island, Murraylands and Riverland, and Limestone Coast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1173"/>
        </w:trPr>
        <w:tc>
          <w:tcPr>
            <w:tcW w:w="2179" w:type="pct"/>
          </w:tcPr>
          <w:p w:rsidR="00FC16D3" w:rsidRPr="00FC16D3" w:rsidRDefault="00FC16D3" w:rsidP="00FC16D3">
            <w:pPr>
              <w:spacing w:before="120" w:after="0" w:line="240" w:lineRule="auto"/>
              <w:jc w:val="left"/>
              <w:rPr>
                <w:rFonts w:eastAsia="Times New Roman"/>
                <w:b/>
                <w:bCs/>
                <w:sz w:val="24"/>
                <w:szCs w:val="24"/>
              </w:rPr>
            </w:pPr>
            <w:r w:rsidRPr="00FC16D3">
              <w:rPr>
                <w:rFonts w:eastAsia="Times New Roman"/>
                <w:b/>
                <w:sz w:val="24"/>
                <w:szCs w:val="24"/>
              </w:rPr>
              <w:t>CLASS</w:t>
            </w:r>
            <w:r w:rsidRPr="00FC16D3">
              <w:rPr>
                <w:rFonts w:eastAsia="Times New Roman"/>
                <w:b/>
                <w:bCs/>
                <w:sz w:val="24"/>
                <w:szCs w:val="24"/>
              </w:rPr>
              <w:t xml:space="preserve"> 40</w:t>
            </w:r>
          </w:p>
          <w:p w:rsidR="00FC16D3" w:rsidRPr="00FC16D3" w:rsidRDefault="00FC16D3" w:rsidP="00FC16D3">
            <w:pPr>
              <w:spacing w:after="0" w:line="240" w:lineRule="auto"/>
              <w:jc w:val="left"/>
              <w:rPr>
                <w:rFonts w:eastAsia="Times New Roman"/>
                <w:b/>
                <w:bCs/>
                <w:sz w:val="16"/>
                <w:szCs w:val="16"/>
              </w:rPr>
            </w:pPr>
          </w:p>
          <w:p w:rsidR="00FC16D3" w:rsidRPr="00FC16D3" w:rsidRDefault="00FC16D3" w:rsidP="00FC16D3">
            <w:pPr>
              <w:spacing w:after="0" w:line="240" w:lineRule="auto"/>
              <w:jc w:val="left"/>
              <w:rPr>
                <w:rFonts w:eastAsia="Times New Roman"/>
                <w:i/>
                <w:iCs/>
                <w:sz w:val="16"/>
                <w:szCs w:val="16"/>
              </w:rPr>
            </w:pPr>
            <w:r w:rsidRPr="00FC16D3">
              <w:rPr>
                <w:rFonts w:eastAsia="Times New Roman"/>
                <w:i/>
                <w:iCs/>
                <w:sz w:val="16"/>
                <w:szCs w:val="16"/>
              </w:rPr>
              <w:t xml:space="preserve">Echium plantagineum </w:t>
            </w:r>
          </w:p>
          <w:p w:rsidR="00FC16D3" w:rsidRPr="00FC16D3" w:rsidRDefault="00FC16D3" w:rsidP="00FC16D3">
            <w:pPr>
              <w:spacing w:after="0" w:line="240" w:lineRule="auto"/>
              <w:jc w:val="left"/>
              <w:rPr>
                <w:rFonts w:eastAsia="Times New Roman"/>
                <w:b/>
                <w:bCs/>
                <w:sz w:val="16"/>
                <w:szCs w:val="16"/>
              </w:rPr>
            </w:pPr>
            <w:r w:rsidRPr="00FC16D3">
              <w:rPr>
                <w:rFonts w:eastAsia="Times New Roman"/>
                <w:sz w:val="16"/>
                <w:szCs w:val="16"/>
              </w:rPr>
              <w:t>salvation Jane</w:t>
            </w: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190(1)</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 xml:space="preserve">The area of the Kangaroo Island </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 xml:space="preserve"> Region.</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 xml:space="preserve">The areas of the Alinytjara Wilurara, Green Adelaide, Hills and Fleurieu, Kangaroo Island, Murraylands and </w:t>
            </w:r>
            <w:r w:rsidR="00805B8E">
              <w:rPr>
                <w:rFonts w:eastAsia="Times New Roman"/>
                <w:sz w:val="16"/>
                <w:szCs w:val="16"/>
              </w:rPr>
              <w:t xml:space="preserve">Riverland, and Limestone Coast </w:t>
            </w:r>
            <w:r w:rsidRPr="00FC16D3">
              <w:rPr>
                <w:rFonts w:eastAsia="Times New Roman"/>
                <w:sz w:val="16"/>
                <w:szCs w:val="16"/>
              </w:rPr>
              <w:t>Regions.</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Green Adelaide, Hills and Fleurieu, Kangaroo Island, Murraylands and Riverland, and Limestone Coast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1520"/>
        </w:trPr>
        <w:tc>
          <w:tcPr>
            <w:tcW w:w="2179" w:type="pct"/>
          </w:tcPr>
          <w:p w:rsidR="00FC16D3" w:rsidRPr="00FC16D3" w:rsidRDefault="00FC16D3" w:rsidP="00FC16D3">
            <w:pPr>
              <w:spacing w:before="120" w:after="0" w:line="240" w:lineRule="auto"/>
              <w:jc w:val="left"/>
              <w:rPr>
                <w:rFonts w:eastAsia="Times New Roman"/>
                <w:b/>
                <w:bCs/>
                <w:sz w:val="24"/>
                <w:szCs w:val="24"/>
              </w:rPr>
            </w:pPr>
            <w:r w:rsidRPr="00FC16D3">
              <w:rPr>
                <w:rFonts w:eastAsia="Times New Roman"/>
                <w:b/>
                <w:sz w:val="24"/>
                <w:szCs w:val="24"/>
              </w:rPr>
              <w:t>CLASS</w:t>
            </w:r>
            <w:r w:rsidRPr="00FC16D3">
              <w:rPr>
                <w:rFonts w:eastAsia="Times New Roman"/>
                <w:b/>
                <w:bCs/>
                <w:sz w:val="24"/>
                <w:szCs w:val="24"/>
              </w:rPr>
              <w:t xml:space="preserve"> 41</w:t>
            </w:r>
          </w:p>
          <w:p w:rsidR="00FC16D3" w:rsidRPr="00FC16D3" w:rsidRDefault="00FC16D3" w:rsidP="00FC16D3">
            <w:pPr>
              <w:spacing w:after="0" w:line="240" w:lineRule="auto"/>
              <w:jc w:val="left"/>
              <w:rPr>
                <w:rFonts w:eastAsia="Times New Roman"/>
                <w:b/>
                <w:bCs/>
                <w:sz w:val="16"/>
                <w:szCs w:val="16"/>
              </w:rPr>
            </w:pPr>
          </w:p>
          <w:p w:rsidR="00FC16D3" w:rsidRPr="00FC16D3" w:rsidRDefault="00FC16D3" w:rsidP="00FC16D3">
            <w:pPr>
              <w:spacing w:after="0" w:line="240" w:lineRule="auto"/>
              <w:jc w:val="left"/>
              <w:rPr>
                <w:rFonts w:eastAsia="Times New Roman"/>
                <w:i/>
                <w:iCs/>
                <w:sz w:val="16"/>
                <w:szCs w:val="16"/>
              </w:rPr>
            </w:pPr>
            <w:r w:rsidRPr="00FC16D3">
              <w:rPr>
                <w:rFonts w:eastAsia="Times New Roman"/>
                <w:i/>
                <w:iCs/>
                <w:sz w:val="16"/>
                <w:szCs w:val="16"/>
              </w:rPr>
              <w:t xml:space="preserve">Cynara cardunculus </w:t>
            </w:r>
          </w:p>
          <w:p w:rsidR="00FC16D3" w:rsidRPr="00FC16D3" w:rsidRDefault="00FC16D3" w:rsidP="00FC16D3">
            <w:pPr>
              <w:spacing w:after="0" w:line="240" w:lineRule="auto"/>
              <w:jc w:val="left"/>
              <w:rPr>
                <w:rFonts w:eastAsia="Times New Roman"/>
                <w:iCs/>
                <w:sz w:val="16"/>
                <w:szCs w:val="16"/>
              </w:rPr>
            </w:pPr>
            <w:r w:rsidRPr="00FC16D3">
              <w:rPr>
                <w:rFonts w:eastAsia="Times New Roman"/>
                <w:iCs/>
                <w:sz w:val="16"/>
                <w:szCs w:val="16"/>
              </w:rPr>
              <w:t>wild artichoke</w:t>
            </w:r>
          </w:p>
          <w:p w:rsidR="00FC16D3" w:rsidRPr="00FC16D3" w:rsidRDefault="00FC16D3" w:rsidP="00FC16D3">
            <w:pPr>
              <w:spacing w:after="0" w:line="240" w:lineRule="auto"/>
              <w:jc w:val="left"/>
              <w:rPr>
                <w:rFonts w:eastAsia="Times New Roman"/>
                <w:i/>
                <w:iCs/>
                <w:sz w:val="16"/>
                <w:szCs w:val="16"/>
              </w:rPr>
            </w:pPr>
            <w:r w:rsidRPr="00FC16D3">
              <w:rPr>
                <w:rFonts w:eastAsia="Times New Roman"/>
                <w:iCs/>
                <w:sz w:val="16"/>
                <w:szCs w:val="16"/>
              </w:rPr>
              <w:t>(excluding plants grown as a commercial crop or in  domestic vegetable gardens, and artichokes harvested for use as a vegetable)</w:t>
            </w:r>
          </w:p>
          <w:p w:rsidR="00FC16D3" w:rsidRPr="00FC16D3" w:rsidRDefault="00FC16D3" w:rsidP="00FC16D3">
            <w:pPr>
              <w:spacing w:after="0" w:line="240" w:lineRule="auto"/>
              <w:jc w:val="left"/>
              <w:rPr>
                <w:rFonts w:eastAsia="Times New Roman"/>
                <w:i/>
                <w:iCs/>
                <w:sz w:val="16"/>
                <w:szCs w:val="16"/>
              </w:rPr>
            </w:pPr>
          </w:p>
          <w:p w:rsidR="00FC16D3" w:rsidRPr="00FC16D3" w:rsidRDefault="00FC16D3" w:rsidP="00FC16D3">
            <w:pPr>
              <w:spacing w:after="0" w:line="240" w:lineRule="auto"/>
              <w:jc w:val="left"/>
              <w:rPr>
                <w:rFonts w:eastAsia="Times New Roman"/>
                <w:b/>
                <w:bCs/>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 xml:space="preserve">The areas of the Green Adelaide, Hills and Fleurieu, Kangaroo Island and Northern and Yorke Regions. </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1520"/>
        </w:trPr>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42</w:t>
            </w:r>
          </w:p>
          <w:p w:rsidR="00FC16D3" w:rsidRPr="00FC16D3" w:rsidRDefault="00FC16D3" w:rsidP="00FC16D3">
            <w:pPr>
              <w:spacing w:after="0" w:line="240" w:lineRule="auto"/>
              <w:jc w:val="left"/>
              <w:rPr>
                <w:rFonts w:eastAsia="Times New Roman"/>
                <w:b/>
                <w:sz w:val="16"/>
                <w:szCs w:val="16"/>
              </w:rPr>
            </w:pPr>
          </w:p>
          <w:p w:rsidR="00FC16D3" w:rsidRPr="00FC16D3" w:rsidRDefault="00FC16D3" w:rsidP="00FC16D3">
            <w:pPr>
              <w:spacing w:after="0" w:line="240" w:lineRule="auto"/>
              <w:jc w:val="left"/>
              <w:rPr>
                <w:rFonts w:eastAsia="Times New Roman"/>
                <w:i/>
                <w:spacing w:val="-2"/>
                <w:sz w:val="16"/>
                <w:szCs w:val="16"/>
              </w:rPr>
            </w:pPr>
            <w:r w:rsidRPr="00FC16D3">
              <w:rPr>
                <w:rFonts w:eastAsia="Times New Roman"/>
                <w:i/>
                <w:spacing w:val="-2"/>
                <w:sz w:val="16"/>
                <w:szCs w:val="16"/>
              </w:rPr>
              <w:t>Orbea variegata</w:t>
            </w:r>
          </w:p>
          <w:p w:rsidR="00FC16D3" w:rsidRPr="00FC16D3" w:rsidRDefault="00FC16D3" w:rsidP="00FC16D3">
            <w:pPr>
              <w:spacing w:after="0" w:line="240" w:lineRule="auto"/>
              <w:jc w:val="left"/>
              <w:rPr>
                <w:rFonts w:eastAsia="Times New Roman"/>
                <w:b/>
                <w:sz w:val="24"/>
                <w:szCs w:val="24"/>
              </w:rPr>
            </w:pPr>
            <w:r w:rsidRPr="00FC16D3">
              <w:rPr>
                <w:rFonts w:eastAsia="Times New Roman"/>
                <w:spacing w:val="-2"/>
                <w:sz w:val="16"/>
                <w:szCs w:val="16"/>
              </w:rPr>
              <w:t>carrion flower</w:t>
            </w:r>
          </w:p>
          <w:p w:rsidR="00FC16D3" w:rsidRPr="00FC16D3" w:rsidRDefault="00FC16D3" w:rsidP="00FC16D3">
            <w:pPr>
              <w:spacing w:after="0" w:line="240" w:lineRule="auto"/>
              <w:jc w:val="left"/>
              <w:rPr>
                <w:rFonts w:eastAsia="Times New Roman"/>
                <w:b/>
                <w:sz w:val="24"/>
                <w:szCs w:val="24"/>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Alinytjara Wilurara and Eyre Peninsula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1520"/>
        </w:trPr>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43</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Cenchrus setaceus</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fountain grass</w:t>
            </w:r>
          </w:p>
          <w:p w:rsidR="00FC16D3" w:rsidRPr="00FC16D3" w:rsidRDefault="00FC16D3" w:rsidP="00FC16D3">
            <w:pPr>
              <w:spacing w:after="0" w:line="240" w:lineRule="auto"/>
              <w:jc w:val="left"/>
              <w:rPr>
                <w:rFonts w:eastAsia="Times New Roman"/>
                <w:b/>
                <w:sz w:val="24"/>
                <w:szCs w:val="24"/>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Alinytjara Wilurara, Eyre Peninsula, Green Adelaide, Hills and Fleurieu, Murraylands and Riverland, and Limestone Coast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464"/>
        </w:trPr>
        <w:tc>
          <w:tcPr>
            <w:tcW w:w="2179" w:type="pct"/>
          </w:tcPr>
          <w:p w:rsidR="00FC16D3" w:rsidRPr="00FC16D3" w:rsidRDefault="00FC16D3" w:rsidP="00FC16D3">
            <w:pPr>
              <w:spacing w:before="120" w:after="0" w:line="240" w:lineRule="auto"/>
              <w:jc w:val="left"/>
              <w:rPr>
                <w:rFonts w:eastAsia="Times New Roman"/>
                <w:b/>
                <w:bCs/>
                <w:sz w:val="24"/>
                <w:szCs w:val="24"/>
              </w:rPr>
            </w:pPr>
            <w:r w:rsidRPr="00FC16D3">
              <w:rPr>
                <w:rFonts w:eastAsia="Times New Roman"/>
                <w:b/>
                <w:sz w:val="24"/>
                <w:szCs w:val="24"/>
              </w:rPr>
              <w:t>CLASS</w:t>
            </w:r>
            <w:r w:rsidRPr="00FC16D3">
              <w:rPr>
                <w:rFonts w:eastAsia="Times New Roman"/>
                <w:b/>
                <w:bCs/>
                <w:sz w:val="24"/>
                <w:szCs w:val="24"/>
              </w:rPr>
              <w:t xml:space="preserve"> 44</w:t>
            </w:r>
          </w:p>
          <w:p w:rsidR="00FC16D3" w:rsidRPr="00FC16D3" w:rsidRDefault="00FC16D3" w:rsidP="00FC16D3">
            <w:pPr>
              <w:spacing w:after="0" w:line="240" w:lineRule="auto"/>
              <w:jc w:val="left"/>
              <w:rPr>
                <w:rFonts w:eastAsia="Times New Roman"/>
                <w:b/>
                <w:bCs/>
                <w:sz w:val="16"/>
                <w:szCs w:val="16"/>
              </w:rPr>
            </w:pPr>
          </w:p>
          <w:p w:rsidR="00FC16D3" w:rsidRPr="00FC16D3" w:rsidRDefault="00FC16D3" w:rsidP="00FC16D3">
            <w:pPr>
              <w:spacing w:after="0" w:line="240" w:lineRule="auto"/>
              <w:jc w:val="left"/>
              <w:rPr>
                <w:rFonts w:eastAsia="Times New Roman"/>
                <w:i/>
                <w:iCs/>
                <w:sz w:val="16"/>
                <w:szCs w:val="16"/>
              </w:rPr>
            </w:pPr>
            <w:r w:rsidRPr="00FC16D3">
              <w:rPr>
                <w:rFonts w:eastAsia="Times New Roman"/>
                <w:i/>
                <w:iCs/>
                <w:sz w:val="16"/>
                <w:szCs w:val="16"/>
              </w:rPr>
              <w:t>Cenchrus macrourus</w:t>
            </w:r>
          </w:p>
          <w:p w:rsidR="00FC16D3" w:rsidRPr="00FC16D3" w:rsidRDefault="00FC16D3" w:rsidP="00FC16D3">
            <w:pPr>
              <w:spacing w:after="0" w:line="240" w:lineRule="auto"/>
              <w:jc w:val="left"/>
              <w:rPr>
                <w:rFonts w:eastAsia="Times New Roman"/>
                <w:b/>
                <w:bCs/>
                <w:sz w:val="16"/>
                <w:szCs w:val="16"/>
              </w:rPr>
            </w:pPr>
            <w:r w:rsidRPr="00FC16D3">
              <w:rPr>
                <w:rFonts w:eastAsia="Times New Roman"/>
                <w:sz w:val="16"/>
                <w:szCs w:val="16"/>
              </w:rPr>
              <w:t>African feathergrass</w:t>
            </w: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p w:rsidR="00FC16D3" w:rsidRPr="00FC16D3" w:rsidRDefault="00FC16D3" w:rsidP="00FC16D3">
            <w:pPr>
              <w:spacing w:after="0" w:line="240" w:lineRule="auto"/>
              <w:jc w:val="left"/>
              <w:rPr>
                <w:rFonts w:eastAsia="Times New Roman"/>
                <w:sz w:val="16"/>
                <w:szCs w:val="16"/>
              </w:rPr>
            </w:pP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Eyre Peninsula, Green Adelaide, Hills and Fleurieu, Kangaroo Island, Northern and Yorke, Murraylands and Riverland, and Limestone Coast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2682"/>
        </w:trPr>
        <w:tc>
          <w:tcPr>
            <w:tcW w:w="2179" w:type="pct"/>
          </w:tcPr>
          <w:p w:rsidR="00FC16D3" w:rsidRPr="00FC16D3" w:rsidRDefault="00FC16D3" w:rsidP="00FC16D3">
            <w:pPr>
              <w:spacing w:before="120" w:after="0" w:line="240" w:lineRule="auto"/>
              <w:jc w:val="left"/>
              <w:rPr>
                <w:rFonts w:eastAsia="Times New Roman"/>
                <w:b/>
                <w:bCs/>
                <w:sz w:val="24"/>
                <w:szCs w:val="24"/>
              </w:rPr>
            </w:pPr>
            <w:r w:rsidRPr="00FC16D3">
              <w:rPr>
                <w:rFonts w:eastAsia="Times New Roman"/>
                <w:b/>
                <w:bCs/>
                <w:sz w:val="24"/>
                <w:szCs w:val="24"/>
              </w:rPr>
              <w:t>CLASS 45</w:t>
            </w:r>
          </w:p>
          <w:p w:rsidR="00FC16D3" w:rsidRPr="00FC16D3" w:rsidRDefault="00FC16D3" w:rsidP="00FC16D3">
            <w:pPr>
              <w:spacing w:after="0" w:line="240" w:lineRule="auto"/>
              <w:jc w:val="left"/>
              <w:rPr>
                <w:rFonts w:eastAsia="Times New Roman"/>
                <w:sz w:val="16"/>
                <w:szCs w:val="16"/>
                <w:u w:val="single"/>
              </w:rPr>
            </w:pPr>
          </w:p>
          <w:p w:rsidR="00FC16D3" w:rsidRPr="00FC16D3" w:rsidRDefault="00FC16D3" w:rsidP="00FC16D3">
            <w:pPr>
              <w:spacing w:after="0" w:line="240" w:lineRule="auto"/>
              <w:jc w:val="left"/>
              <w:rPr>
                <w:rFonts w:eastAsia="Times New Roman"/>
                <w:i/>
                <w:iCs/>
                <w:sz w:val="16"/>
                <w:szCs w:val="16"/>
              </w:rPr>
            </w:pPr>
            <w:r w:rsidRPr="00FC16D3">
              <w:rPr>
                <w:rFonts w:eastAsia="Times New Roman"/>
                <w:i/>
                <w:iCs/>
                <w:sz w:val="16"/>
                <w:szCs w:val="16"/>
              </w:rPr>
              <w:t>Cytisus scoparius</w:t>
            </w:r>
          </w:p>
          <w:p w:rsidR="00FC16D3" w:rsidRPr="00FC16D3" w:rsidRDefault="00FC16D3" w:rsidP="00FC16D3">
            <w:pPr>
              <w:spacing w:after="0" w:line="240" w:lineRule="auto"/>
              <w:jc w:val="left"/>
              <w:rPr>
                <w:rFonts w:eastAsia="Times New Roman"/>
                <w:b/>
                <w:bCs/>
                <w:sz w:val="16"/>
                <w:szCs w:val="16"/>
              </w:rPr>
            </w:pPr>
            <w:r w:rsidRPr="00FC16D3">
              <w:rPr>
                <w:rFonts w:eastAsia="Times New Roman"/>
                <w:sz w:val="16"/>
                <w:szCs w:val="16"/>
              </w:rPr>
              <w:t>English broom; Scotch broom</w:t>
            </w: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190(1)</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 of the Kangaroo Island Region.</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Eyre Peninsula, Green Adelaide, Hills and Fleurieu, Kangaroo Island, Northern and Yorke, Murraylands and Riverland, and Limestone Coast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bCs/>
                <w:sz w:val="24"/>
                <w:szCs w:val="24"/>
              </w:rPr>
            </w:pPr>
            <w:r w:rsidRPr="00FC16D3">
              <w:rPr>
                <w:rFonts w:eastAsia="Times New Roman"/>
                <w:b/>
                <w:sz w:val="24"/>
                <w:szCs w:val="24"/>
              </w:rPr>
              <w:t>CLASS</w:t>
            </w:r>
            <w:r w:rsidRPr="00FC16D3">
              <w:rPr>
                <w:rFonts w:eastAsia="Times New Roman"/>
                <w:b/>
                <w:bCs/>
                <w:sz w:val="24"/>
                <w:szCs w:val="24"/>
              </w:rPr>
              <w:t xml:space="preserve"> 46</w:t>
            </w:r>
          </w:p>
          <w:p w:rsidR="00FC16D3" w:rsidRPr="00FC16D3" w:rsidRDefault="00FC16D3" w:rsidP="00FC16D3">
            <w:pPr>
              <w:spacing w:after="0" w:line="240" w:lineRule="auto"/>
              <w:jc w:val="left"/>
              <w:rPr>
                <w:rFonts w:eastAsia="Times New Roman"/>
                <w:sz w:val="16"/>
                <w:szCs w:val="16"/>
                <w:u w:val="single"/>
              </w:rPr>
            </w:pPr>
          </w:p>
          <w:p w:rsidR="00FC16D3" w:rsidRPr="00FC16D3" w:rsidRDefault="00FC16D3" w:rsidP="00FC16D3">
            <w:pPr>
              <w:spacing w:after="0" w:line="240" w:lineRule="auto"/>
              <w:jc w:val="left"/>
              <w:rPr>
                <w:rFonts w:eastAsia="Times New Roman"/>
                <w:bCs/>
                <w:i/>
                <w:iCs/>
                <w:sz w:val="16"/>
                <w:szCs w:val="16"/>
                <w:lang w:val="en-US"/>
              </w:rPr>
            </w:pPr>
            <w:r w:rsidRPr="00FC16D3">
              <w:rPr>
                <w:rFonts w:eastAsia="Times New Roman"/>
                <w:bCs/>
                <w:i/>
                <w:iCs/>
                <w:sz w:val="16"/>
                <w:szCs w:val="16"/>
                <w:lang w:val="en-US"/>
              </w:rPr>
              <w:t>Euphorbia terracina</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false caper</w:t>
            </w:r>
          </w:p>
          <w:p w:rsidR="00FC16D3" w:rsidRPr="00FC16D3" w:rsidRDefault="00FC16D3" w:rsidP="00FC16D3">
            <w:pPr>
              <w:spacing w:after="0" w:line="240" w:lineRule="auto"/>
              <w:jc w:val="left"/>
              <w:rPr>
                <w:rFonts w:eastAsia="Times New Roman"/>
                <w:i/>
                <w:iCs/>
                <w:sz w:val="16"/>
                <w:szCs w:val="16"/>
              </w:rPr>
            </w:pPr>
          </w:p>
          <w:p w:rsidR="00FC16D3" w:rsidRPr="00FC16D3" w:rsidRDefault="00FC16D3" w:rsidP="00FC16D3">
            <w:pPr>
              <w:spacing w:after="0" w:line="240" w:lineRule="auto"/>
              <w:jc w:val="left"/>
              <w:rPr>
                <w:rFonts w:eastAsia="Times New Roman"/>
                <w:i/>
                <w:iCs/>
                <w:sz w:val="16"/>
                <w:szCs w:val="16"/>
              </w:rPr>
            </w:pPr>
            <w:r w:rsidRPr="00FC16D3">
              <w:rPr>
                <w:rFonts w:eastAsia="Times New Roman"/>
                <w:i/>
                <w:iCs/>
                <w:sz w:val="16"/>
                <w:szCs w:val="16"/>
              </w:rPr>
              <w:t>Solanum linnaeanum</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apple-of-Sodom</w:t>
            </w:r>
          </w:p>
          <w:p w:rsidR="00FC16D3" w:rsidRPr="00FC16D3" w:rsidRDefault="00FC16D3" w:rsidP="00FC16D3">
            <w:pPr>
              <w:spacing w:after="0" w:line="240" w:lineRule="auto"/>
              <w:jc w:val="left"/>
              <w:rPr>
                <w:rFonts w:eastAsia="Times New Roman"/>
                <w:b/>
                <w:bCs/>
                <w:sz w:val="24"/>
                <w:szCs w:val="24"/>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Green Adelaide, Hills and Fleurieu, and Limestone Coast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bCs/>
                <w:sz w:val="24"/>
                <w:szCs w:val="24"/>
              </w:rPr>
            </w:pPr>
            <w:r w:rsidRPr="00FC16D3">
              <w:rPr>
                <w:rFonts w:eastAsia="Times New Roman"/>
                <w:b/>
                <w:bCs/>
                <w:sz w:val="24"/>
                <w:szCs w:val="24"/>
              </w:rPr>
              <w:t>CLASS 47</w:t>
            </w:r>
          </w:p>
          <w:p w:rsidR="00FC16D3" w:rsidRPr="00FC16D3" w:rsidRDefault="00FC16D3" w:rsidP="00FC16D3">
            <w:pPr>
              <w:spacing w:after="0" w:line="240" w:lineRule="auto"/>
              <w:jc w:val="left"/>
              <w:rPr>
                <w:rFonts w:eastAsia="Times New Roman"/>
                <w:sz w:val="16"/>
                <w:szCs w:val="16"/>
                <w:u w:val="single"/>
              </w:rPr>
            </w:pPr>
          </w:p>
          <w:p w:rsidR="00FC16D3" w:rsidRPr="00FC16D3" w:rsidRDefault="00FC16D3" w:rsidP="00FC16D3">
            <w:pPr>
              <w:spacing w:after="0" w:line="240" w:lineRule="auto"/>
              <w:jc w:val="left"/>
              <w:rPr>
                <w:rFonts w:eastAsia="Times New Roman"/>
                <w:i/>
                <w:iCs/>
                <w:spacing w:val="-2"/>
                <w:sz w:val="16"/>
                <w:szCs w:val="16"/>
              </w:rPr>
            </w:pPr>
            <w:r w:rsidRPr="00FC16D3">
              <w:rPr>
                <w:rFonts w:eastAsia="Times New Roman"/>
                <w:i/>
                <w:iCs/>
                <w:spacing w:val="-2"/>
                <w:sz w:val="16"/>
                <w:szCs w:val="16"/>
              </w:rPr>
              <w:t xml:space="preserve">Pinus halepensis </w:t>
            </w:r>
          </w:p>
          <w:p w:rsidR="00FC16D3" w:rsidRPr="00FC16D3" w:rsidRDefault="00FC16D3" w:rsidP="00FC16D3">
            <w:pPr>
              <w:spacing w:after="0" w:line="240" w:lineRule="auto"/>
              <w:jc w:val="left"/>
              <w:rPr>
                <w:rFonts w:eastAsia="Times New Roman"/>
                <w:i/>
                <w:iCs/>
                <w:sz w:val="16"/>
                <w:szCs w:val="16"/>
              </w:rPr>
            </w:pPr>
            <w:r w:rsidRPr="00FC16D3">
              <w:rPr>
                <w:rFonts w:eastAsia="Times New Roman"/>
                <w:spacing w:val="-2"/>
                <w:sz w:val="16"/>
                <w:szCs w:val="16"/>
              </w:rPr>
              <w:t>Aleppo pine (not planted and maintained for amenity or commercial purposes)</w:t>
            </w:r>
          </w:p>
          <w:p w:rsidR="00FC16D3" w:rsidRPr="00FC16D3" w:rsidRDefault="00FC16D3" w:rsidP="00FC16D3">
            <w:pPr>
              <w:spacing w:after="0" w:line="240" w:lineRule="auto"/>
              <w:jc w:val="left"/>
              <w:rPr>
                <w:rFonts w:eastAsia="Times New Roman"/>
                <w:b/>
                <w:bCs/>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Eyre Peninsula, Green Adelaide, Hills and Fleurieu, Kangaroo Island, Northern and Yorke, Murraylands and Riverland, and Limestone Coast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1380"/>
        </w:trPr>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48</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ind w:left="252" w:hanging="252"/>
              <w:rPr>
                <w:rFonts w:eastAsia="Times New Roman"/>
                <w:i/>
                <w:iCs/>
                <w:spacing w:val="-2"/>
                <w:sz w:val="16"/>
                <w:szCs w:val="16"/>
              </w:rPr>
            </w:pPr>
            <w:r w:rsidRPr="00FC16D3">
              <w:rPr>
                <w:rFonts w:eastAsia="Times New Roman"/>
                <w:i/>
                <w:iCs/>
                <w:spacing w:val="-2"/>
                <w:sz w:val="16"/>
                <w:szCs w:val="16"/>
              </w:rPr>
              <w:t>Convolvulus arvensis</w:t>
            </w: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ind w:left="252" w:hanging="252"/>
              <w:rPr>
                <w:rFonts w:eastAsia="Times New Roman"/>
                <w:spacing w:val="-2"/>
                <w:sz w:val="16"/>
                <w:szCs w:val="16"/>
              </w:rPr>
            </w:pPr>
            <w:r w:rsidRPr="00FC16D3">
              <w:rPr>
                <w:rFonts w:eastAsia="Times New Roman"/>
                <w:spacing w:val="-2"/>
                <w:sz w:val="16"/>
                <w:szCs w:val="16"/>
              </w:rPr>
              <w:t>field bindweed</w:t>
            </w: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ind w:left="252" w:hanging="252"/>
              <w:rPr>
                <w:rFonts w:eastAsia="Times New Roman"/>
                <w:spacing w:val="-2"/>
                <w:sz w:val="16"/>
                <w:szCs w:val="16"/>
              </w:rPr>
            </w:pP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rPr>
                <w:rFonts w:eastAsia="Times New Roman"/>
                <w:i/>
                <w:iCs/>
                <w:sz w:val="16"/>
                <w:szCs w:val="16"/>
              </w:rPr>
            </w:pPr>
            <w:r w:rsidRPr="00FC16D3">
              <w:rPr>
                <w:rFonts w:eastAsia="Times New Roman"/>
                <w:i/>
                <w:iCs/>
                <w:sz w:val="16"/>
                <w:szCs w:val="16"/>
              </w:rPr>
              <w:t>Cyperus rotundus</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nutgrass</w:t>
            </w:r>
          </w:p>
          <w:p w:rsidR="00FC16D3" w:rsidRPr="00FC16D3" w:rsidRDefault="00FC16D3" w:rsidP="00FC16D3">
            <w:pPr>
              <w:spacing w:after="0" w:line="240" w:lineRule="auto"/>
              <w:jc w:val="left"/>
              <w:rPr>
                <w:rFonts w:eastAsia="Times New Roman"/>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192(1),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r w:rsidRPr="00FC16D3">
              <w:rPr>
                <w:rFonts w:eastAsia="Times New Roman"/>
                <w:sz w:val="16"/>
                <w:szCs w:val="16"/>
              </w:rPr>
              <w:t>The area of any land in the State used for the extraction or removal of soil, loam, sand or gravel.</w:t>
            </w:r>
          </w:p>
        </w:tc>
      </w:tr>
      <w:tr w:rsidR="00FC16D3" w:rsidRPr="00FC16D3" w:rsidTr="00805B8E">
        <w:trPr>
          <w:trHeight w:val="1390"/>
        </w:trPr>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49</w:t>
            </w:r>
          </w:p>
          <w:p w:rsidR="00FC16D3" w:rsidRPr="00FC16D3" w:rsidRDefault="00FC16D3" w:rsidP="00FC16D3">
            <w:pPr>
              <w:spacing w:after="0" w:line="240" w:lineRule="auto"/>
              <w:jc w:val="left"/>
              <w:rPr>
                <w:rFonts w:eastAsia="Times New Roman"/>
                <w:b/>
                <w:sz w:val="16"/>
                <w:szCs w:val="16"/>
              </w:rPr>
            </w:pPr>
          </w:p>
          <w:p w:rsidR="00FC16D3" w:rsidRPr="00FC16D3" w:rsidRDefault="00FC16D3" w:rsidP="00FC16D3">
            <w:pPr>
              <w:spacing w:after="0" w:line="240" w:lineRule="auto"/>
              <w:jc w:val="left"/>
              <w:rPr>
                <w:rFonts w:eastAsia="Times New Roman"/>
                <w:i/>
                <w:sz w:val="16"/>
                <w:szCs w:val="16"/>
                <w:lang w:val="en-US"/>
              </w:rPr>
            </w:pPr>
            <w:r w:rsidRPr="00FC16D3">
              <w:rPr>
                <w:rFonts w:eastAsia="Times New Roman"/>
                <w:i/>
                <w:sz w:val="16"/>
                <w:szCs w:val="16"/>
                <w:lang w:val="en-US"/>
              </w:rPr>
              <w:t>Tamarix parviflora</w:t>
            </w:r>
            <w:r w:rsidRPr="00FC16D3">
              <w:rPr>
                <w:rFonts w:eastAsia="Times New Roman"/>
                <w:sz w:val="16"/>
                <w:szCs w:val="16"/>
                <w:lang w:val="en-US"/>
              </w:rPr>
              <w:t xml:space="preserve"> and </w:t>
            </w:r>
            <w:r w:rsidRPr="00FC16D3">
              <w:rPr>
                <w:rFonts w:eastAsia="Times New Roman"/>
                <w:i/>
                <w:sz w:val="16"/>
                <w:szCs w:val="16"/>
                <w:lang w:val="en-US"/>
              </w:rPr>
              <w:t>Tamarix ramosissima</w:t>
            </w:r>
          </w:p>
          <w:p w:rsidR="00FC16D3" w:rsidRPr="00FC16D3" w:rsidRDefault="00FC16D3" w:rsidP="00FC16D3">
            <w:pPr>
              <w:spacing w:after="0" w:line="240" w:lineRule="auto"/>
              <w:jc w:val="left"/>
              <w:rPr>
                <w:rFonts w:eastAsia="Times New Roman"/>
                <w:b/>
                <w:sz w:val="24"/>
                <w:szCs w:val="24"/>
              </w:rPr>
            </w:pPr>
            <w:r w:rsidRPr="00FC16D3">
              <w:rPr>
                <w:rFonts w:eastAsia="Times New Roman"/>
                <w:sz w:val="16"/>
                <w:szCs w:val="16"/>
              </w:rPr>
              <w:t>tamarisks</w:t>
            </w: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Northern and Yorke, South Australian Arid Lands and Murraylands and Riverland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50</w:t>
            </w:r>
          </w:p>
          <w:p w:rsidR="00FC16D3" w:rsidRPr="00FC16D3" w:rsidRDefault="00FC16D3" w:rsidP="00FC16D3">
            <w:pPr>
              <w:spacing w:after="0" w:line="240" w:lineRule="auto"/>
              <w:jc w:val="left"/>
              <w:rPr>
                <w:rFonts w:eastAsia="Times New Roman"/>
                <w:b/>
                <w:sz w:val="16"/>
                <w:szCs w:val="16"/>
              </w:rPr>
            </w:pPr>
          </w:p>
          <w:p w:rsidR="00FC16D3" w:rsidRPr="00FC16D3" w:rsidRDefault="00FC16D3" w:rsidP="00FC16D3">
            <w:pPr>
              <w:spacing w:after="0" w:line="240" w:lineRule="auto"/>
              <w:jc w:val="left"/>
              <w:rPr>
                <w:rFonts w:eastAsia="Times New Roman"/>
                <w:i/>
                <w:sz w:val="16"/>
                <w:szCs w:val="16"/>
                <w:lang w:val="en-US"/>
              </w:rPr>
            </w:pPr>
            <w:r w:rsidRPr="00FC16D3">
              <w:rPr>
                <w:rFonts w:eastAsia="Times New Roman"/>
                <w:i/>
                <w:sz w:val="16"/>
                <w:szCs w:val="16"/>
                <w:lang w:val="en-US"/>
              </w:rPr>
              <w:t>Tamarix aphylla</w:t>
            </w:r>
          </w:p>
          <w:p w:rsidR="00FC16D3" w:rsidRPr="00FC16D3" w:rsidRDefault="00FC16D3" w:rsidP="00FC16D3">
            <w:pPr>
              <w:spacing w:after="0" w:line="240" w:lineRule="auto"/>
              <w:jc w:val="left"/>
              <w:rPr>
                <w:rFonts w:eastAsia="Times New Roman"/>
                <w:b/>
                <w:sz w:val="16"/>
                <w:szCs w:val="16"/>
              </w:rPr>
            </w:pPr>
            <w:r w:rsidRPr="00FC16D3">
              <w:rPr>
                <w:rFonts w:eastAsia="Times New Roman"/>
                <w:sz w:val="16"/>
                <w:szCs w:val="16"/>
              </w:rPr>
              <w:t>athel pine</w:t>
            </w: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 (2),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any lands within 100 metres of a watercourse in the whole of the State.</w:t>
            </w:r>
          </w:p>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bCs/>
                <w:sz w:val="24"/>
                <w:szCs w:val="24"/>
              </w:rPr>
            </w:pPr>
            <w:r w:rsidRPr="00FC16D3">
              <w:rPr>
                <w:rFonts w:eastAsia="Times New Roman"/>
                <w:b/>
                <w:sz w:val="24"/>
                <w:szCs w:val="24"/>
              </w:rPr>
              <w:t>CLASS</w:t>
            </w:r>
            <w:r w:rsidRPr="00FC16D3">
              <w:rPr>
                <w:rFonts w:eastAsia="Times New Roman"/>
                <w:b/>
                <w:bCs/>
                <w:sz w:val="24"/>
                <w:szCs w:val="24"/>
              </w:rPr>
              <w:t xml:space="preserve"> 51</w:t>
            </w:r>
          </w:p>
          <w:p w:rsidR="00FC16D3" w:rsidRPr="00FC16D3" w:rsidRDefault="00FC16D3" w:rsidP="00FC16D3">
            <w:pPr>
              <w:spacing w:after="0" w:line="240" w:lineRule="auto"/>
              <w:jc w:val="left"/>
              <w:rPr>
                <w:rFonts w:eastAsia="Times New Roman"/>
                <w:sz w:val="16"/>
                <w:szCs w:val="16"/>
                <w:u w:val="single"/>
              </w:rPr>
            </w:pPr>
          </w:p>
          <w:p w:rsidR="00FC16D3" w:rsidRPr="00FC16D3" w:rsidRDefault="00FC16D3" w:rsidP="00FC16D3">
            <w:pPr>
              <w:spacing w:after="0" w:line="240" w:lineRule="auto"/>
              <w:jc w:val="left"/>
              <w:rPr>
                <w:rFonts w:eastAsia="Times New Roman"/>
                <w:i/>
                <w:iCs/>
                <w:sz w:val="16"/>
                <w:szCs w:val="16"/>
              </w:rPr>
            </w:pPr>
            <w:r w:rsidRPr="00FC16D3">
              <w:rPr>
                <w:rFonts w:eastAsia="Times New Roman"/>
                <w:i/>
                <w:iCs/>
                <w:sz w:val="16"/>
                <w:szCs w:val="16"/>
              </w:rPr>
              <w:t xml:space="preserve">Watsonia meriana </w:t>
            </w:r>
            <w:r w:rsidRPr="00FC16D3">
              <w:rPr>
                <w:rFonts w:eastAsia="Times New Roman"/>
                <w:sz w:val="16"/>
                <w:szCs w:val="16"/>
              </w:rPr>
              <w:t>var.</w:t>
            </w:r>
            <w:r w:rsidRPr="00FC16D3">
              <w:rPr>
                <w:rFonts w:eastAsia="Times New Roman"/>
                <w:i/>
                <w:iCs/>
                <w:sz w:val="16"/>
                <w:szCs w:val="16"/>
              </w:rPr>
              <w:t xml:space="preserve"> bulbillifera</w:t>
            </w:r>
          </w:p>
          <w:p w:rsidR="00FC16D3" w:rsidRPr="00FC16D3" w:rsidRDefault="00FC16D3" w:rsidP="00FC16D3">
            <w:pPr>
              <w:spacing w:after="0" w:line="240" w:lineRule="auto"/>
              <w:jc w:val="left"/>
              <w:rPr>
                <w:rFonts w:eastAsia="Times New Roman"/>
                <w:b/>
                <w:bCs/>
                <w:sz w:val="16"/>
                <w:szCs w:val="16"/>
              </w:rPr>
            </w:pPr>
            <w:r w:rsidRPr="00FC16D3">
              <w:rPr>
                <w:rFonts w:eastAsia="Times New Roman"/>
                <w:sz w:val="16"/>
                <w:szCs w:val="16"/>
              </w:rPr>
              <w:t>bulbil watsonia</w:t>
            </w: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Green Adelaide, Hills and Fleurieu, Kangar</w:t>
            </w:r>
            <w:r w:rsidR="00AD29C0">
              <w:rPr>
                <w:rFonts w:eastAsia="Times New Roman"/>
                <w:sz w:val="16"/>
                <w:szCs w:val="16"/>
              </w:rPr>
              <w:t xml:space="preserve">oo Island, and Limestone Coast </w:t>
            </w:r>
            <w:r w:rsidRPr="00FC16D3">
              <w:rPr>
                <w:rFonts w:eastAsia="Times New Roman"/>
                <w:sz w:val="16"/>
                <w:szCs w:val="16"/>
              </w:rPr>
              <w:t>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52</w:t>
            </w:r>
          </w:p>
          <w:p w:rsidR="00FC16D3" w:rsidRPr="00FC16D3" w:rsidRDefault="00FC16D3" w:rsidP="00FC16D3">
            <w:pPr>
              <w:spacing w:after="0" w:line="240" w:lineRule="auto"/>
              <w:jc w:val="left"/>
              <w:rPr>
                <w:rFonts w:eastAsia="Times New Roman"/>
                <w:b/>
                <w:sz w:val="16"/>
                <w:szCs w:val="16"/>
              </w:rPr>
            </w:pP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ind w:left="252" w:hanging="252"/>
              <w:rPr>
                <w:rFonts w:eastAsia="Times New Roman"/>
                <w:i/>
                <w:iCs/>
                <w:sz w:val="16"/>
                <w:szCs w:val="16"/>
              </w:rPr>
            </w:pPr>
            <w:r w:rsidRPr="00FC16D3">
              <w:rPr>
                <w:rFonts w:eastAsia="Times New Roman"/>
                <w:i/>
                <w:iCs/>
                <w:sz w:val="16"/>
                <w:szCs w:val="16"/>
              </w:rPr>
              <w:t>Allium triquetrum</w:t>
            </w:r>
          </w:p>
          <w:p w:rsidR="00FC16D3" w:rsidRPr="00FC16D3" w:rsidRDefault="00FC16D3" w:rsidP="00FC16D3">
            <w:pPr>
              <w:spacing w:after="0" w:line="240" w:lineRule="auto"/>
              <w:jc w:val="left"/>
              <w:rPr>
                <w:rFonts w:eastAsia="Times New Roman"/>
                <w:i/>
                <w:sz w:val="16"/>
                <w:szCs w:val="16"/>
              </w:rPr>
            </w:pPr>
            <w:r w:rsidRPr="00FC16D3">
              <w:rPr>
                <w:rFonts w:eastAsia="Times New Roman"/>
                <w:sz w:val="16"/>
                <w:szCs w:val="16"/>
              </w:rPr>
              <w:t>three-cornered garlic</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Erica arborea</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tree heath</w:t>
            </w:r>
          </w:p>
          <w:p w:rsidR="00FC16D3" w:rsidRPr="00FC16D3" w:rsidRDefault="00FC16D3" w:rsidP="00FC16D3">
            <w:pPr>
              <w:spacing w:after="0" w:line="240" w:lineRule="auto"/>
              <w:jc w:val="left"/>
              <w:rPr>
                <w:rFonts w:eastAsia="Times New Roman"/>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p w:rsidR="00FC16D3" w:rsidRPr="00FC16D3" w:rsidRDefault="00FC16D3" w:rsidP="00FC16D3">
            <w:pPr>
              <w:spacing w:after="0" w:line="240" w:lineRule="auto"/>
              <w:jc w:val="left"/>
              <w:rPr>
                <w:rFonts w:eastAsia="Times New Roman"/>
                <w:sz w:val="16"/>
                <w:szCs w:val="16"/>
              </w:rPr>
            </w:pP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 of the Green Adelaide and Hills and Fleurieu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Borders>
              <w:bottom w:val="single" w:sz="4" w:space="0" w:color="auto"/>
            </w:tcBorders>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53</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Leptospermum laevigatum</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coastal tea-tree</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excluding the cultivars ‘Fore Shore’ and ‘Shore Tuff’</w:t>
            </w:r>
          </w:p>
          <w:p w:rsidR="00FC16D3" w:rsidRPr="00FC16D3" w:rsidRDefault="00FC16D3" w:rsidP="00FC16D3">
            <w:pPr>
              <w:spacing w:after="0" w:line="240" w:lineRule="auto"/>
              <w:jc w:val="left"/>
              <w:rPr>
                <w:rFonts w:eastAsia="Times New Roman"/>
                <w:i/>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Silybum marianum</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variegated thistle</w:t>
            </w:r>
          </w:p>
          <w:p w:rsidR="00FC16D3" w:rsidRPr="00FC16D3" w:rsidRDefault="00FC16D3" w:rsidP="00FC16D3">
            <w:pPr>
              <w:spacing w:after="0" w:line="240" w:lineRule="auto"/>
              <w:jc w:val="left"/>
              <w:rPr>
                <w:rFonts w:eastAsia="Times New Roman"/>
                <w:b/>
                <w:sz w:val="24"/>
                <w:szCs w:val="24"/>
              </w:rPr>
            </w:pPr>
          </w:p>
        </w:tc>
        <w:tc>
          <w:tcPr>
            <w:tcW w:w="1219"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tc>
        <w:tc>
          <w:tcPr>
            <w:tcW w:w="578"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Kangaroo Island and Limestone Coast Regions.</w:t>
            </w:r>
          </w:p>
        </w:tc>
      </w:tr>
      <w:tr w:rsidR="00FC16D3" w:rsidRPr="00FC16D3" w:rsidTr="00805B8E">
        <w:tc>
          <w:tcPr>
            <w:tcW w:w="2179" w:type="pct"/>
            <w:tcBorders>
              <w:bottom w:val="single" w:sz="4" w:space="0" w:color="auto"/>
            </w:tcBorders>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54</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Dipogon lignosus</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dolichos pea</w:t>
            </w:r>
          </w:p>
          <w:p w:rsidR="00FC16D3" w:rsidRPr="00FC16D3" w:rsidRDefault="00FC16D3" w:rsidP="00FC16D3">
            <w:pPr>
              <w:spacing w:after="0" w:line="240" w:lineRule="auto"/>
              <w:jc w:val="left"/>
              <w:rPr>
                <w:rFonts w:eastAsia="Times New Roman"/>
                <w:b/>
                <w:sz w:val="24"/>
                <w:szCs w:val="24"/>
              </w:rPr>
            </w:pPr>
          </w:p>
        </w:tc>
        <w:tc>
          <w:tcPr>
            <w:tcW w:w="1219"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tc>
        <w:tc>
          <w:tcPr>
            <w:tcW w:w="578"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Borders>
              <w:bottom w:val="single" w:sz="4" w:space="0" w:color="auto"/>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 xml:space="preserve">The areas of the Eyre Peninsula, Green Adelaide, Hills and Fleurieu, Kangaroo Island and Limestone Coast  </w:t>
            </w:r>
          </w:p>
          <w:p w:rsidR="00FC16D3" w:rsidRPr="00FC16D3" w:rsidRDefault="00FC16D3" w:rsidP="00FC16D3">
            <w:pPr>
              <w:spacing w:line="240" w:lineRule="auto"/>
              <w:jc w:val="left"/>
              <w:rPr>
                <w:rFonts w:eastAsia="Times New Roman"/>
                <w:sz w:val="16"/>
                <w:szCs w:val="16"/>
              </w:rPr>
            </w:pPr>
            <w:r w:rsidRPr="00FC16D3">
              <w:rPr>
                <w:rFonts w:eastAsia="Times New Roman"/>
                <w:sz w:val="16"/>
                <w:szCs w:val="16"/>
              </w:rPr>
              <w:t>Regions.</w:t>
            </w:r>
          </w:p>
        </w:tc>
      </w:tr>
      <w:tr w:rsidR="00FC16D3" w:rsidRPr="00FC16D3" w:rsidTr="00805B8E">
        <w:tc>
          <w:tcPr>
            <w:tcW w:w="2179" w:type="pct"/>
            <w:tcBorders>
              <w:top w:val="single" w:sz="4" w:space="0" w:color="auto"/>
              <w:left w:val="nil"/>
              <w:bottom w:val="nil"/>
              <w:right w:val="nil"/>
            </w:tcBorders>
          </w:tcPr>
          <w:p w:rsidR="00FC16D3" w:rsidRPr="00FC16D3" w:rsidRDefault="00FC16D3" w:rsidP="00FC16D3">
            <w:pPr>
              <w:spacing w:before="120" w:after="0" w:line="240" w:lineRule="auto"/>
              <w:jc w:val="left"/>
              <w:rPr>
                <w:rFonts w:eastAsia="Times New Roman"/>
                <w:b/>
                <w:sz w:val="24"/>
                <w:szCs w:val="24"/>
              </w:rPr>
            </w:pPr>
          </w:p>
        </w:tc>
        <w:tc>
          <w:tcPr>
            <w:tcW w:w="1219" w:type="pct"/>
            <w:tcBorders>
              <w:top w:val="single" w:sz="4" w:space="0" w:color="auto"/>
              <w:left w:val="nil"/>
              <w:bottom w:val="nil"/>
              <w:right w:val="nil"/>
            </w:tcBorders>
          </w:tcPr>
          <w:p w:rsidR="00FC16D3" w:rsidRPr="00FC16D3" w:rsidRDefault="00FC16D3" w:rsidP="00FC16D3">
            <w:pPr>
              <w:spacing w:after="0" w:line="240" w:lineRule="auto"/>
              <w:jc w:val="left"/>
              <w:rPr>
                <w:rFonts w:eastAsia="Times New Roman"/>
                <w:sz w:val="16"/>
                <w:szCs w:val="16"/>
              </w:rPr>
            </w:pPr>
          </w:p>
        </w:tc>
        <w:tc>
          <w:tcPr>
            <w:tcW w:w="578" w:type="pct"/>
            <w:tcBorders>
              <w:top w:val="single" w:sz="4" w:space="0" w:color="auto"/>
              <w:left w:val="nil"/>
              <w:bottom w:val="nil"/>
              <w:right w:val="nil"/>
            </w:tcBorders>
          </w:tcPr>
          <w:p w:rsidR="00FC16D3" w:rsidRPr="00FC16D3" w:rsidRDefault="00FC16D3" w:rsidP="00FC16D3">
            <w:pPr>
              <w:spacing w:after="0" w:line="240" w:lineRule="auto"/>
              <w:jc w:val="left"/>
              <w:rPr>
                <w:rFonts w:eastAsia="Times New Roman"/>
                <w:sz w:val="16"/>
                <w:szCs w:val="16"/>
              </w:rPr>
            </w:pPr>
          </w:p>
        </w:tc>
        <w:tc>
          <w:tcPr>
            <w:tcW w:w="1024" w:type="pct"/>
            <w:tcBorders>
              <w:top w:val="single" w:sz="4" w:space="0" w:color="auto"/>
              <w:left w:val="nil"/>
              <w:bottom w:val="nil"/>
              <w:right w:val="nil"/>
            </w:tcBorders>
          </w:tcPr>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Borders>
              <w:top w:val="nil"/>
              <w:left w:val="nil"/>
              <w:bottom w:val="nil"/>
              <w:right w:val="nil"/>
            </w:tcBorders>
          </w:tcPr>
          <w:p w:rsidR="00FC16D3" w:rsidRPr="00FC16D3" w:rsidRDefault="00FC16D3" w:rsidP="00FC16D3">
            <w:pPr>
              <w:spacing w:before="120" w:after="0" w:line="240" w:lineRule="auto"/>
              <w:jc w:val="left"/>
              <w:rPr>
                <w:rFonts w:eastAsia="Times New Roman"/>
                <w:b/>
                <w:sz w:val="24"/>
                <w:szCs w:val="24"/>
              </w:rPr>
            </w:pPr>
          </w:p>
        </w:tc>
        <w:tc>
          <w:tcPr>
            <w:tcW w:w="1219" w:type="pct"/>
            <w:tcBorders>
              <w:top w:val="nil"/>
              <w:left w:val="nil"/>
              <w:bottom w:val="nil"/>
              <w:right w:val="nil"/>
            </w:tcBorders>
          </w:tcPr>
          <w:p w:rsidR="00FC16D3" w:rsidRPr="00FC16D3" w:rsidRDefault="00FC16D3" w:rsidP="00FC16D3">
            <w:pPr>
              <w:spacing w:after="0" w:line="240" w:lineRule="auto"/>
              <w:jc w:val="left"/>
              <w:rPr>
                <w:rFonts w:eastAsia="Times New Roman"/>
                <w:sz w:val="16"/>
                <w:szCs w:val="16"/>
              </w:rPr>
            </w:pPr>
          </w:p>
        </w:tc>
        <w:tc>
          <w:tcPr>
            <w:tcW w:w="578" w:type="pct"/>
            <w:tcBorders>
              <w:top w:val="nil"/>
              <w:left w:val="nil"/>
              <w:bottom w:val="nil"/>
              <w:right w:val="nil"/>
            </w:tcBorders>
          </w:tcPr>
          <w:p w:rsidR="00FC16D3" w:rsidRPr="00FC16D3" w:rsidRDefault="00FC16D3" w:rsidP="00FC16D3">
            <w:pPr>
              <w:spacing w:after="0" w:line="240" w:lineRule="auto"/>
              <w:jc w:val="left"/>
              <w:rPr>
                <w:rFonts w:eastAsia="Times New Roman"/>
                <w:sz w:val="16"/>
                <w:szCs w:val="16"/>
              </w:rPr>
            </w:pPr>
          </w:p>
        </w:tc>
        <w:tc>
          <w:tcPr>
            <w:tcW w:w="1024" w:type="pct"/>
            <w:tcBorders>
              <w:top w:val="nil"/>
              <w:left w:val="nil"/>
              <w:bottom w:val="nil"/>
              <w:right w:val="nil"/>
            </w:tcBorders>
          </w:tcPr>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Borders>
              <w:top w:val="nil"/>
              <w:left w:val="nil"/>
              <w:bottom w:val="nil"/>
              <w:right w:val="nil"/>
            </w:tcBorders>
          </w:tcPr>
          <w:p w:rsidR="00FC16D3" w:rsidRPr="00FC16D3" w:rsidRDefault="00FC16D3" w:rsidP="00FC16D3">
            <w:pPr>
              <w:spacing w:before="120" w:after="0" w:line="240" w:lineRule="auto"/>
              <w:jc w:val="left"/>
              <w:rPr>
                <w:rFonts w:eastAsia="Times New Roman"/>
                <w:b/>
                <w:sz w:val="24"/>
                <w:szCs w:val="24"/>
              </w:rPr>
            </w:pPr>
          </w:p>
        </w:tc>
        <w:tc>
          <w:tcPr>
            <w:tcW w:w="1219" w:type="pct"/>
            <w:tcBorders>
              <w:top w:val="nil"/>
              <w:left w:val="nil"/>
              <w:bottom w:val="nil"/>
              <w:right w:val="nil"/>
            </w:tcBorders>
          </w:tcPr>
          <w:p w:rsidR="00FC16D3" w:rsidRPr="00FC16D3" w:rsidRDefault="00FC16D3" w:rsidP="00FC16D3">
            <w:pPr>
              <w:spacing w:after="0" w:line="240" w:lineRule="auto"/>
              <w:jc w:val="left"/>
              <w:rPr>
                <w:rFonts w:eastAsia="Times New Roman"/>
                <w:sz w:val="16"/>
                <w:szCs w:val="16"/>
              </w:rPr>
            </w:pPr>
          </w:p>
        </w:tc>
        <w:tc>
          <w:tcPr>
            <w:tcW w:w="578" w:type="pct"/>
            <w:tcBorders>
              <w:top w:val="nil"/>
              <w:left w:val="nil"/>
              <w:bottom w:val="nil"/>
              <w:right w:val="nil"/>
            </w:tcBorders>
          </w:tcPr>
          <w:p w:rsidR="00FC16D3" w:rsidRPr="00FC16D3" w:rsidRDefault="00FC16D3" w:rsidP="00FC16D3">
            <w:pPr>
              <w:spacing w:after="0" w:line="240" w:lineRule="auto"/>
              <w:jc w:val="left"/>
              <w:rPr>
                <w:rFonts w:eastAsia="Times New Roman"/>
                <w:sz w:val="16"/>
                <w:szCs w:val="16"/>
              </w:rPr>
            </w:pPr>
          </w:p>
        </w:tc>
        <w:tc>
          <w:tcPr>
            <w:tcW w:w="1024" w:type="pct"/>
            <w:tcBorders>
              <w:top w:val="nil"/>
              <w:left w:val="nil"/>
              <w:bottom w:val="nil"/>
              <w:right w:val="nil"/>
            </w:tcBorders>
          </w:tcPr>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Borders>
              <w:top w:val="nil"/>
            </w:tcBorders>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55</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 xml:space="preserve">Retama monosperma </w:t>
            </w:r>
            <w:r w:rsidRPr="00FC16D3">
              <w:rPr>
                <w:rFonts w:eastAsia="Times New Roman"/>
                <w:sz w:val="16"/>
                <w:szCs w:val="16"/>
              </w:rPr>
              <w:t xml:space="preserve">and </w:t>
            </w:r>
            <w:r w:rsidRPr="00FC16D3">
              <w:rPr>
                <w:rFonts w:eastAsia="Times New Roman"/>
                <w:i/>
                <w:sz w:val="16"/>
                <w:szCs w:val="16"/>
              </w:rPr>
              <w:t>Retama raetam</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white weeping brooms</w:t>
            </w:r>
          </w:p>
          <w:p w:rsidR="00FC16D3" w:rsidRPr="00FC16D3" w:rsidRDefault="00FC16D3" w:rsidP="00FC16D3">
            <w:pPr>
              <w:spacing w:after="0" w:line="240" w:lineRule="auto"/>
              <w:jc w:val="left"/>
              <w:rPr>
                <w:rFonts w:eastAsia="Times New Roman"/>
                <w:b/>
                <w:sz w:val="24"/>
                <w:szCs w:val="24"/>
              </w:rPr>
            </w:pPr>
          </w:p>
        </w:tc>
        <w:tc>
          <w:tcPr>
            <w:tcW w:w="1219" w:type="pct"/>
            <w:tcBorders>
              <w:top w:val="nil"/>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tc>
        <w:tc>
          <w:tcPr>
            <w:tcW w:w="578" w:type="pct"/>
            <w:tcBorders>
              <w:top w:val="nil"/>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Borders>
              <w:top w:val="nil"/>
            </w:tcBorders>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Alinytjara Wilurara, Eyre Peninsula, Murraylands and Riverland, and Limestone Coast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3718"/>
        </w:trPr>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56</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i/>
                <w:sz w:val="16"/>
                <w:szCs w:val="16"/>
              </w:rPr>
              <w:t xml:space="preserve">Juncus acutus </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spiny rush</w:t>
            </w:r>
          </w:p>
          <w:p w:rsidR="00FC16D3" w:rsidRPr="00FC16D3" w:rsidRDefault="00FC16D3" w:rsidP="00FC16D3">
            <w:pPr>
              <w:spacing w:after="0" w:line="240" w:lineRule="auto"/>
              <w:ind w:left="720"/>
              <w:jc w:val="left"/>
              <w:rPr>
                <w:rFonts w:eastAsia="Times New Roman"/>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Salix nigra</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black willow</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i/>
                <w:sz w:val="16"/>
                <w:szCs w:val="16"/>
              </w:rPr>
              <w:t>Salix fragilis</w:t>
            </w:r>
            <w:r w:rsidRPr="00FC16D3">
              <w:rPr>
                <w:rFonts w:eastAsia="Times New Roman"/>
                <w:sz w:val="16"/>
                <w:szCs w:val="16"/>
              </w:rPr>
              <w:t xml:space="preserve"> and </w:t>
            </w:r>
            <w:r w:rsidRPr="00FC16D3">
              <w:rPr>
                <w:rFonts w:eastAsia="Times New Roman"/>
                <w:i/>
                <w:sz w:val="16"/>
                <w:szCs w:val="16"/>
              </w:rPr>
              <w:t>Salix rubens</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crack willow</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i/>
                <w:sz w:val="16"/>
                <w:szCs w:val="16"/>
              </w:rPr>
              <w:t xml:space="preserve">Salix calodendron, Salix caprea, Salix cinerea </w:t>
            </w:r>
            <w:r w:rsidRPr="00FC16D3">
              <w:rPr>
                <w:rFonts w:eastAsia="Times New Roman"/>
                <w:sz w:val="16"/>
                <w:szCs w:val="16"/>
              </w:rPr>
              <w:t xml:space="preserve">and </w:t>
            </w:r>
            <w:r w:rsidRPr="00FC16D3">
              <w:rPr>
                <w:rFonts w:eastAsia="Times New Roman"/>
                <w:i/>
                <w:sz w:val="16"/>
                <w:szCs w:val="16"/>
              </w:rPr>
              <w:t>Salix reichardtii</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goat willows</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sz w:val="16"/>
                <w:szCs w:val="16"/>
              </w:rPr>
              <w:t xml:space="preserve">all hybrids between </w:t>
            </w:r>
            <w:r w:rsidRPr="00FC16D3">
              <w:rPr>
                <w:rFonts w:eastAsia="Times New Roman"/>
                <w:i/>
                <w:sz w:val="16"/>
                <w:szCs w:val="16"/>
              </w:rPr>
              <w:t>Salix alba</w:t>
            </w:r>
            <w:r w:rsidRPr="00FC16D3">
              <w:rPr>
                <w:rFonts w:eastAsia="Times New Roman"/>
                <w:sz w:val="16"/>
                <w:szCs w:val="16"/>
              </w:rPr>
              <w:t xml:space="preserve"> and </w:t>
            </w:r>
            <w:r w:rsidRPr="00FC16D3">
              <w:rPr>
                <w:rFonts w:eastAsia="Times New Roman"/>
                <w:i/>
                <w:sz w:val="16"/>
                <w:szCs w:val="16"/>
              </w:rPr>
              <w:t>Salix matsudana</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matsudana hybrid willows</w:t>
            </w:r>
          </w:p>
          <w:p w:rsidR="00FC16D3" w:rsidRPr="00FC16D3" w:rsidRDefault="00FC16D3" w:rsidP="00FC16D3">
            <w:pPr>
              <w:spacing w:after="0" w:line="240" w:lineRule="auto"/>
              <w:jc w:val="left"/>
              <w:rPr>
                <w:rFonts w:eastAsia="Times New Roman"/>
                <w:b/>
                <w:sz w:val="24"/>
                <w:szCs w:val="24"/>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Green Adelaide, Hills and Fleurieu, Murraylands and Riverland, and Limestone Coast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57</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Zantedeschia aethiopica</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arum lily</w:t>
            </w:r>
          </w:p>
          <w:p w:rsidR="00FC16D3" w:rsidRPr="00FC16D3" w:rsidRDefault="00FC16D3" w:rsidP="00FC16D3">
            <w:pPr>
              <w:spacing w:after="0" w:line="240" w:lineRule="auto"/>
              <w:jc w:val="left"/>
              <w:rPr>
                <w:rFonts w:eastAsia="Times New Roman"/>
                <w:i/>
                <w:sz w:val="16"/>
                <w:szCs w:val="16"/>
              </w:rPr>
            </w:pPr>
            <w:r w:rsidRPr="00FC16D3">
              <w:rPr>
                <w:rFonts w:eastAsia="Times New Roman"/>
                <w:sz w:val="16"/>
                <w:szCs w:val="16"/>
              </w:rPr>
              <w:t>(excluding cut flowering stems, and arum lilies planted and maintained more than 100m from any wetland or watercourse for domestic or commercial purposes)</w:t>
            </w:r>
          </w:p>
          <w:p w:rsidR="00FC16D3" w:rsidRPr="00FC16D3" w:rsidRDefault="00FC16D3" w:rsidP="00FC16D3">
            <w:pPr>
              <w:spacing w:after="0" w:line="240" w:lineRule="auto"/>
              <w:jc w:val="left"/>
              <w:rPr>
                <w:rFonts w:eastAsia="Times New Roman"/>
                <w:b/>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p w:rsidR="00FC16D3" w:rsidRPr="00FC16D3" w:rsidRDefault="00FC16D3" w:rsidP="00FC16D3">
            <w:pPr>
              <w:spacing w:after="0" w:line="240" w:lineRule="auto"/>
              <w:jc w:val="left"/>
              <w:rPr>
                <w:rFonts w:eastAsia="Times New Roman"/>
                <w:sz w:val="16"/>
                <w:szCs w:val="16"/>
              </w:rPr>
            </w:pP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r w:rsidRPr="00FC16D3">
              <w:rPr>
                <w:rFonts w:eastAsia="Times New Roman"/>
                <w:sz w:val="16"/>
                <w:szCs w:val="16"/>
              </w:rPr>
              <w:t>The area of the Green Adelaide and Hills and Fleurieu Regions.</w:t>
            </w: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58</w:t>
            </w:r>
          </w:p>
          <w:p w:rsidR="00FC16D3" w:rsidRPr="00FC16D3" w:rsidRDefault="00FC16D3" w:rsidP="00FC16D3">
            <w:pPr>
              <w:spacing w:after="0" w:line="240" w:lineRule="auto"/>
              <w:jc w:val="left"/>
              <w:rPr>
                <w:rFonts w:eastAsia="Times New Roman"/>
                <w:b/>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Acer negundo</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box elder</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excluding the cultivar ‘Sensation’</w:t>
            </w:r>
          </w:p>
          <w:p w:rsidR="00FC16D3" w:rsidRPr="00FC16D3" w:rsidRDefault="00FC16D3" w:rsidP="00FC16D3">
            <w:pPr>
              <w:spacing w:after="0" w:line="240" w:lineRule="auto"/>
              <w:jc w:val="left"/>
              <w:rPr>
                <w:rFonts w:eastAsia="Times New Roman"/>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188(1)</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p w:rsidR="00FC16D3" w:rsidRPr="00FC16D3" w:rsidRDefault="00FC16D3" w:rsidP="00FC16D3">
            <w:pPr>
              <w:spacing w:after="0" w:line="240" w:lineRule="auto"/>
              <w:jc w:val="left"/>
              <w:rPr>
                <w:rFonts w:eastAsia="Times New Roman"/>
                <w:sz w:val="16"/>
                <w:szCs w:val="16"/>
              </w:rPr>
            </w:pP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Green Adelaide, Hills and Fleurieu and Murraylands and Riverland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59</w:t>
            </w:r>
          </w:p>
          <w:p w:rsidR="00FC16D3" w:rsidRPr="00FC16D3" w:rsidRDefault="00FC16D3" w:rsidP="00FC16D3">
            <w:pPr>
              <w:spacing w:after="0" w:line="240" w:lineRule="auto"/>
              <w:jc w:val="left"/>
              <w:rPr>
                <w:rFonts w:eastAsia="Times New Roman"/>
                <w:b/>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Fraxinus angustifolia</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desert ash</w:t>
            </w:r>
          </w:p>
          <w:p w:rsidR="00FC16D3" w:rsidRPr="00FC16D3" w:rsidRDefault="00FC16D3" w:rsidP="00FC16D3">
            <w:pPr>
              <w:spacing w:after="0" w:line="240" w:lineRule="auto"/>
              <w:jc w:val="left"/>
              <w:rPr>
                <w:rFonts w:eastAsia="Times New Roman"/>
                <w:b/>
                <w:sz w:val="24"/>
                <w:szCs w:val="24"/>
              </w:rPr>
            </w:pPr>
            <w:r w:rsidRPr="00FC16D3">
              <w:rPr>
                <w:rFonts w:eastAsia="Times New Roman"/>
                <w:sz w:val="16"/>
                <w:szCs w:val="16"/>
              </w:rPr>
              <w:t>excluding the cultivar 'Raywood'</w:t>
            </w: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188(1)</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p w:rsidR="00FC16D3" w:rsidRPr="00FC16D3" w:rsidRDefault="00FC16D3" w:rsidP="00FC16D3">
            <w:pPr>
              <w:spacing w:after="0" w:line="240" w:lineRule="auto"/>
              <w:jc w:val="left"/>
              <w:rPr>
                <w:rFonts w:eastAsia="Times New Roman"/>
                <w:sz w:val="16"/>
                <w:szCs w:val="16"/>
              </w:rPr>
            </w:pP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Green Adelaide, Hills and Fleurieu and Kangaroo Island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60</w:t>
            </w:r>
          </w:p>
          <w:p w:rsidR="00FC16D3" w:rsidRPr="00FC16D3" w:rsidRDefault="00FC16D3" w:rsidP="00FC16D3">
            <w:pPr>
              <w:spacing w:after="0" w:line="240" w:lineRule="auto"/>
              <w:jc w:val="left"/>
              <w:rPr>
                <w:rFonts w:eastAsia="Times New Roman"/>
                <w:b/>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Erica baccans</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berry heath</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(excluding cut flowering stems)</w:t>
            </w:r>
          </w:p>
          <w:p w:rsidR="00FC16D3" w:rsidRPr="00FC16D3" w:rsidRDefault="00FC16D3" w:rsidP="00FC16D3">
            <w:pPr>
              <w:spacing w:after="0" w:line="240" w:lineRule="auto"/>
              <w:jc w:val="left"/>
              <w:rPr>
                <w:rFonts w:eastAsia="Times New Roman"/>
                <w:b/>
                <w:sz w:val="24"/>
                <w:szCs w:val="24"/>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80" w:lineRule="exact"/>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p w:rsidR="00FC16D3" w:rsidRPr="00FC16D3" w:rsidRDefault="00FC16D3" w:rsidP="00FC16D3">
            <w:pPr>
              <w:spacing w:after="0" w:line="240" w:lineRule="auto"/>
              <w:jc w:val="left"/>
              <w:rPr>
                <w:rFonts w:eastAsia="Times New Roman"/>
                <w:sz w:val="16"/>
                <w:szCs w:val="16"/>
              </w:rPr>
            </w:pP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80" w:lineRule="exact"/>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r w:rsidRPr="00FC16D3">
              <w:rPr>
                <w:rFonts w:eastAsia="Times New Roman"/>
                <w:sz w:val="16"/>
                <w:szCs w:val="16"/>
              </w:rPr>
              <w:t>The area of the Green Adelaide, Hills and Fleurieu and Limestone Coast Regions.</w:t>
            </w: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61</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i/>
                <w:sz w:val="16"/>
                <w:szCs w:val="16"/>
              </w:rPr>
              <w:t xml:space="preserve">Gazania </w:t>
            </w:r>
            <w:r w:rsidRPr="00FC16D3">
              <w:rPr>
                <w:rFonts w:eastAsia="Times New Roman"/>
                <w:sz w:val="16"/>
                <w:szCs w:val="16"/>
              </w:rPr>
              <w:t>spp.</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gazania</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excluding the cultivars:</w:t>
            </w:r>
          </w:p>
          <w:p w:rsidR="00FC16D3" w:rsidRPr="00FC16D3" w:rsidRDefault="00FC16D3" w:rsidP="00FC16D3">
            <w:pPr>
              <w:spacing w:after="0" w:line="240" w:lineRule="auto"/>
              <w:ind w:left="720"/>
              <w:jc w:val="left"/>
              <w:rPr>
                <w:rFonts w:eastAsia="Times New Roman"/>
                <w:sz w:val="16"/>
                <w:szCs w:val="16"/>
              </w:rPr>
            </w:pPr>
            <w:r w:rsidRPr="00FC16D3">
              <w:rPr>
                <w:rFonts w:eastAsia="Times New Roman"/>
                <w:sz w:val="16"/>
                <w:szCs w:val="16"/>
              </w:rPr>
              <w:t>‘Sugaja’ (sold as Sunset Jane</w:t>
            </w:r>
            <w:r w:rsidRPr="00FC16D3">
              <w:rPr>
                <w:rFonts w:eastAsia="Times New Roman"/>
                <w:sz w:val="16"/>
                <w:szCs w:val="16"/>
                <w:vertAlign w:val="superscript"/>
              </w:rPr>
              <w:t>TM</w:t>
            </w:r>
            <w:r w:rsidRPr="00FC16D3">
              <w:rPr>
                <w:rFonts w:eastAsia="Times New Roman"/>
                <w:sz w:val="16"/>
                <w:szCs w:val="16"/>
              </w:rPr>
              <w:t>)</w:t>
            </w:r>
          </w:p>
          <w:p w:rsidR="00FC16D3" w:rsidRPr="00FC16D3" w:rsidRDefault="00FC16D3" w:rsidP="00FC16D3">
            <w:pPr>
              <w:spacing w:after="0" w:line="240" w:lineRule="auto"/>
              <w:ind w:left="720"/>
              <w:jc w:val="left"/>
              <w:rPr>
                <w:rFonts w:eastAsia="Times New Roman"/>
                <w:sz w:val="16"/>
                <w:szCs w:val="16"/>
              </w:rPr>
            </w:pPr>
            <w:r w:rsidRPr="00FC16D3">
              <w:rPr>
                <w:rFonts w:eastAsia="Times New Roman"/>
                <w:sz w:val="16"/>
                <w:szCs w:val="16"/>
              </w:rPr>
              <w:t>‘Sugamo’ (sold as Montezuma</w:t>
            </w:r>
            <w:r w:rsidRPr="00FC16D3">
              <w:rPr>
                <w:rFonts w:eastAsia="Times New Roman"/>
                <w:sz w:val="16"/>
                <w:szCs w:val="16"/>
                <w:vertAlign w:val="superscript"/>
              </w:rPr>
              <w:t>TM</w:t>
            </w:r>
            <w:r w:rsidRPr="00FC16D3">
              <w:rPr>
                <w:rFonts w:eastAsia="Times New Roman"/>
                <w:sz w:val="16"/>
                <w:szCs w:val="16"/>
              </w:rPr>
              <w:t>)</w:t>
            </w:r>
          </w:p>
          <w:p w:rsidR="00FC16D3" w:rsidRPr="00FC16D3" w:rsidRDefault="00FC16D3" w:rsidP="00FC16D3">
            <w:pPr>
              <w:spacing w:after="0" w:line="240" w:lineRule="auto"/>
              <w:ind w:left="720"/>
              <w:jc w:val="left"/>
              <w:rPr>
                <w:rFonts w:eastAsia="Times New Roman"/>
                <w:b/>
                <w:sz w:val="24"/>
                <w:szCs w:val="24"/>
              </w:rPr>
            </w:pPr>
            <w:r w:rsidRPr="00FC16D3">
              <w:rPr>
                <w:rFonts w:eastAsia="Times New Roman"/>
                <w:sz w:val="16"/>
                <w:szCs w:val="16"/>
              </w:rPr>
              <w:t>‘GT20’ (sold as Double Gold</w:t>
            </w:r>
            <w:r w:rsidRPr="00FC16D3">
              <w:rPr>
                <w:rFonts w:eastAsia="Times New Roman"/>
                <w:sz w:val="16"/>
                <w:szCs w:val="16"/>
                <w:vertAlign w:val="superscript"/>
              </w:rPr>
              <w:t>TM</w:t>
            </w:r>
            <w:r w:rsidRPr="00FC16D3">
              <w:rPr>
                <w:rFonts w:eastAsia="Times New Roman"/>
                <w:sz w:val="16"/>
                <w:szCs w:val="16"/>
              </w:rPr>
              <w:t>)</w:t>
            </w:r>
          </w:p>
          <w:p w:rsidR="00FC16D3" w:rsidRPr="00FC16D3" w:rsidRDefault="00FC16D3" w:rsidP="00FC16D3">
            <w:pPr>
              <w:spacing w:after="0" w:line="240" w:lineRule="auto"/>
              <w:jc w:val="left"/>
              <w:rPr>
                <w:rFonts w:eastAsia="Times New Roman"/>
                <w:b/>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 of the Green Adelaide, Hills and Fleurieu and Limestone Coast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62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Alisma lanceolatum</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alisma</w:t>
            </w:r>
          </w:p>
          <w:p w:rsidR="00FC16D3" w:rsidRPr="00FC16D3" w:rsidRDefault="00FC16D3" w:rsidP="00FC16D3">
            <w:pPr>
              <w:spacing w:after="0" w:line="240" w:lineRule="auto"/>
              <w:jc w:val="left"/>
              <w:rPr>
                <w:rFonts w:eastAsia="Times New Roman"/>
                <w:i/>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Myriophyllum aquaticum</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parrot feather</w:t>
            </w:r>
          </w:p>
          <w:p w:rsidR="00FC16D3" w:rsidRPr="00FC16D3" w:rsidRDefault="00FC16D3" w:rsidP="00FC16D3">
            <w:pPr>
              <w:spacing w:after="0" w:line="240" w:lineRule="auto"/>
              <w:jc w:val="left"/>
              <w:rPr>
                <w:rFonts w:eastAsia="Times New Roman"/>
                <w:b/>
                <w:sz w:val="24"/>
                <w:szCs w:val="24"/>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Green Adelaide, Hills and Fleurieu and Murraylands and Riverland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63</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Rhamnus alaternus</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Italian buckthorn</w:t>
            </w:r>
          </w:p>
          <w:p w:rsidR="00FC16D3" w:rsidRPr="00FC16D3" w:rsidRDefault="00FC16D3" w:rsidP="00FC16D3">
            <w:pPr>
              <w:spacing w:after="0" w:line="240" w:lineRule="auto"/>
              <w:jc w:val="left"/>
              <w:rPr>
                <w:rFonts w:eastAsia="Times New Roman"/>
                <w:b/>
                <w:sz w:val="24"/>
                <w:szCs w:val="24"/>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194</w:t>
            </w:r>
          </w:p>
          <w:p w:rsidR="00FC16D3" w:rsidRPr="00FC16D3" w:rsidRDefault="00FC16D3" w:rsidP="00FC16D3">
            <w:pPr>
              <w:spacing w:after="0" w:line="240" w:lineRule="auto"/>
              <w:jc w:val="left"/>
              <w:rPr>
                <w:rFonts w:eastAsia="Times New Roman"/>
                <w:sz w:val="16"/>
                <w:szCs w:val="16"/>
              </w:rPr>
            </w:pP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Eyre Peninsula, Green Adelaide, Hills and Fleurieu, Kangaroo Island, Murraylands and Riverland, and Limestone Coast Regions.</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line="240" w:lineRule="auto"/>
              <w:jc w:val="left"/>
              <w:rPr>
                <w:rFonts w:eastAsia="Times New Roman"/>
                <w:sz w:val="16"/>
                <w:szCs w:val="16"/>
              </w:rPr>
            </w:pPr>
            <w:r w:rsidRPr="00FC16D3">
              <w:rPr>
                <w:rFonts w:eastAsia="Times New Roman"/>
                <w:sz w:val="16"/>
                <w:szCs w:val="16"/>
              </w:rPr>
              <w:t>The area of the Limestone Coast Region.</w:t>
            </w: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64</w:t>
            </w:r>
          </w:p>
          <w:p w:rsidR="00FC16D3" w:rsidRPr="00FC16D3" w:rsidRDefault="00FC16D3" w:rsidP="00FC16D3">
            <w:pPr>
              <w:spacing w:after="0" w:line="240" w:lineRule="auto"/>
              <w:jc w:val="left"/>
              <w:rPr>
                <w:rFonts w:eastAsia="Times New Roman"/>
                <w:b/>
                <w:sz w:val="20"/>
                <w:szCs w:val="20"/>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 xml:space="preserve">Billardiera fusiformis </w:t>
            </w:r>
            <w:r w:rsidRPr="00FC16D3">
              <w:rPr>
                <w:rFonts w:eastAsia="Times New Roman"/>
                <w:sz w:val="16"/>
                <w:szCs w:val="16"/>
              </w:rPr>
              <w:t>and</w:t>
            </w:r>
            <w:r w:rsidRPr="00FC16D3">
              <w:rPr>
                <w:rFonts w:eastAsia="Times New Roman"/>
                <w:i/>
                <w:sz w:val="16"/>
                <w:szCs w:val="16"/>
              </w:rPr>
              <w:t xml:space="preserve"> Billardiera heterophylla</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bluebell creepers</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Pittosporum undulatum</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sweet pittosporum</w:t>
            </w: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 194</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areas of the Green Adelaide, Hills and Fleurieu, Kangaroo Island and Limestone Coast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65</w:t>
            </w:r>
          </w:p>
          <w:p w:rsidR="00FC16D3" w:rsidRPr="00FC16D3" w:rsidRDefault="00FC16D3" w:rsidP="00FC16D3">
            <w:pPr>
              <w:spacing w:after="0" w:line="240" w:lineRule="auto"/>
              <w:jc w:val="left"/>
              <w:rPr>
                <w:rFonts w:eastAsia="Times New Roman"/>
                <w:b/>
                <w:sz w:val="20"/>
                <w:szCs w:val="20"/>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Coprosma repens</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mirror bush</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(excluding any named cultivars)</w:t>
            </w:r>
          </w:p>
          <w:p w:rsidR="00FC16D3" w:rsidRPr="00FC16D3" w:rsidRDefault="00FC16D3" w:rsidP="00FC16D3">
            <w:pPr>
              <w:spacing w:after="0" w:line="240" w:lineRule="auto"/>
              <w:jc w:val="left"/>
              <w:rPr>
                <w:rFonts w:eastAsia="Times New Roman"/>
                <w:b/>
                <w:sz w:val="24"/>
                <w:szCs w:val="24"/>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188(1)</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192(2)</w:t>
            </w:r>
          </w:p>
          <w:p w:rsidR="00FC16D3" w:rsidRPr="00FC16D3" w:rsidRDefault="00FC16D3" w:rsidP="00FC16D3">
            <w:pPr>
              <w:spacing w:after="0" w:line="240" w:lineRule="auto"/>
              <w:jc w:val="left"/>
              <w:rPr>
                <w:rFonts w:eastAsia="Times New Roman"/>
                <w:sz w:val="16"/>
                <w:szCs w:val="16"/>
              </w:rPr>
            </w:pP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 of Green Adelaide and Hills and Fleurieu Regions.</w:t>
            </w:r>
          </w:p>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66</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i/>
                <w:iCs/>
                <w:sz w:val="16"/>
                <w:szCs w:val="16"/>
              </w:rPr>
            </w:pPr>
            <w:r w:rsidRPr="00FC16D3">
              <w:rPr>
                <w:rFonts w:eastAsia="Times New Roman"/>
                <w:i/>
                <w:iCs/>
                <w:sz w:val="16"/>
                <w:szCs w:val="16"/>
              </w:rPr>
              <w:t>Bifora testiculata</w:t>
            </w:r>
          </w:p>
          <w:p w:rsidR="00FC16D3" w:rsidRPr="00FC16D3" w:rsidRDefault="00FC16D3" w:rsidP="00FC16D3">
            <w:pPr>
              <w:spacing w:after="0" w:line="240" w:lineRule="auto"/>
              <w:jc w:val="left"/>
              <w:rPr>
                <w:rFonts w:eastAsia="Times New Roman"/>
                <w:b/>
                <w:sz w:val="16"/>
                <w:szCs w:val="16"/>
              </w:rPr>
            </w:pPr>
            <w:r w:rsidRPr="00FC16D3">
              <w:rPr>
                <w:rFonts w:eastAsia="Times New Roman"/>
                <w:sz w:val="16"/>
                <w:szCs w:val="16"/>
              </w:rPr>
              <w:t>bifora</w:t>
            </w:r>
          </w:p>
          <w:p w:rsidR="00FC16D3" w:rsidRPr="00FC16D3" w:rsidRDefault="00FC16D3" w:rsidP="00FC16D3">
            <w:pPr>
              <w:spacing w:after="0" w:line="240" w:lineRule="auto"/>
              <w:jc w:val="left"/>
              <w:rPr>
                <w:rFonts w:eastAsia="Times New Roman"/>
                <w:bCs/>
                <w:sz w:val="16"/>
                <w:szCs w:val="16"/>
              </w:rPr>
            </w:pPr>
          </w:p>
          <w:p w:rsidR="00FC16D3" w:rsidRPr="00FC16D3" w:rsidRDefault="00FC16D3" w:rsidP="00FC16D3">
            <w:pPr>
              <w:spacing w:after="0" w:line="240" w:lineRule="auto"/>
              <w:jc w:val="left"/>
              <w:rPr>
                <w:rFonts w:eastAsia="Times New Roman"/>
                <w:bCs/>
                <w:i/>
                <w:sz w:val="16"/>
                <w:szCs w:val="16"/>
              </w:rPr>
            </w:pPr>
            <w:r w:rsidRPr="00FC16D3">
              <w:rPr>
                <w:rFonts w:eastAsia="Times New Roman"/>
                <w:bCs/>
                <w:i/>
                <w:sz w:val="16"/>
                <w:szCs w:val="16"/>
              </w:rPr>
              <w:t>Galium tricornutum</w:t>
            </w:r>
          </w:p>
          <w:p w:rsidR="00FC16D3" w:rsidRPr="00FC16D3" w:rsidRDefault="00FC16D3" w:rsidP="00FC16D3">
            <w:pPr>
              <w:spacing w:after="0" w:line="240" w:lineRule="auto"/>
              <w:jc w:val="left"/>
              <w:rPr>
                <w:rFonts w:eastAsia="Times New Roman"/>
                <w:bCs/>
                <w:sz w:val="16"/>
                <w:szCs w:val="16"/>
              </w:rPr>
            </w:pPr>
            <w:r w:rsidRPr="00FC16D3">
              <w:rPr>
                <w:rFonts w:eastAsia="Times New Roman"/>
                <w:bCs/>
                <w:sz w:val="16"/>
                <w:szCs w:val="16"/>
              </w:rPr>
              <w:t>three-horned bedstraw</w:t>
            </w:r>
          </w:p>
          <w:p w:rsidR="00FC16D3" w:rsidRPr="00FC16D3" w:rsidRDefault="00FC16D3" w:rsidP="00FC16D3">
            <w:pPr>
              <w:spacing w:after="0" w:line="240" w:lineRule="auto"/>
              <w:jc w:val="left"/>
              <w:rPr>
                <w:rFonts w:eastAsia="Times New Roman"/>
                <w:b/>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190(1)</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area of the Eyre Peninsula Region.</w:t>
            </w:r>
          </w:p>
          <w:p w:rsidR="00FC16D3" w:rsidRPr="00FC16D3" w:rsidRDefault="00FC16D3" w:rsidP="00FC16D3">
            <w:pPr>
              <w:spacing w:after="0" w:line="240" w:lineRule="auto"/>
              <w:jc w:val="left"/>
              <w:rPr>
                <w:rFonts w:eastAsia="Times New Roman"/>
                <w:sz w:val="16"/>
                <w:szCs w:val="16"/>
              </w:rPr>
            </w:pPr>
          </w:p>
        </w:tc>
      </w:tr>
      <w:tr w:rsidR="00FC16D3" w:rsidRPr="00FC16D3" w:rsidTr="00805B8E">
        <w:trPr>
          <w:trHeight w:val="1038"/>
        </w:trPr>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67</w:t>
            </w:r>
          </w:p>
          <w:p w:rsidR="00FC16D3" w:rsidRPr="00FC16D3" w:rsidRDefault="00FC16D3" w:rsidP="00FC16D3">
            <w:pPr>
              <w:spacing w:after="0" w:line="240" w:lineRule="auto"/>
              <w:jc w:val="left"/>
              <w:rPr>
                <w:rFonts w:eastAsia="Times New Roman"/>
                <w:b/>
                <w:sz w:val="24"/>
                <w:szCs w:val="24"/>
              </w:rPr>
            </w:pPr>
          </w:p>
          <w:p w:rsidR="00FC16D3" w:rsidRPr="00FC16D3" w:rsidRDefault="00FC16D3" w:rsidP="00FC16D3">
            <w:pPr>
              <w:spacing w:after="0" w:line="240" w:lineRule="auto"/>
              <w:jc w:val="left"/>
              <w:rPr>
                <w:rFonts w:eastAsia="Times New Roman"/>
                <w:i/>
                <w:sz w:val="16"/>
                <w:szCs w:val="16"/>
              </w:rPr>
            </w:pPr>
            <w:r w:rsidRPr="00FC16D3">
              <w:rPr>
                <w:rFonts w:eastAsia="Times New Roman"/>
                <w:i/>
                <w:sz w:val="16"/>
                <w:szCs w:val="16"/>
              </w:rPr>
              <w:t>Arundo donax</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giant reed</w:t>
            </w:r>
          </w:p>
          <w:p w:rsidR="00FC16D3" w:rsidRPr="00FC16D3" w:rsidRDefault="00FC16D3" w:rsidP="00FC16D3">
            <w:pPr>
              <w:spacing w:after="0" w:line="240" w:lineRule="auto"/>
              <w:jc w:val="left"/>
              <w:rPr>
                <w:rFonts w:eastAsia="Times New Roman"/>
                <w:b/>
                <w:sz w:val="24"/>
                <w:szCs w:val="24"/>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186(2), 188(1), 191(3)</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2</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68</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E16C3">
            <w:pPr>
              <w:tabs>
                <w:tab w:val="left" w:pos="-1440"/>
                <w:tab w:val="left" w:pos="-720"/>
                <w:tab w:val="left" w:pos="0"/>
                <w:tab w:val="left" w:pos="252"/>
                <w:tab w:val="left" w:pos="720"/>
                <w:tab w:val="left" w:pos="3756"/>
                <w:tab w:val="left" w:pos="7140"/>
                <w:tab w:val="left" w:pos="8640"/>
              </w:tabs>
              <w:suppressAutoHyphens/>
              <w:spacing w:after="0" w:line="240" w:lineRule="auto"/>
              <w:rPr>
                <w:rFonts w:eastAsia="Times New Roman"/>
                <w:i/>
                <w:spacing w:val="-1"/>
                <w:sz w:val="16"/>
                <w:szCs w:val="16"/>
                <w:lang w:val="en-US"/>
              </w:rPr>
            </w:pPr>
            <w:r w:rsidRPr="00FE16C3">
              <w:rPr>
                <w:rFonts w:eastAsia="Times New Roman"/>
                <w:i/>
                <w:sz w:val="16"/>
                <w:szCs w:val="16"/>
              </w:rPr>
              <w:t>Andropogon gayanus</w:t>
            </w:r>
          </w:p>
          <w:p w:rsidR="00FC16D3" w:rsidRPr="00980C8F" w:rsidRDefault="00FC16D3" w:rsidP="00980C8F">
            <w:pPr>
              <w:spacing w:after="0" w:line="240" w:lineRule="auto"/>
              <w:jc w:val="left"/>
              <w:rPr>
                <w:rFonts w:eastAsia="Times New Roman"/>
                <w:spacing w:val="-2"/>
                <w:sz w:val="16"/>
                <w:szCs w:val="16"/>
              </w:rPr>
            </w:pPr>
            <w:r w:rsidRPr="00980C8F">
              <w:rPr>
                <w:rFonts w:eastAsia="Times New Roman"/>
                <w:spacing w:val="-2"/>
                <w:sz w:val="16"/>
                <w:szCs w:val="16"/>
              </w:rPr>
              <w:t>gamba grass</w:t>
            </w:r>
          </w:p>
          <w:p w:rsidR="00FC16D3" w:rsidRPr="00980C8F" w:rsidRDefault="00FC16D3" w:rsidP="00980C8F">
            <w:pPr>
              <w:spacing w:after="0" w:line="240" w:lineRule="auto"/>
              <w:jc w:val="left"/>
              <w:rPr>
                <w:rFonts w:eastAsia="Times New Roman"/>
                <w:spacing w:val="-2"/>
                <w:sz w:val="16"/>
                <w:szCs w:val="16"/>
              </w:rPr>
            </w:pPr>
          </w:p>
          <w:p w:rsidR="00FC16D3" w:rsidRPr="00A601C1" w:rsidRDefault="00FC16D3" w:rsidP="00A601C1">
            <w:pPr>
              <w:tabs>
                <w:tab w:val="left" w:pos="-1440"/>
                <w:tab w:val="left" w:pos="-720"/>
                <w:tab w:val="left" w:pos="0"/>
                <w:tab w:val="left" w:pos="252"/>
                <w:tab w:val="left" w:pos="720"/>
                <w:tab w:val="left" w:pos="3756"/>
                <w:tab w:val="left" w:pos="7140"/>
                <w:tab w:val="left" w:pos="8640"/>
              </w:tabs>
              <w:suppressAutoHyphens/>
              <w:spacing w:after="0" w:line="240" w:lineRule="auto"/>
              <w:rPr>
                <w:rFonts w:eastAsia="Times New Roman"/>
                <w:i/>
                <w:sz w:val="16"/>
                <w:szCs w:val="16"/>
              </w:rPr>
            </w:pPr>
            <w:r w:rsidRPr="00A601C1">
              <w:rPr>
                <w:rFonts w:eastAsia="Times New Roman"/>
                <w:i/>
                <w:sz w:val="16"/>
                <w:szCs w:val="16"/>
              </w:rPr>
              <w:t>Annona glabra</w:t>
            </w:r>
          </w:p>
          <w:p w:rsidR="00FC16D3" w:rsidRPr="00FC16D3" w:rsidRDefault="00FC16D3" w:rsidP="00FC16D3">
            <w:pPr>
              <w:spacing w:after="0" w:line="240" w:lineRule="auto"/>
              <w:jc w:val="left"/>
              <w:rPr>
                <w:rFonts w:eastAsia="Times New Roman"/>
                <w:spacing w:val="-2"/>
                <w:sz w:val="16"/>
                <w:szCs w:val="16"/>
              </w:rPr>
            </w:pPr>
            <w:r w:rsidRPr="00FC16D3">
              <w:rPr>
                <w:rFonts w:eastAsia="Times New Roman"/>
                <w:spacing w:val="-2"/>
                <w:sz w:val="16"/>
                <w:szCs w:val="16"/>
              </w:rPr>
              <w:t>pond apple</w:t>
            </w:r>
          </w:p>
          <w:p w:rsidR="00FC16D3" w:rsidRPr="00FC16D3" w:rsidRDefault="00FC16D3" w:rsidP="00FC16D3">
            <w:pPr>
              <w:spacing w:after="0" w:line="240" w:lineRule="auto"/>
              <w:jc w:val="left"/>
              <w:rPr>
                <w:rFonts w:eastAsia="Times New Roman"/>
                <w:spacing w:val="-2"/>
                <w:sz w:val="16"/>
                <w:szCs w:val="16"/>
              </w:rPr>
            </w:pP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rPr>
                <w:rFonts w:eastAsia="Times New Roman"/>
                <w:i/>
                <w:sz w:val="16"/>
                <w:szCs w:val="16"/>
              </w:rPr>
            </w:pPr>
            <w:r w:rsidRPr="00FC16D3">
              <w:rPr>
                <w:rFonts w:eastAsia="Times New Roman"/>
                <w:i/>
                <w:sz w:val="16"/>
                <w:szCs w:val="16"/>
              </w:rPr>
              <w:t>Cryptostegia grandiflora</w:t>
            </w: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rPr>
                <w:rFonts w:eastAsia="Times New Roman"/>
                <w:spacing w:val="-2"/>
                <w:sz w:val="16"/>
                <w:szCs w:val="16"/>
              </w:rPr>
            </w:pPr>
            <w:r w:rsidRPr="00FC16D3">
              <w:rPr>
                <w:rFonts w:eastAsia="Times New Roman"/>
                <w:spacing w:val="-2"/>
                <w:sz w:val="16"/>
                <w:szCs w:val="16"/>
              </w:rPr>
              <w:t>rubber vine</w:t>
            </w:r>
          </w:p>
          <w:p w:rsidR="00FC16D3" w:rsidRPr="00FC16D3" w:rsidRDefault="00FC16D3" w:rsidP="00FC16D3">
            <w:pPr>
              <w:spacing w:after="0" w:line="240" w:lineRule="auto"/>
              <w:jc w:val="left"/>
              <w:rPr>
                <w:rFonts w:eastAsia="Times New Roman"/>
                <w:spacing w:val="-2"/>
                <w:sz w:val="16"/>
                <w:szCs w:val="16"/>
              </w:rPr>
            </w:pPr>
          </w:p>
          <w:p w:rsidR="00FC16D3" w:rsidRPr="00AD7704" w:rsidRDefault="00FC16D3" w:rsidP="00AD7704">
            <w:pPr>
              <w:spacing w:after="0" w:line="240" w:lineRule="auto"/>
              <w:jc w:val="left"/>
              <w:rPr>
                <w:rFonts w:eastAsia="Times New Roman"/>
                <w:i/>
                <w:spacing w:val="-2"/>
                <w:sz w:val="16"/>
                <w:szCs w:val="16"/>
              </w:rPr>
            </w:pPr>
            <w:r w:rsidRPr="00AD7704">
              <w:rPr>
                <w:rFonts w:eastAsia="Times New Roman"/>
                <w:i/>
                <w:spacing w:val="-2"/>
                <w:sz w:val="16"/>
                <w:szCs w:val="16"/>
              </w:rPr>
              <w:t xml:space="preserve">Hymenachne amplexicaulis </w:t>
            </w:r>
            <w:r w:rsidRPr="00AD7704">
              <w:rPr>
                <w:rFonts w:eastAsia="Times New Roman"/>
                <w:spacing w:val="-2"/>
                <w:sz w:val="16"/>
                <w:szCs w:val="16"/>
              </w:rPr>
              <w:t>and</w:t>
            </w:r>
            <w:r w:rsidRPr="00AD7704">
              <w:rPr>
                <w:rFonts w:eastAsia="Times New Roman"/>
                <w:i/>
                <w:spacing w:val="-2"/>
                <w:sz w:val="16"/>
                <w:szCs w:val="16"/>
              </w:rPr>
              <w:t xml:space="preserve"> Hymenachne calamitosa</w:t>
            </w:r>
          </w:p>
          <w:p w:rsidR="00FC16D3" w:rsidRPr="00FC16D3" w:rsidRDefault="00FC16D3" w:rsidP="00FC16D3">
            <w:pPr>
              <w:spacing w:after="0" w:line="240" w:lineRule="auto"/>
              <w:jc w:val="left"/>
              <w:rPr>
                <w:rFonts w:eastAsia="Times New Roman"/>
                <w:spacing w:val="-2"/>
                <w:sz w:val="16"/>
                <w:szCs w:val="16"/>
              </w:rPr>
            </w:pPr>
            <w:r w:rsidRPr="00FC16D3">
              <w:rPr>
                <w:rFonts w:eastAsia="Times New Roman"/>
                <w:spacing w:val="-2"/>
                <w:sz w:val="16"/>
                <w:szCs w:val="16"/>
              </w:rPr>
              <w:t>hymenachne</w:t>
            </w:r>
          </w:p>
          <w:p w:rsidR="00FC16D3" w:rsidRPr="00FC16D3" w:rsidRDefault="00FC16D3" w:rsidP="00FC16D3">
            <w:pPr>
              <w:spacing w:after="0" w:line="240" w:lineRule="auto"/>
              <w:jc w:val="left"/>
              <w:rPr>
                <w:rFonts w:eastAsia="Times New Roman"/>
                <w:spacing w:val="-2"/>
                <w:sz w:val="16"/>
                <w:szCs w:val="16"/>
              </w:rPr>
            </w:pPr>
          </w:p>
          <w:p w:rsidR="00FC16D3" w:rsidRPr="00FC16D3" w:rsidRDefault="00FC16D3" w:rsidP="00FC16D3">
            <w:pPr>
              <w:spacing w:after="0" w:line="240" w:lineRule="auto"/>
              <w:jc w:val="left"/>
              <w:rPr>
                <w:rFonts w:eastAsia="Times New Roman"/>
                <w:i/>
                <w:spacing w:val="-2"/>
                <w:sz w:val="16"/>
                <w:szCs w:val="16"/>
              </w:rPr>
            </w:pPr>
            <w:r w:rsidRPr="00FC16D3">
              <w:rPr>
                <w:rFonts w:eastAsia="Times New Roman"/>
                <w:i/>
                <w:spacing w:val="-2"/>
                <w:sz w:val="16"/>
                <w:szCs w:val="16"/>
              </w:rPr>
              <w:t>Jatropha gossypiifolia</w:t>
            </w:r>
          </w:p>
          <w:p w:rsidR="00FC16D3" w:rsidRPr="00FC16D3" w:rsidRDefault="00FC16D3" w:rsidP="00FC16D3">
            <w:pPr>
              <w:spacing w:after="0" w:line="240" w:lineRule="auto"/>
              <w:jc w:val="left"/>
              <w:rPr>
                <w:rFonts w:eastAsia="Times New Roman"/>
                <w:spacing w:val="-2"/>
                <w:sz w:val="16"/>
                <w:szCs w:val="16"/>
              </w:rPr>
            </w:pPr>
            <w:r w:rsidRPr="00FC16D3">
              <w:rPr>
                <w:rFonts w:eastAsia="Times New Roman"/>
                <w:spacing w:val="-2"/>
                <w:sz w:val="16"/>
                <w:szCs w:val="16"/>
              </w:rPr>
              <w:t>bellyache bush</w:t>
            </w:r>
          </w:p>
          <w:p w:rsidR="00FC16D3" w:rsidRPr="00FC16D3" w:rsidRDefault="00FC16D3" w:rsidP="00FC16D3">
            <w:pPr>
              <w:spacing w:after="0" w:line="240" w:lineRule="auto"/>
              <w:jc w:val="left"/>
              <w:rPr>
                <w:rFonts w:eastAsia="Times New Roman"/>
                <w:spacing w:val="-2"/>
                <w:sz w:val="16"/>
                <w:szCs w:val="16"/>
              </w:rPr>
            </w:pPr>
          </w:p>
          <w:p w:rsidR="00FC16D3" w:rsidRPr="007E6186" w:rsidRDefault="00FC16D3" w:rsidP="007E6186">
            <w:pPr>
              <w:spacing w:after="0" w:line="240" w:lineRule="auto"/>
              <w:jc w:val="left"/>
              <w:rPr>
                <w:rFonts w:eastAsia="Times New Roman"/>
                <w:i/>
                <w:iCs/>
                <w:sz w:val="16"/>
                <w:szCs w:val="16"/>
              </w:rPr>
            </w:pPr>
            <w:r w:rsidRPr="007E6186">
              <w:rPr>
                <w:rFonts w:eastAsia="Times New Roman"/>
                <w:i/>
                <w:iCs/>
                <w:sz w:val="16"/>
                <w:szCs w:val="16"/>
              </w:rPr>
              <w:t>Lantana camara</w:t>
            </w:r>
          </w:p>
          <w:p w:rsidR="00FC16D3" w:rsidRPr="00FC16D3" w:rsidRDefault="00FC16D3" w:rsidP="00FC16D3">
            <w:pPr>
              <w:spacing w:after="0" w:line="240" w:lineRule="auto"/>
              <w:jc w:val="left"/>
              <w:rPr>
                <w:rFonts w:eastAsia="Times New Roman"/>
                <w:spacing w:val="-2"/>
                <w:sz w:val="16"/>
                <w:szCs w:val="16"/>
              </w:rPr>
            </w:pPr>
            <w:r w:rsidRPr="00FC16D3">
              <w:rPr>
                <w:rFonts w:eastAsia="Times New Roman"/>
                <w:spacing w:val="-2"/>
                <w:sz w:val="16"/>
                <w:szCs w:val="16"/>
              </w:rPr>
              <w:t>common lantana</w:t>
            </w:r>
          </w:p>
          <w:p w:rsidR="00FC16D3" w:rsidRPr="00FC16D3" w:rsidRDefault="00FC16D3" w:rsidP="00FC16D3">
            <w:pPr>
              <w:spacing w:after="0" w:line="240" w:lineRule="auto"/>
              <w:jc w:val="left"/>
              <w:rPr>
                <w:rFonts w:eastAsia="Times New Roman"/>
                <w:spacing w:val="-2"/>
                <w:sz w:val="16"/>
                <w:szCs w:val="16"/>
              </w:rPr>
            </w:pPr>
          </w:p>
          <w:p w:rsidR="00FC16D3" w:rsidRPr="00FC16D3" w:rsidRDefault="00FC16D3" w:rsidP="00FC16D3">
            <w:pPr>
              <w:spacing w:after="0" w:line="240" w:lineRule="auto"/>
              <w:jc w:val="left"/>
              <w:rPr>
                <w:rFonts w:eastAsia="Times New Roman"/>
                <w:i/>
                <w:iCs/>
                <w:sz w:val="16"/>
                <w:szCs w:val="16"/>
              </w:rPr>
            </w:pPr>
            <w:r w:rsidRPr="00FC16D3">
              <w:rPr>
                <w:rFonts w:eastAsia="Times New Roman"/>
                <w:i/>
                <w:iCs/>
                <w:sz w:val="16"/>
                <w:szCs w:val="16"/>
              </w:rPr>
              <w:t>Matthiola longipetala</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nightstock</w:t>
            </w:r>
          </w:p>
          <w:p w:rsidR="00FC16D3" w:rsidRPr="00FC16D3" w:rsidRDefault="00FC16D3" w:rsidP="00FC16D3">
            <w:pPr>
              <w:tabs>
                <w:tab w:val="left" w:pos="-1440"/>
                <w:tab w:val="left" w:pos="-720"/>
                <w:tab w:val="left" w:pos="0"/>
                <w:tab w:val="left" w:pos="283"/>
                <w:tab w:val="left" w:pos="566"/>
                <w:tab w:val="left" w:pos="849"/>
                <w:tab w:val="left" w:pos="1132"/>
                <w:tab w:val="left" w:pos="1416"/>
                <w:tab w:val="left" w:pos="1699"/>
                <w:tab w:val="left" w:pos="1982"/>
                <w:tab w:val="left" w:pos="2265"/>
              </w:tabs>
              <w:suppressAutoHyphens/>
              <w:spacing w:after="0" w:line="240" w:lineRule="auto"/>
              <w:jc w:val="left"/>
              <w:rPr>
                <w:rFonts w:eastAsia="Times New Roman"/>
                <w:spacing w:val="-2"/>
                <w:sz w:val="16"/>
                <w:szCs w:val="16"/>
              </w:rPr>
            </w:pP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rPr>
                <w:rFonts w:eastAsia="Times New Roman"/>
                <w:spacing w:val="-2"/>
                <w:sz w:val="16"/>
                <w:szCs w:val="16"/>
              </w:rPr>
            </w:pPr>
            <w:r w:rsidRPr="00FC16D3">
              <w:rPr>
                <w:rFonts w:eastAsia="Times New Roman"/>
                <w:i/>
                <w:iCs/>
                <w:spacing w:val="-2"/>
                <w:sz w:val="16"/>
                <w:szCs w:val="16"/>
              </w:rPr>
              <w:t>Miconia</w:t>
            </w:r>
            <w:r w:rsidRPr="00FC16D3">
              <w:rPr>
                <w:rFonts w:eastAsia="Times New Roman"/>
                <w:spacing w:val="-2"/>
                <w:sz w:val="16"/>
                <w:szCs w:val="16"/>
              </w:rPr>
              <w:t xml:space="preserve"> spp.</w:t>
            </w: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rPr>
                <w:rFonts w:eastAsia="Times New Roman"/>
                <w:spacing w:val="-2"/>
                <w:sz w:val="16"/>
                <w:szCs w:val="16"/>
              </w:rPr>
            </w:pPr>
            <w:r w:rsidRPr="00FC16D3">
              <w:rPr>
                <w:rFonts w:eastAsia="Times New Roman"/>
                <w:spacing w:val="-2"/>
                <w:sz w:val="16"/>
                <w:szCs w:val="16"/>
              </w:rPr>
              <w:t>miconia</w:t>
            </w: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rPr>
                <w:rFonts w:eastAsia="Times New Roman"/>
                <w:spacing w:val="-2"/>
                <w:sz w:val="16"/>
                <w:szCs w:val="16"/>
              </w:rPr>
            </w:pPr>
          </w:p>
          <w:p w:rsidR="00FC16D3" w:rsidRPr="00795BE6" w:rsidRDefault="00FC16D3" w:rsidP="00795BE6">
            <w:pPr>
              <w:tabs>
                <w:tab w:val="left" w:pos="-1440"/>
                <w:tab w:val="left" w:pos="-720"/>
                <w:tab w:val="left" w:pos="0"/>
                <w:tab w:val="left" w:pos="252"/>
                <w:tab w:val="left" w:pos="720"/>
                <w:tab w:val="left" w:pos="3756"/>
                <w:tab w:val="left" w:pos="7140"/>
                <w:tab w:val="left" w:pos="8640"/>
              </w:tabs>
              <w:suppressAutoHyphens/>
              <w:spacing w:after="0" w:line="240" w:lineRule="auto"/>
              <w:rPr>
                <w:rFonts w:eastAsia="Times New Roman"/>
                <w:i/>
                <w:iCs/>
                <w:spacing w:val="-2"/>
                <w:sz w:val="16"/>
                <w:szCs w:val="16"/>
              </w:rPr>
            </w:pPr>
            <w:r w:rsidRPr="00795BE6">
              <w:rPr>
                <w:rFonts w:eastAsia="Times New Roman"/>
                <w:i/>
                <w:iCs/>
                <w:spacing w:val="-2"/>
                <w:sz w:val="16"/>
                <w:szCs w:val="16"/>
              </w:rPr>
              <w:t>Mimosa pigra</w:t>
            </w: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rPr>
                <w:rFonts w:eastAsia="Times New Roman"/>
                <w:spacing w:val="-2"/>
                <w:sz w:val="16"/>
                <w:szCs w:val="16"/>
              </w:rPr>
            </w:pPr>
            <w:r w:rsidRPr="00FC16D3">
              <w:rPr>
                <w:rFonts w:eastAsia="Times New Roman"/>
                <w:spacing w:val="-2"/>
                <w:sz w:val="16"/>
                <w:szCs w:val="16"/>
              </w:rPr>
              <w:t>mimosa</w:t>
            </w: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rPr>
                <w:rFonts w:eastAsia="Times New Roman"/>
                <w:spacing w:val="-2"/>
                <w:sz w:val="16"/>
                <w:szCs w:val="16"/>
              </w:rPr>
            </w:pP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rPr>
                <w:rFonts w:eastAsia="Times New Roman"/>
                <w:i/>
                <w:iCs/>
                <w:spacing w:val="-2"/>
                <w:sz w:val="16"/>
                <w:szCs w:val="16"/>
              </w:rPr>
            </w:pPr>
            <w:r w:rsidRPr="00FC16D3">
              <w:rPr>
                <w:rFonts w:eastAsia="Times New Roman"/>
                <w:i/>
                <w:iCs/>
                <w:spacing w:val="-2"/>
                <w:sz w:val="16"/>
                <w:szCs w:val="16"/>
              </w:rPr>
              <w:t>Myagrum perfoliatum</w:t>
            </w: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rPr>
                <w:rFonts w:eastAsia="Times New Roman"/>
                <w:i/>
                <w:iCs/>
                <w:spacing w:val="-2"/>
                <w:sz w:val="16"/>
                <w:szCs w:val="16"/>
              </w:rPr>
            </w:pPr>
            <w:r w:rsidRPr="00FC16D3">
              <w:rPr>
                <w:rFonts w:eastAsia="Times New Roman"/>
                <w:spacing w:val="-2"/>
                <w:sz w:val="16"/>
                <w:szCs w:val="16"/>
              </w:rPr>
              <w:t>muskweed</w:t>
            </w: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rPr>
                <w:rFonts w:eastAsia="Times New Roman"/>
                <w:i/>
                <w:iCs/>
                <w:spacing w:val="-2"/>
                <w:sz w:val="16"/>
                <w:szCs w:val="16"/>
              </w:rPr>
            </w:pPr>
          </w:p>
          <w:p w:rsidR="00FC16D3" w:rsidRPr="00FC16D3" w:rsidRDefault="00FC16D3" w:rsidP="00FC16D3">
            <w:pPr>
              <w:tabs>
                <w:tab w:val="left" w:pos="-1440"/>
                <w:tab w:val="left" w:pos="-720"/>
                <w:tab w:val="left" w:pos="0"/>
                <w:tab w:val="left" w:pos="252"/>
                <w:tab w:val="left" w:pos="720"/>
                <w:tab w:val="left" w:pos="3756"/>
                <w:tab w:val="left" w:pos="7140"/>
                <w:tab w:val="left" w:pos="8640"/>
              </w:tabs>
              <w:suppressAutoHyphens/>
              <w:spacing w:after="0" w:line="240" w:lineRule="auto"/>
              <w:jc w:val="left"/>
              <w:rPr>
                <w:rFonts w:eastAsia="Times New Roman"/>
                <w:i/>
                <w:iCs/>
                <w:spacing w:val="-2"/>
                <w:sz w:val="16"/>
                <w:szCs w:val="16"/>
              </w:rPr>
            </w:pPr>
            <w:r w:rsidRPr="00FC16D3">
              <w:rPr>
                <w:rFonts w:eastAsia="Times New Roman"/>
                <w:i/>
                <w:iCs/>
                <w:spacing w:val="-2"/>
                <w:sz w:val="16"/>
                <w:szCs w:val="16"/>
              </w:rPr>
              <w:t xml:space="preserve">Striga </w:t>
            </w:r>
            <w:r w:rsidRPr="00FC16D3">
              <w:rPr>
                <w:rFonts w:eastAsia="Times New Roman"/>
                <w:spacing w:val="-2"/>
                <w:sz w:val="16"/>
                <w:szCs w:val="16"/>
              </w:rPr>
              <w:t xml:space="preserve">spp., excluding </w:t>
            </w:r>
            <w:r w:rsidRPr="00FC16D3">
              <w:rPr>
                <w:rFonts w:eastAsia="Times New Roman"/>
                <w:i/>
                <w:iCs/>
                <w:spacing w:val="-2"/>
                <w:sz w:val="16"/>
                <w:szCs w:val="16"/>
              </w:rPr>
              <w:t>Striga curviflora, Striga multiflora</w:t>
            </w:r>
            <w:r w:rsidRPr="00FC16D3">
              <w:rPr>
                <w:rFonts w:eastAsia="Times New Roman"/>
                <w:spacing w:val="-2"/>
                <w:sz w:val="16"/>
                <w:szCs w:val="16"/>
              </w:rPr>
              <w:t xml:space="preserve">, </w:t>
            </w:r>
            <w:r w:rsidRPr="00FC16D3">
              <w:rPr>
                <w:rFonts w:eastAsia="Times New Roman"/>
                <w:i/>
                <w:iCs/>
                <w:spacing w:val="-2"/>
                <w:sz w:val="16"/>
                <w:szCs w:val="16"/>
              </w:rPr>
              <w:t>Striga parviflora</w:t>
            </w:r>
            <w:r w:rsidRPr="00FC16D3">
              <w:rPr>
                <w:rFonts w:eastAsia="Times New Roman"/>
                <w:spacing w:val="-2"/>
                <w:sz w:val="16"/>
                <w:szCs w:val="16"/>
              </w:rPr>
              <w:t xml:space="preserve"> and </w:t>
            </w:r>
            <w:r w:rsidRPr="00FC16D3">
              <w:rPr>
                <w:rFonts w:eastAsia="Times New Roman"/>
                <w:i/>
                <w:iCs/>
                <w:spacing w:val="-2"/>
                <w:sz w:val="16"/>
                <w:szCs w:val="16"/>
              </w:rPr>
              <w:t>Striga squamigera</w:t>
            </w:r>
          </w:p>
          <w:p w:rsidR="00FC16D3" w:rsidRPr="00FC16D3" w:rsidRDefault="00FC16D3" w:rsidP="00FC16D3">
            <w:pPr>
              <w:spacing w:after="0" w:line="240" w:lineRule="auto"/>
              <w:jc w:val="left"/>
              <w:rPr>
                <w:rFonts w:eastAsia="Times New Roman"/>
                <w:i/>
                <w:iCs/>
                <w:sz w:val="16"/>
                <w:szCs w:val="16"/>
              </w:rPr>
            </w:pPr>
            <w:r w:rsidRPr="00FC16D3">
              <w:rPr>
                <w:rFonts w:eastAsia="Times New Roman"/>
                <w:spacing w:val="-2"/>
                <w:sz w:val="16"/>
                <w:szCs w:val="16"/>
              </w:rPr>
              <w:t>witchweeds</w:t>
            </w:r>
          </w:p>
          <w:p w:rsidR="00FC16D3" w:rsidRPr="00FC16D3" w:rsidRDefault="00FC16D3" w:rsidP="00FC16D3">
            <w:pPr>
              <w:spacing w:after="0" w:line="240" w:lineRule="auto"/>
              <w:jc w:val="left"/>
              <w:rPr>
                <w:rFonts w:eastAsia="Times New Roman"/>
                <w:b/>
                <w:sz w:val="16"/>
                <w:szCs w:val="16"/>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186(1)(2), 188(1)(2)</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tc>
      </w:tr>
      <w:tr w:rsidR="00FC16D3" w:rsidRPr="00FC16D3" w:rsidTr="00805B8E">
        <w:tc>
          <w:tcPr>
            <w:tcW w:w="2179" w:type="pct"/>
          </w:tcPr>
          <w:p w:rsidR="00FC16D3" w:rsidRPr="00FC16D3" w:rsidRDefault="00FC16D3" w:rsidP="00FC16D3">
            <w:pPr>
              <w:spacing w:before="120" w:after="0" w:line="240" w:lineRule="auto"/>
              <w:jc w:val="left"/>
              <w:rPr>
                <w:rFonts w:eastAsia="Times New Roman"/>
                <w:b/>
                <w:sz w:val="24"/>
                <w:szCs w:val="24"/>
              </w:rPr>
            </w:pPr>
            <w:r w:rsidRPr="00FC16D3">
              <w:rPr>
                <w:rFonts w:eastAsia="Times New Roman"/>
                <w:b/>
                <w:sz w:val="24"/>
                <w:szCs w:val="24"/>
              </w:rPr>
              <w:t>CLASS 69</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i/>
                <w:iCs/>
                <w:sz w:val="16"/>
                <w:szCs w:val="16"/>
              </w:rPr>
              <w:t xml:space="preserve">Salix </w:t>
            </w:r>
            <w:r w:rsidRPr="00FC16D3">
              <w:rPr>
                <w:rFonts w:eastAsia="Times New Roman"/>
                <w:iCs/>
                <w:sz w:val="16"/>
                <w:szCs w:val="16"/>
              </w:rPr>
              <w:t xml:space="preserve">subgenus </w:t>
            </w:r>
            <w:r w:rsidRPr="00FC16D3">
              <w:rPr>
                <w:rFonts w:eastAsia="Times New Roman"/>
                <w:i/>
                <w:iCs/>
                <w:sz w:val="16"/>
                <w:szCs w:val="16"/>
              </w:rPr>
              <w:t xml:space="preserve">Caprisalix, </w:t>
            </w:r>
            <w:r w:rsidRPr="00FC16D3">
              <w:rPr>
                <w:rFonts w:eastAsia="Times New Roman"/>
                <w:iCs/>
                <w:sz w:val="16"/>
                <w:szCs w:val="16"/>
              </w:rPr>
              <w:t>excluding</w:t>
            </w:r>
            <w:r w:rsidRPr="00FC16D3">
              <w:rPr>
                <w:rFonts w:eastAsia="Times New Roman"/>
                <w:i/>
                <w:iCs/>
                <w:sz w:val="16"/>
                <w:szCs w:val="16"/>
              </w:rPr>
              <w:t xml:space="preserve"> </w:t>
            </w:r>
            <w:r w:rsidRPr="00FC16D3">
              <w:rPr>
                <w:rFonts w:eastAsia="Times New Roman"/>
                <w:i/>
                <w:sz w:val="16"/>
                <w:szCs w:val="16"/>
              </w:rPr>
              <w:t xml:space="preserve">Salix calodendron, Salix caprea, Salix cinerea </w:t>
            </w:r>
            <w:r w:rsidRPr="00FC16D3">
              <w:rPr>
                <w:rFonts w:eastAsia="Times New Roman"/>
                <w:sz w:val="16"/>
                <w:szCs w:val="16"/>
              </w:rPr>
              <w:t xml:space="preserve">and </w:t>
            </w:r>
            <w:r w:rsidRPr="00FC16D3">
              <w:rPr>
                <w:rFonts w:eastAsia="Times New Roman"/>
                <w:i/>
                <w:sz w:val="16"/>
                <w:szCs w:val="16"/>
              </w:rPr>
              <w:t>Salix reichardtii</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goat willows</w:t>
            </w: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 xml:space="preserve">Salix subgenus Salix, excluding </w:t>
            </w:r>
            <w:r w:rsidRPr="00FC16D3">
              <w:rPr>
                <w:rFonts w:eastAsia="Times New Roman"/>
                <w:i/>
                <w:sz w:val="16"/>
                <w:szCs w:val="16"/>
              </w:rPr>
              <w:t>Salix babylonica, Salix fragilis, Salix nigra, Salix pendulina, Salix rubens, Salix sepulcralis,</w:t>
            </w:r>
            <w:r w:rsidRPr="00FC16D3">
              <w:rPr>
                <w:rFonts w:eastAsia="Times New Roman"/>
                <w:sz w:val="16"/>
                <w:szCs w:val="16"/>
              </w:rPr>
              <w:t xml:space="preserve"> and all hybrids between </w:t>
            </w:r>
            <w:r w:rsidRPr="00FC16D3">
              <w:rPr>
                <w:rFonts w:eastAsia="Times New Roman"/>
                <w:i/>
                <w:sz w:val="16"/>
                <w:szCs w:val="16"/>
              </w:rPr>
              <w:t>Salix alba</w:t>
            </w:r>
            <w:r w:rsidRPr="00FC16D3">
              <w:rPr>
                <w:rFonts w:eastAsia="Times New Roman"/>
                <w:sz w:val="16"/>
                <w:szCs w:val="16"/>
              </w:rPr>
              <w:t xml:space="preserve"> and </w:t>
            </w:r>
            <w:r w:rsidRPr="00FC16D3">
              <w:rPr>
                <w:rFonts w:eastAsia="Times New Roman"/>
                <w:i/>
                <w:sz w:val="16"/>
                <w:szCs w:val="16"/>
              </w:rPr>
              <w:t>Salix matsudana</w:t>
            </w: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willows</w:t>
            </w:r>
          </w:p>
          <w:p w:rsidR="00FC16D3" w:rsidRPr="00FC16D3" w:rsidRDefault="00FC16D3" w:rsidP="00FC16D3">
            <w:pPr>
              <w:spacing w:after="0" w:line="240" w:lineRule="auto"/>
              <w:jc w:val="left"/>
              <w:rPr>
                <w:rFonts w:eastAsia="Times New Roman"/>
                <w:b/>
                <w:sz w:val="24"/>
                <w:szCs w:val="24"/>
              </w:rPr>
            </w:pPr>
          </w:p>
        </w:tc>
        <w:tc>
          <w:tcPr>
            <w:tcW w:w="1219"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188(1)</w:t>
            </w:r>
          </w:p>
        </w:tc>
        <w:tc>
          <w:tcPr>
            <w:tcW w:w="578"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3</w:t>
            </w:r>
          </w:p>
        </w:tc>
        <w:tc>
          <w:tcPr>
            <w:tcW w:w="1024" w:type="pct"/>
          </w:tcPr>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p>
          <w:p w:rsidR="00FC16D3" w:rsidRPr="00FC16D3" w:rsidRDefault="00FC16D3" w:rsidP="00FC16D3">
            <w:pPr>
              <w:spacing w:after="0" w:line="240" w:lineRule="auto"/>
              <w:jc w:val="left"/>
              <w:rPr>
                <w:rFonts w:eastAsia="Times New Roman"/>
                <w:sz w:val="16"/>
                <w:szCs w:val="16"/>
              </w:rPr>
            </w:pPr>
            <w:r w:rsidRPr="00FC16D3">
              <w:rPr>
                <w:rFonts w:eastAsia="Times New Roman"/>
                <w:sz w:val="16"/>
                <w:szCs w:val="16"/>
              </w:rPr>
              <w:t>The whole of the State.</w:t>
            </w:r>
          </w:p>
        </w:tc>
      </w:tr>
    </w:tbl>
    <w:p w:rsidR="00FC16D3" w:rsidRPr="00FC16D3" w:rsidRDefault="00FC16D3" w:rsidP="00FC16D3">
      <w:pPr>
        <w:spacing w:before="120" w:after="0"/>
        <w:rPr>
          <w:rFonts w:eastAsia="Times New Roman"/>
          <w:szCs w:val="17"/>
        </w:rPr>
      </w:pPr>
      <w:r w:rsidRPr="00FC16D3">
        <w:rPr>
          <w:rFonts w:eastAsia="Times New Roman"/>
          <w:szCs w:val="17"/>
        </w:rPr>
        <w:t>Dated: 15 July 2020</w:t>
      </w:r>
    </w:p>
    <w:p w:rsidR="00FC16D3" w:rsidRPr="00FC16D3" w:rsidRDefault="00FC16D3" w:rsidP="00FC16D3">
      <w:pPr>
        <w:spacing w:after="0"/>
        <w:jc w:val="right"/>
        <w:rPr>
          <w:rFonts w:eastAsia="Times New Roman"/>
          <w:smallCaps/>
          <w:szCs w:val="20"/>
        </w:rPr>
      </w:pPr>
      <w:r w:rsidRPr="00FC16D3">
        <w:rPr>
          <w:rFonts w:eastAsia="Times New Roman"/>
          <w:smallCaps/>
          <w:szCs w:val="20"/>
        </w:rPr>
        <w:t>David Speirs MP</w:t>
      </w:r>
    </w:p>
    <w:p w:rsidR="00FC16D3" w:rsidRPr="00FC16D3" w:rsidRDefault="00FC16D3" w:rsidP="00FC16D3">
      <w:pPr>
        <w:spacing w:after="0"/>
        <w:jc w:val="right"/>
        <w:rPr>
          <w:rFonts w:eastAsia="Times New Roman"/>
          <w:szCs w:val="17"/>
        </w:rPr>
      </w:pPr>
      <w:r w:rsidRPr="00FC16D3">
        <w:rPr>
          <w:rFonts w:eastAsia="Times New Roman"/>
          <w:szCs w:val="17"/>
        </w:rPr>
        <w:t>Minister for Environment and Water</w:t>
      </w:r>
    </w:p>
    <w:p w:rsidR="00FC16D3" w:rsidRPr="00FC16D3" w:rsidRDefault="00FC16D3" w:rsidP="00FC16D3">
      <w:pPr>
        <w:pBdr>
          <w:top w:val="single" w:sz="4" w:space="1" w:color="auto"/>
        </w:pBdr>
        <w:spacing w:before="100" w:after="0" w:line="14" w:lineRule="exact"/>
        <w:jc w:val="center"/>
        <w:rPr>
          <w:rFonts w:eastAsia="Times New Roman"/>
          <w:szCs w:val="17"/>
        </w:rPr>
      </w:pPr>
    </w:p>
    <w:p w:rsidR="004A192B" w:rsidRDefault="004A192B" w:rsidP="00895B8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EC39A1" w:rsidRDefault="00EC39A1">
      <w:pPr>
        <w:spacing w:after="0" w:line="240" w:lineRule="auto"/>
        <w:jc w:val="left"/>
        <w:rPr>
          <w:lang w:val="en-US"/>
        </w:rPr>
      </w:pPr>
      <w:r>
        <w:rPr>
          <w:lang w:val="en-US"/>
        </w:rPr>
        <w:br w:type="page"/>
      </w:r>
    </w:p>
    <w:p w:rsidR="006F10F3" w:rsidRPr="006F10F3" w:rsidRDefault="006F10F3" w:rsidP="006F10F3">
      <w:pPr>
        <w:jc w:val="center"/>
        <w:rPr>
          <w:caps/>
          <w:szCs w:val="17"/>
        </w:rPr>
      </w:pPr>
      <w:r w:rsidRPr="006F10F3">
        <w:rPr>
          <w:caps/>
          <w:szCs w:val="17"/>
        </w:rPr>
        <w:t>Landscape South Australia Act 2019</w:t>
      </w:r>
    </w:p>
    <w:p w:rsidR="006F10F3" w:rsidRPr="006F10F3" w:rsidRDefault="006F10F3" w:rsidP="006F10F3">
      <w:pPr>
        <w:jc w:val="center"/>
        <w:rPr>
          <w:i/>
          <w:szCs w:val="17"/>
        </w:rPr>
      </w:pPr>
      <w:r w:rsidRPr="006F10F3">
        <w:rPr>
          <w:i/>
          <w:szCs w:val="17"/>
        </w:rPr>
        <w:t>Notice of Authorisation to Take Water from the Central Adelaide Prescribed Wells Area—Ref. 258253</w:t>
      </w:r>
    </w:p>
    <w:p w:rsidR="006F10F3" w:rsidRPr="006F10F3" w:rsidRDefault="006F10F3" w:rsidP="006F10F3">
      <w:pPr>
        <w:rPr>
          <w:rFonts w:eastAsia="Times New Roman"/>
          <w:szCs w:val="17"/>
        </w:rPr>
      </w:pPr>
      <w:r w:rsidRPr="006F10F3">
        <w:rPr>
          <w:rFonts w:eastAsia="Times New Roman"/>
          <w:szCs w:val="17"/>
        </w:rPr>
        <w:t xml:space="preserve">PURSUANT to Section 105 of the </w:t>
      </w:r>
      <w:r w:rsidRPr="006F10F3">
        <w:rPr>
          <w:rFonts w:eastAsia="Times New Roman"/>
          <w:i/>
          <w:szCs w:val="17"/>
        </w:rPr>
        <w:t>Landscape South Australia Act 2019</w:t>
      </w:r>
      <w:r w:rsidRPr="006F10F3">
        <w:rPr>
          <w:rFonts w:eastAsia="Times New Roman"/>
          <w:szCs w:val="17"/>
        </w:rPr>
        <w:t xml:space="preserve"> (the Act), I, Ben Bruce, delegate of the Minister for Environment and Water to whom the Act is committed, hereby authorise the taking of water from the Central Adelaide Prescribed Wells Area, prescribed under the </w:t>
      </w:r>
      <w:r w:rsidRPr="006F10F3">
        <w:rPr>
          <w:rFonts w:eastAsia="Times New Roman"/>
          <w:i/>
          <w:szCs w:val="17"/>
        </w:rPr>
        <w:t>Natural Resources Management (Central Adelaide—Prescribed Wells Area) Regulations 2007</w:t>
      </w:r>
      <w:r w:rsidRPr="006F10F3">
        <w:rPr>
          <w:rFonts w:eastAsia="Times New Roman"/>
          <w:szCs w:val="17"/>
        </w:rPr>
        <w:t>, from the prescribed wells specified in Schedule A, for the purpose set out in Schedule B and subject to the conditions specified in Schedule C.</w:t>
      </w:r>
    </w:p>
    <w:p w:rsidR="006F10F3" w:rsidRPr="006F10F3" w:rsidRDefault="006F10F3" w:rsidP="006F10F3">
      <w:pPr>
        <w:jc w:val="center"/>
        <w:rPr>
          <w:smallCaps/>
          <w:szCs w:val="17"/>
        </w:rPr>
      </w:pPr>
      <w:r w:rsidRPr="006F10F3">
        <w:rPr>
          <w:smallCaps/>
          <w:szCs w:val="17"/>
        </w:rPr>
        <w:t>Schedule A</w:t>
      </w:r>
    </w:p>
    <w:p w:rsidR="006F10F3" w:rsidRPr="006F10F3" w:rsidRDefault="006F10F3" w:rsidP="006F10F3">
      <w:pPr>
        <w:rPr>
          <w:rFonts w:eastAsia="Times New Roman"/>
          <w:i/>
          <w:szCs w:val="17"/>
        </w:rPr>
      </w:pPr>
      <w:r w:rsidRPr="006F10F3">
        <w:rPr>
          <w:rFonts w:eastAsia="Times New Roman"/>
          <w:i/>
          <w:szCs w:val="17"/>
        </w:rPr>
        <w:t>Wells</w:t>
      </w:r>
    </w:p>
    <w:p w:rsidR="006F10F3" w:rsidRPr="006F10F3" w:rsidRDefault="006F10F3" w:rsidP="006F10F3">
      <w:pPr>
        <w:rPr>
          <w:rFonts w:eastAsia="Times New Roman"/>
          <w:szCs w:val="17"/>
        </w:rPr>
      </w:pPr>
      <w:r w:rsidRPr="006F10F3">
        <w:rPr>
          <w:rFonts w:eastAsia="Times New Roman"/>
          <w:szCs w:val="17"/>
        </w:rPr>
        <w:t>Well unit numbers 6628-25719, 6628-25718, 6628-27007 and 6628-27002.</w:t>
      </w:r>
    </w:p>
    <w:p w:rsidR="006F10F3" w:rsidRPr="006F10F3" w:rsidRDefault="006F10F3" w:rsidP="006F10F3">
      <w:pPr>
        <w:jc w:val="center"/>
        <w:rPr>
          <w:smallCaps/>
          <w:szCs w:val="17"/>
        </w:rPr>
      </w:pPr>
      <w:r w:rsidRPr="006F10F3">
        <w:rPr>
          <w:smallCaps/>
          <w:szCs w:val="17"/>
        </w:rPr>
        <w:t>Schedule B</w:t>
      </w:r>
    </w:p>
    <w:p w:rsidR="006F10F3" w:rsidRPr="006F10F3" w:rsidRDefault="006F10F3" w:rsidP="006F10F3">
      <w:pPr>
        <w:rPr>
          <w:rFonts w:eastAsia="Times New Roman"/>
          <w:i/>
          <w:szCs w:val="17"/>
        </w:rPr>
      </w:pPr>
      <w:r w:rsidRPr="006F10F3">
        <w:rPr>
          <w:rFonts w:eastAsia="Times New Roman"/>
          <w:i/>
          <w:szCs w:val="17"/>
        </w:rPr>
        <w:t>Purpose</w:t>
      </w:r>
    </w:p>
    <w:p w:rsidR="006F10F3" w:rsidRPr="006F10F3" w:rsidRDefault="006F10F3" w:rsidP="006F10F3">
      <w:pPr>
        <w:rPr>
          <w:rFonts w:eastAsia="Times New Roman"/>
          <w:szCs w:val="17"/>
        </w:rPr>
      </w:pPr>
      <w:r w:rsidRPr="006F10F3">
        <w:rPr>
          <w:rFonts w:eastAsia="Times New Roman"/>
          <w:szCs w:val="17"/>
        </w:rPr>
        <w:t>For the irrigation of reserves and to supply South Australian Water Corporation commercial and industrial customers, in association with the Adelaide Airport Managed Aquifer Recharge and Recovery Scheme (the Scheme).</w:t>
      </w:r>
    </w:p>
    <w:p w:rsidR="006F10F3" w:rsidRPr="006F10F3" w:rsidRDefault="006F10F3" w:rsidP="006F10F3">
      <w:pPr>
        <w:jc w:val="center"/>
        <w:rPr>
          <w:smallCaps/>
          <w:szCs w:val="17"/>
        </w:rPr>
      </w:pPr>
      <w:r w:rsidRPr="006F10F3">
        <w:rPr>
          <w:smallCaps/>
          <w:szCs w:val="17"/>
        </w:rPr>
        <w:t>Schedule C</w:t>
      </w:r>
    </w:p>
    <w:p w:rsidR="006F10F3" w:rsidRPr="006F10F3" w:rsidRDefault="006F10F3" w:rsidP="006F10F3">
      <w:pPr>
        <w:rPr>
          <w:rFonts w:eastAsia="Times New Roman"/>
          <w:i/>
          <w:szCs w:val="17"/>
        </w:rPr>
      </w:pPr>
      <w:r w:rsidRPr="006F10F3">
        <w:rPr>
          <w:rFonts w:eastAsia="Times New Roman"/>
          <w:i/>
          <w:szCs w:val="17"/>
        </w:rPr>
        <w:t>Conditions</w:t>
      </w:r>
    </w:p>
    <w:p w:rsidR="006F10F3" w:rsidRPr="006F10F3" w:rsidRDefault="006F10F3" w:rsidP="006F10F3">
      <w:pPr>
        <w:ind w:left="426" w:hanging="284"/>
        <w:rPr>
          <w:rFonts w:eastAsia="Times New Roman"/>
          <w:szCs w:val="17"/>
        </w:rPr>
      </w:pPr>
      <w:r w:rsidRPr="006F10F3">
        <w:rPr>
          <w:rFonts w:eastAsia="Times New Roman"/>
          <w:szCs w:val="17"/>
        </w:rPr>
        <w:t>1.</w:t>
      </w:r>
      <w:r w:rsidRPr="006F10F3">
        <w:rPr>
          <w:rFonts w:eastAsia="Times New Roman"/>
          <w:szCs w:val="17"/>
        </w:rPr>
        <w:tab/>
        <w:t>Water may only be taken from the date of publication of this notice until 30 June 2023.</w:t>
      </w:r>
    </w:p>
    <w:p w:rsidR="006F10F3" w:rsidRPr="006F10F3" w:rsidRDefault="006F10F3" w:rsidP="006F10F3">
      <w:pPr>
        <w:ind w:left="426" w:hanging="284"/>
        <w:rPr>
          <w:rFonts w:eastAsia="Times New Roman"/>
          <w:szCs w:val="17"/>
        </w:rPr>
      </w:pPr>
      <w:r w:rsidRPr="006F10F3">
        <w:rPr>
          <w:rFonts w:eastAsia="Times New Roman"/>
          <w:szCs w:val="17"/>
        </w:rPr>
        <w:t>2.</w:t>
      </w:r>
      <w:r w:rsidRPr="006F10F3">
        <w:rPr>
          <w:rFonts w:eastAsia="Times New Roman"/>
          <w:szCs w:val="17"/>
        </w:rPr>
        <w:tab/>
        <w:t>The volume of water permitted to be extracted in a water use year must not exceed the volume of water recharged under the Scheme over the previous five water use years, minus any volume that has been subsequently extracted. The maximum volume taken in any given water use year, however, must not exceed the volume referred to in Condition 3 of this authorisation.</w:t>
      </w:r>
    </w:p>
    <w:p w:rsidR="006F10F3" w:rsidRPr="006F10F3" w:rsidRDefault="006F10F3" w:rsidP="006F10F3">
      <w:pPr>
        <w:ind w:left="426" w:hanging="284"/>
        <w:rPr>
          <w:rFonts w:eastAsia="Times New Roman"/>
          <w:szCs w:val="17"/>
        </w:rPr>
      </w:pPr>
      <w:r w:rsidRPr="006F10F3">
        <w:rPr>
          <w:rFonts w:eastAsia="Times New Roman"/>
          <w:szCs w:val="17"/>
        </w:rPr>
        <w:t>3.</w:t>
      </w:r>
      <w:r w:rsidRPr="006F10F3">
        <w:rPr>
          <w:rFonts w:eastAsia="Times New Roman"/>
          <w:szCs w:val="17"/>
        </w:rPr>
        <w:tab/>
        <w:t>Subject to Condition 2 of this authorisation, a total maximum volume of 280,000 kilolitres of water per annum may be taken from the prescribed wells specified in Schedule A, during the period referred to in Condition 1 above.</w:t>
      </w:r>
    </w:p>
    <w:p w:rsidR="006F10F3" w:rsidRPr="006F10F3" w:rsidRDefault="006F10F3" w:rsidP="006F10F3">
      <w:pPr>
        <w:ind w:left="426" w:hanging="284"/>
        <w:rPr>
          <w:rFonts w:eastAsia="Times New Roman"/>
          <w:szCs w:val="17"/>
        </w:rPr>
      </w:pPr>
      <w:r w:rsidRPr="006F10F3">
        <w:rPr>
          <w:rFonts w:eastAsia="Times New Roman"/>
          <w:szCs w:val="17"/>
        </w:rPr>
        <w:t>4.</w:t>
      </w:r>
      <w:r w:rsidRPr="006F10F3">
        <w:rPr>
          <w:rFonts w:eastAsia="Times New Roman"/>
          <w:szCs w:val="17"/>
        </w:rPr>
        <w:tab/>
      </w:r>
      <w:r w:rsidRPr="006F10F3">
        <w:rPr>
          <w:rFonts w:eastAsia="Times New Roman"/>
          <w:spacing w:val="-2"/>
          <w:szCs w:val="17"/>
        </w:rPr>
        <w:t>The water user must not take water except through a meter(s) supplied, installed and maintained in accordance with the South Australian Licensed Water Use Meter Specification approved by the Minister as may be amended from time to time.</w:t>
      </w:r>
    </w:p>
    <w:p w:rsidR="006F10F3" w:rsidRPr="006F10F3" w:rsidRDefault="006F10F3" w:rsidP="006F10F3">
      <w:pPr>
        <w:ind w:left="426" w:hanging="284"/>
        <w:rPr>
          <w:rFonts w:eastAsia="Times New Roman"/>
          <w:szCs w:val="17"/>
        </w:rPr>
      </w:pPr>
      <w:r w:rsidRPr="006F10F3">
        <w:rPr>
          <w:rFonts w:eastAsia="Times New Roman"/>
          <w:szCs w:val="17"/>
        </w:rPr>
        <w:t>5.</w:t>
      </w:r>
      <w:r w:rsidRPr="006F10F3">
        <w:rPr>
          <w:rFonts w:eastAsia="Times New Roman"/>
          <w:szCs w:val="17"/>
        </w:rPr>
        <w:tab/>
        <w:t>Meter readings must be used to determine the quantity of water taken from each well.</w:t>
      </w:r>
    </w:p>
    <w:p w:rsidR="006F10F3" w:rsidRPr="006F10F3" w:rsidRDefault="006F10F3" w:rsidP="006F10F3">
      <w:pPr>
        <w:ind w:left="426" w:hanging="284"/>
        <w:rPr>
          <w:rFonts w:eastAsia="Times New Roman"/>
          <w:szCs w:val="17"/>
        </w:rPr>
      </w:pPr>
      <w:r w:rsidRPr="006F10F3">
        <w:rPr>
          <w:rFonts w:eastAsia="Times New Roman"/>
          <w:szCs w:val="17"/>
        </w:rPr>
        <w:t>6.</w:t>
      </w:r>
      <w:r w:rsidRPr="006F10F3">
        <w:rPr>
          <w:rFonts w:eastAsia="Times New Roman"/>
          <w:szCs w:val="17"/>
        </w:rPr>
        <w:tab/>
        <w:t>The water user must measure and record, for each well referred to in Schedule A, at least once during each calendar month, at the same time during each calendar month:</w:t>
      </w:r>
    </w:p>
    <w:p w:rsidR="006F10F3" w:rsidRPr="006F10F3" w:rsidRDefault="006F10F3" w:rsidP="006F10F3">
      <w:pPr>
        <w:ind w:left="709" w:hanging="283"/>
        <w:rPr>
          <w:rFonts w:eastAsia="Times New Roman"/>
          <w:szCs w:val="17"/>
        </w:rPr>
      </w:pPr>
      <w:r w:rsidRPr="006F10F3">
        <w:rPr>
          <w:rFonts w:eastAsia="Times New Roman"/>
          <w:szCs w:val="17"/>
        </w:rPr>
        <w:t>(a)</w:t>
      </w:r>
      <w:r w:rsidRPr="006F10F3">
        <w:rPr>
          <w:rFonts w:eastAsia="Times New Roman"/>
          <w:szCs w:val="17"/>
        </w:rPr>
        <w:tab/>
        <w:t>meter readings;</w:t>
      </w:r>
    </w:p>
    <w:p w:rsidR="006F10F3" w:rsidRPr="006F10F3" w:rsidRDefault="006F10F3" w:rsidP="006F10F3">
      <w:pPr>
        <w:ind w:left="709" w:hanging="283"/>
        <w:rPr>
          <w:rFonts w:eastAsia="Times New Roman"/>
          <w:szCs w:val="17"/>
        </w:rPr>
      </w:pPr>
      <w:r w:rsidRPr="006F10F3">
        <w:rPr>
          <w:rFonts w:eastAsia="Times New Roman"/>
          <w:szCs w:val="17"/>
        </w:rPr>
        <w:t>(b)</w:t>
      </w:r>
      <w:r w:rsidRPr="006F10F3">
        <w:rPr>
          <w:rFonts w:eastAsia="Times New Roman"/>
          <w:szCs w:val="17"/>
        </w:rPr>
        <w:tab/>
        <w:t>extraction volumes; and</w:t>
      </w:r>
    </w:p>
    <w:p w:rsidR="006F10F3" w:rsidRPr="006F10F3" w:rsidRDefault="006F10F3" w:rsidP="006F10F3">
      <w:pPr>
        <w:ind w:left="709" w:hanging="283"/>
        <w:rPr>
          <w:rFonts w:eastAsia="Times New Roman"/>
          <w:szCs w:val="17"/>
        </w:rPr>
      </w:pPr>
      <w:r w:rsidRPr="006F10F3">
        <w:rPr>
          <w:rFonts w:eastAsia="Times New Roman"/>
          <w:szCs w:val="17"/>
        </w:rPr>
        <w:t>(c)</w:t>
      </w:r>
      <w:r w:rsidRPr="006F10F3">
        <w:rPr>
          <w:rFonts w:eastAsia="Times New Roman"/>
          <w:szCs w:val="17"/>
        </w:rPr>
        <w:tab/>
        <w:t>water level.</w:t>
      </w:r>
    </w:p>
    <w:p w:rsidR="006F10F3" w:rsidRPr="006F10F3" w:rsidRDefault="006F10F3" w:rsidP="006F10F3">
      <w:pPr>
        <w:ind w:left="426" w:hanging="284"/>
        <w:rPr>
          <w:rFonts w:eastAsia="Times New Roman"/>
          <w:szCs w:val="17"/>
        </w:rPr>
      </w:pPr>
      <w:r w:rsidRPr="006F10F3">
        <w:rPr>
          <w:rFonts w:eastAsia="Times New Roman"/>
          <w:szCs w:val="17"/>
        </w:rPr>
        <w:t>7.</w:t>
      </w:r>
      <w:r w:rsidRPr="006F10F3">
        <w:rPr>
          <w:rFonts w:eastAsia="Times New Roman"/>
          <w:szCs w:val="17"/>
        </w:rPr>
        <w:tab/>
        <w:t>Meter reading(s) must also be taken within the first 14 days of the date of this authorisation, during the first 14 calendar days of July each year and within the first 14 days of the expiry date of this authorisation.</w:t>
      </w:r>
    </w:p>
    <w:p w:rsidR="006F10F3" w:rsidRPr="006F10F3" w:rsidRDefault="006F10F3" w:rsidP="006F10F3">
      <w:pPr>
        <w:ind w:left="426" w:hanging="284"/>
        <w:rPr>
          <w:rFonts w:eastAsia="Times New Roman"/>
          <w:szCs w:val="17"/>
        </w:rPr>
      </w:pPr>
      <w:r w:rsidRPr="006F10F3">
        <w:rPr>
          <w:rFonts w:eastAsia="Times New Roman"/>
          <w:szCs w:val="17"/>
        </w:rPr>
        <w:t>8.</w:t>
      </w:r>
      <w:r w:rsidRPr="006F10F3">
        <w:rPr>
          <w:rFonts w:eastAsia="Times New Roman"/>
          <w:szCs w:val="17"/>
        </w:rPr>
        <w:tab/>
        <w:t xml:space="preserve">The Risk Monitoring and Management and Management Plan (the Plan) for the Scheme must be revised, to the satisfaction of the Minister’s representative, by no later than 30 June 2021. </w:t>
      </w:r>
    </w:p>
    <w:p w:rsidR="006F10F3" w:rsidRPr="006F10F3" w:rsidRDefault="006F10F3" w:rsidP="006F10F3">
      <w:pPr>
        <w:ind w:left="426" w:hanging="284"/>
        <w:rPr>
          <w:rFonts w:eastAsia="Times New Roman"/>
          <w:szCs w:val="17"/>
        </w:rPr>
      </w:pPr>
      <w:r w:rsidRPr="006F10F3">
        <w:rPr>
          <w:rFonts w:eastAsia="Times New Roman"/>
          <w:szCs w:val="17"/>
        </w:rPr>
        <w:t>9.</w:t>
      </w:r>
      <w:r w:rsidRPr="006F10F3">
        <w:rPr>
          <w:rFonts w:eastAsia="Times New Roman"/>
          <w:szCs w:val="17"/>
        </w:rPr>
        <w:tab/>
        <w:t>The scheme must be operated in accordance with the Plan.</w:t>
      </w:r>
    </w:p>
    <w:p w:rsidR="006F10F3" w:rsidRPr="006F10F3" w:rsidRDefault="006F10F3" w:rsidP="006F10F3">
      <w:pPr>
        <w:ind w:left="426" w:hanging="284"/>
        <w:rPr>
          <w:rFonts w:eastAsia="Times New Roman"/>
          <w:szCs w:val="17"/>
        </w:rPr>
      </w:pPr>
      <w:r w:rsidRPr="006F10F3">
        <w:rPr>
          <w:rFonts w:eastAsia="Times New Roman"/>
          <w:szCs w:val="17"/>
        </w:rPr>
        <w:t>10.</w:t>
      </w:r>
      <w:r w:rsidRPr="006F10F3">
        <w:rPr>
          <w:rFonts w:eastAsia="Times New Roman"/>
          <w:szCs w:val="17"/>
        </w:rPr>
        <w:tab/>
        <w:t>The water user must comply with all measuring, monitoring and recording requirements as specified in the Plan, including the requirement to provide a report annually, not more than 14 days after cessation of the water use year. The report will be provided in the form specified by the Minister’s representative, and include:</w:t>
      </w:r>
    </w:p>
    <w:p w:rsidR="006F10F3" w:rsidRPr="006F10F3" w:rsidRDefault="006F10F3" w:rsidP="006F10F3">
      <w:pPr>
        <w:ind w:left="709" w:hanging="283"/>
        <w:rPr>
          <w:rFonts w:eastAsia="Times New Roman"/>
          <w:szCs w:val="17"/>
        </w:rPr>
      </w:pPr>
      <w:r w:rsidRPr="006F10F3">
        <w:rPr>
          <w:rFonts w:eastAsia="Times New Roman"/>
          <w:szCs w:val="17"/>
        </w:rPr>
        <w:t>(a)</w:t>
      </w:r>
      <w:r w:rsidRPr="006F10F3">
        <w:rPr>
          <w:rFonts w:eastAsia="Times New Roman"/>
          <w:szCs w:val="17"/>
        </w:rPr>
        <w:tab/>
        <w:t>all data in accordance with Condition 6 and 7 of this authorisation; and</w:t>
      </w:r>
    </w:p>
    <w:p w:rsidR="006F10F3" w:rsidRPr="006F10F3" w:rsidRDefault="006F10F3" w:rsidP="006F10F3">
      <w:pPr>
        <w:ind w:left="709" w:hanging="283"/>
        <w:rPr>
          <w:rFonts w:eastAsia="Times New Roman"/>
          <w:szCs w:val="17"/>
        </w:rPr>
      </w:pPr>
      <w:r w:rsidRPr="006F10F3">
        <w:rPr>
          <w:rFonts w:eastAsia="Times New Roman"/>
          <w:szCs w:val="17"/>
        </w:rPr>
        <w:t>(b)</w:t>
      </w:r>
      <w:r w:rsidRPr="006F10F3">
        <w:rPr>
          <w:rFonts w:eastAsia="Times New Roman"/>
          <w:szCs w:val="17"/>
        </w:rPr>
        <w:tab/>
        <w:t>monitoring data collected in accordance with the annual report monitoring deliverables contained in the plan.</w:t>
      </w:r>
    </w:p>
    <w:p w:rsidR="006F10F3" w:rsidRPr="006F10F3" w:rsidRDefault="006F10F3" w:rsidP="006F10F3">
      <w:pPr>
        <w:ind w:left="426"/>
        <w:rPr>
          <w:rFonts w:eastAsia="Times New Roman"/>
          <w:szCs w:val="17"/>
        </w:rPr>
      </w:pPr>
      <w:r w:rsidRPr="006F10F3">
        <w:rPr>
          <w:rFonts w:eastAsia="Times New Roman"/>
          <w:szCs w:val="17"/>
        </w:rPr>
        <w:t xml:space="preserve">The report is to be emailed to </w:t>
      </w:r>
      <w:hyperlink r:id="rId83" w:history="1">
        <w:r w:rsidRPr="006F10F3">
          <w:rPr>
            <w:color w:val="0000FF"/>
            <w:szCs w:val="17"/>
            <w:u w:val="single"/>
          </w:rPr>
          <w:t>dew.mar@sa.gov.au</w:t>
        </w:r>
      </w:hyperlink>
      <w:r w:rsidRPr="006F10F3">
        <w:rPr>
          <w:rFonts w:eastAsia="Times New Roman"/>
          <w:szCs w:val="17"/>
        </w:rPr>
        <w:t xml:space="preserve"> and </w:t>
      </w:r>
      <w:hyperlink r:id="rId84" w:history="1">
        <w:r w:rsidRPr="006F10F3">
          <w:rPr>
            <w:color w:val="0000FF"/>
            <w:szCs w:val="17"/>
            <w:u w:val="single"/>
          </w:rPr>
          <w:t>dewwaterlicensing@sa.gov.au</w:t>
        </w:r>
      </w:hyperlink>
      <w:r w:rsidRPr="006F10F3">
        <w:rPr>
          <w:rFonts w:eastAsia="Times New Roman"/>
          <w:szCs w:val="17"/>
        </w:rPr>
        <w:t>.</w:t>
      </w:r>
    </w:p>
    <w:p w:rsidR="006F10F3" w:rsidRPr="006F10F3" w:rsidRDefault="006F10F3" w:rsidP="006F10F3">
      <w:pPr>
        <w:ind w:left="426" w:hanging="284"/>
        <w:rPr>
          <w:rFonts w:eastAsia="Times New Roman"/>
          <w:szCs w:val="17"/>
        </w:rPr>
      </w:pPr>
      <w:r w:rsidRPr="006F10F3">
        <w:rPr>
          <w:rFonts w:eastAsia="Times New Roman"/>
          <w:szCs w:val="17"/>
        </w:rPr>
        <w:t>11.</w:t>
      </w:r>
      <w:r w:rsidRPr="006F10F3">
        <w:rPr>
          <w:rFonts w:eastAsia="Times New Roman"/>
          <w:szCs w:val="17"/>
        </w:rPr>
        <w:tab/>
        <w:t>If any device used to measure and collect data relevant to this authorisation, fails to accurately measure or record, or there is any reason to suspect that the device may be defective, then the water user must notify the Minister or the Minister’s representative immediately, replace or repair the device as soon as practical and provide suitable alternative data to supplement missing data.</w:t>
      </w:r>
    </w:p>
    <w:p w:rsidR="006F10F3" w:rsidRPr="006F10F3" w:rsidRDefault="006F10F3" w:rsidP="006F10F3">
      <w:pPr>
        <w:ind w:left="426" w:hanging="284"/>
        <w:rPr>
          <w:rFonts w:eastAsia="Times New Roman"/>
          <w:szCs w:val="17"/>
        </w:rPr>
      </w:pPr>
      <w:r w:rsidRPr="006F10F3">
        <w:rPr>
          <w:rFonts w:eastAsia="Times New Roman"/>
          <w:szCs w:val="17"/>
        </w:rPr>
        <w:t>12.</w:t>
      </w:r>
      <w:r w:rsidRPr="006F10F3">
        <w:rPr>
          <w:rFonts w:eastAsia="Times New Roman"/>
          <w:szCs w:val="17"/>
        </w:rPr>
        <w:tab/>
        <w:t xml:space="preserve">The authorised water user must comply with the provisions applying to meters set out in Regulation 12 of the </w:t>
      </w:r>
      <w:r w:rsidRPr="006F10F3">
        <w:rPr>
          <w:rFonts w:eastAsia="Times New Roman"/>
          <w:i/>
          <w:szCs w:val="17"/>
        </w:rPr>
        <w:t>Landscape South Australia (Water Management) Regulations 2020</w:t>
      </w:r>
      <w:r w:rsidRPr="006F10F3">
        <w:rPr>
          <w:rFonts w:eastAsia="Times New Roman"/>
          <w:szCs w:val="17"/>
        </w:rPr>
        <w:t>. It is an offence to contravene or fail to comply with those provisions.</w:t>
      </w:r>
    </w:p>
    <w:p w:rsidR="006F10F3" w:rsidRPr="006F10F3" w:rsidRDefault="006F10F3" w:rsidP="006F10F3">
      <w:pPr>
        <w:rPr>
          <w:rFonts w:eastAsia="Times New Roman"/>
          <w:szCs w:val="17"/>
        </w:rPr>
      </w:pPr>
      <w:r w:rsidRPr="006F10F3">
        <w:rPr>
          <w:rFonts w:eastAsia="Times New Roman"/>
          <w:szCs w:val="17"/>
        </w:rPr>
        <w:t>For the purposes of this authorisation:</w:t>
      </w:r>
    </w:p>
    <w:p w:rsidR="006F10F3" w:rsidRPr="006F10F3" w:rsidRDefault="006F10F3" w:rsidP="006F10F3">
      <w:pPr>
        <w:ind w:left="284"/>
        <w:rPr>
          <w:rFonts w:eastAsia="Times New Roman"/>
          <w:szCs w:val="17"/>
        </w:rPr>
      </w:pPr>
      <w:r w:rsidRPr="006F10F3">
        <w:rPr>
          <w:rFonts w:eastAsia="Times New Roman"/>
          <w:szCs w:val="17"/>
        </w:rPr>
        <w:t>‘Water user’ means a person who is authorised to take water pursuant to this notice.</w:t>
      </w:r>
    </w:p>
    <w:p w:rsidR="006F10F3" w:rsidRPr="006F10F3" w:rsidRDefault="006F10F3" w:rsidP="006F10F3">
      <w:pPr>
        <w:ind w:left="284"/>
        <w:rPr>
          <w:rFonts w:eastAsia="Times New Roman"/>
          <w:szCs w:val="17"/>
        </w:rPr>
      </w:pPr>
      <w:r w:rsidRPr="006F10F3">
        <w:rPr>
          <w:rFonts w:eastAsia="Times New Roman"/>
          <w:szCs w:val="17"/>
        </w:rPr>
        <w:t>‘Water use year’ means a period of 12 months commencing on 1 July and ending 30 June the following calendar year.</w:t>
      </w:r>
    </w:p>
    <w:p w:rsidR="006F10F3" w:rsidRPr="006F10F3" w:rsidRDefault="006F10F3" w:rsidP="006F10F3">
      <w:pPr>
        <w:rPr>
          <w:rFonts w:eastAsia="Times New Roman"/>
          <w:szCs w:val="17"/>
        </w:rPr>
      </w:pPr>
      <w:r w:rsidRPr="006F10F3">
        <w:rPr>
          <w:rFonts w:eastAsia="Times New Roman"/>
          <w:szCs w:val="17"/>
        </w:rPr>
        <w:t>Words used in this authorisation that are defined in the Act shall have the meanings as set out in the Act.</w:t>
      </w:r>
    </w:p>
    <w:p w:rsidR="006F10F3" w:rsidRPr="006F10F3" w:rsidRDefault="006F10F3" w:rsidP="006F10F3">
      <w:pPr>
        <w:rPr>
          <w:rFonts w:eastAsia="Times New Roman"/>
          <w:szCs w:val="17"/>
        </w:rPr>
      </w:pPr>
      <w:r w:rsidRPr="006F10F3">
        <w:rPr>
          <w:rFonts w:eastAsia="Times New Roman"/>
          <w:szCs w:val="17"/>
        </w:rPr>
        <w:t>For the purpose of determining the penalty for unauthorised water use, as declared under section 88 of the Act, the ‘volumetric limit’ of this authorisation is equal to the lesser of:</w:t>
      </w:r>
    </w:p>
    <w:p w:rsidR="006F10F3" w:rsidRPr="006F10F3" w:rsidRDefault="006F10F3" w:rsidP="006F10F3">
      <w:pPr>
        <w:ind w:left="709" w:hanging="283"/>
        <w:rPr>
          <w:rFonts w:eastAsia="Times New Roman"/>
          <w:szCs w:val="17"/>
        </w:rPr>
      </w:pPr>
      <w:r w:rsidRPr="006F10F3">
        <w:rPr>
          <w:rFonts w:eastAsia="Times New Roman"/>
          <w:szCs w:val="17"/>
        </w:rPr>
        <w:t>(a)</w:t>
      </w:r>
      <w:r w:rsidRPr="006F10F3">
        <w:rPr>
          <w:rFonts w:eastAsia="Times New Roman"/>
          <w:szCs w:val="17"/>
        </w:rPr>
        <w:tab/>
        <w:t>the volume of water recharged under the Scheme over the previous five water use years, minus any volume that has subsequently been extracted, or</w:t>
      </w:r>
    </w:p>
    <w:p w:rsidR="006F10F3" w:rsidRPr="006F10F3" w:rsidRDefault="006F10F3" w:rsidP="006F10F3">
      <w:pPr>
        <w:ind w:left="709" w:hanging="283"/>
        <w:rPr>
          <w:rFonts w:eastAsia="Times New Roman"/>
          <w:szCs w:val="17"/>
        </w:rPr>
      </w:pPr>
      <w:r w:rsidRPr="006F10F3">
        <w:rPr>
          <w:rFonts w:eastAsia="Times New Roman"/>
          <w:szCs w:val="17"/>
        </w:rPr>
        <w:t>(b)</w:t>
      </w:r>
      <w:r w:rsidRPr="006F10F3">
        <w:rPr>
          <w:rFonts w:eastAsia="Times New Roman"/>
          <w:szCs w:val="17"/>
        </w:rPr>
        <w:tab/>
        <w:t>280,000 kilolitres per water use year.</w:t>
      </w:r>
    </w:p>
    <w:p w:rsidR="006F10F3" w:rsidRPr="006F10F3" w:rsidRDefault="006F10F3" w:rsidP="006F10F3">
      <w:pPr>
        <w:rPr>
          <w:rFonts w:eastAsia="Times New Roman"/>
          <w:szCs w:val="17"/>
        </w:rPr>
      </w:pPr>
      <w:r w:rsidRPr="006F10F3">
        <w:rPr>
          <w:rFonts w:eastAsia="Times New Roman"/>
          <w:szCs w:val="17"/>
        </w:rPr>
        <w:t>This authorisation will commence on the date of this notice and will remain in effect until 30 June 2023 unless earlier varied or revoked.</w:t>
      </w:r>
    </w:p>
    <w:p w:rsidR="006F10F3" w:rsidRPr="006F10F3" w:rsidRDefault="006F10F3" w:rsidP="006F10F3">
      <w:pPr>
        <w:spacing w:after="0"/>
        <w:rPr>
          <w:rFonts w:eastAsia="Times New Roman"/>
          <w:szCs w:val="17"/>
        </w:rPr>
      </w:pPr>
      <w:r w:rsidRPr="006F10F3">
        <w:rPr>
          <w:rFonts w:eastAsia="Times New Roman"/>
          <w:szCs w:val="17"/>
        </w:rPr>
        <w:t>Dated: 20 July 2020</w:t>
      </w:r>
    </w:p>
    <w:p w:rsidR="006F10F3" w:rsidRPr="006F10F3" w:rsidRDefault="006F10F3" w:rsidP="006F10F3">
      <w:pPr>
        <w:spacing w:after="0"/>
        <w:jc w:val="right"/>
        <w:rPr>
          <w:rFonts w:eastAsia="Times New Roman"/>
          <w:smallCaps/>
          <w:szCs w:val="20"/>
        </w:rPr>
      </w:pPr>
      <w:r w:rsidRPr="006F10F3">
        <w:rPr>
          <w:rFonts w:eastAsia="Times New Roman"/>
          <w:smallCaps/>
          <w:szCs w:val="20"/>
        </w:rPr>
        <w:t>Ben Bruce</w:t>
      </w:r>
    </w:p>
    <w:p w:rsidR="006F10F3" w:rsidRPr="006F10F3" w:rsidRDefault="006F10F3" w:rsidP="006F10F3">
      <w:pPr>
        <w:spacing w:after="0"/>
        <w:jc w:val="right"/>
        <w:rPr>
          <w:rFonts w:eastAsia="Times New Roman"/>
          <w:szCs w:val="17"/>
        </w:rPr>
      </w:pPr>
      <w:r w:rsidRPr="006F10F3">
        <w:rPr>
          <w:rFonts w:eastAsia="Times New Roman"/>
          <w:szCs w:val="17"/>
        </w:rPr>
        <w:t>Executive Director, Water and River Murray</w:t>
      </w:r>
    </w:p>
    <w:p w:rsidR="006F10F3" w:rsidRPr="006F10F3" w:rsidRDefault="006F10F3" w:rsidP="006F10F3">
      <w:pPr>
        <w:spacing w:after="0"/>
        <w:jc w:val="right"/>
        <w:rPr>
          <w:rFonts w:eastAsia="Times New Roman"/>
          <w:szCs w:val="17"/>
        </w:rPr>
      </w:pPr>
      <w:r w:rsidRPr="006F10F3">
        <w:rPr>
          <w:rFonts w:eastAsia="Times New Roman"/>
          <w:szCs w:val="17"/>
        </w:rPr>
        <w:t>Department for Environment and Water</w:t>
      </w:r>
    </w:p>
    <w:p w:rsidR="006F10F3" w:rsidRPr="006F10F3" w:rsidRDefault="006F10F3" w:rsidP="006F10F3">
      <w:pPr>
        <w:spacing w:after="0"/>
        <w:jc w:val="right"/>
        <w:rPr>
          <w:rFonts w:eastAsia="Times New Roman"/>
          <w:szCs w:val="17"/>
        </w:rPr>
      </w:pPr>
      <w:r w:rsidRPr="006F10F3">
        <w:rPr>
          <w:rFonts w:eastAsia="Times New Roman"/>
          <w:szCs w:val="17"/>
        </w:rPr>
        <w:t>Delegate of the Minister for Environment and Water</w:t>
      </w:r>
    </w:p>
    <w:p w:rsidR="006F10F3" w:rsidRPr="006F10F3" w:rsidRDefault="006F10F3" w:rsidP="006F10F3">
      <w:pPr>
        <w:pBdr>
          <w:top w:val="single" w:sz="4" w:space="1" w:color="auto"/>
        </w:pBdr>
        <w:spacing w:before="100" w:after="0" w:line="14" w:lineRule="exact"/>
        <w:jc w:val="center"/>
        <w:rPr>
          <w:rFonts w:eastAsia="Times New Roman"/>
          <w:szCs w:val="17"/>
        </w:rPr>
      </w:pPr>
    </w:p>
    <w:p w:rsidR="00FC16D3" w:rsidRDefault="00FC16D3" w:rsidP="00895B8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6F10F3" w:rsidRDefault="006F10F3">
      <w:pPr>
        <w:spacing w:after="0" w:line="240" w:lineRule="auto"/>
        <w:jc w:val="left"/>
        <w:rPr>
          <w:lang w:val="en-US"/>
        </w:rPr>
      </w:pPr>
      <w:r>
        <w:rPr>
          <w:lang w:val="en-US"/>
        </w:rPr>
        <w:br w:type="page"/>
      </w:r>
    </w:p>
    <w:p w:rsidR="006F10F3" w:rsidRPr="006F10F3" w:rsidRDefault="006F10F3" w:rsidP="006F10F3">
      <w:pPr>
        <w:jc w:val="center"/>
        <w:rPr>
          <w:caps/>
          <w:szCs w:val="17"/>
        </w:rPr>
      </w:pPr>
      <w:r w:rsidRPr="006F10F3">
        <w:rPr>
          <w:caps/>
          <w:szCs w:val="17"/>
        </w:rPr>
        <w:t>Landscape South Australia Act 2019</w:t>
      </w:r>
    </w:p>
    <w:p w:rsidR="006F10F3" w:rsidRPr="006F10F3" w:rsidRDefault="006F10F3" w:rsidP="006F10F3">
      <w:pPr>
        <w:jc w:val="center"/>
        <w:rPr>
          <w:i/>
          <w:szCs w:val="17"/>
        </w:rPr>
      </w:pPr>
      <w:r w:rsidRPr="006F10F3">
        <w:rPr>
          <w:i/>
          <w:szCs w:val="17"/>
        </w:rPr>
        <w:t>Notice of Authorisation to Take Water from the Central Adelaide Prescribed Wells Area—Ref. 255326</w:t>
      </w:r>
    </w:p>
    <w:p w:rsidR="006F10F3" w:rsidRPr="006F10F3" w:rsidRDefault="006F10F3" w:rsidP="006F10F3">
      <w:pPr>
        <w:rPr>
          <w:rFonts w:eastAsia="Times New Roman"/>
          <w:szCs w:val="17"/>
        </w:rPr>
      </w:pPr>
      <w:r w:rsidRPr="006F10F3">
        <w:rPr>
          <w:rFonts w:eastAsia="Times New Roman"/>
          <w:szCs w:val="17"/>
        </w:rPr>
        <w:t xml:space="preserve">PURSUANT to Section 105 of the </w:t>
      </w:r>
      <w:r w:rsidRPr="006F10F3">
        <w:rPr>
          <w:rFonts w:eastAsia="Times New Roman"/>
          <w:i/>
          <w:szCs w:val="17"/>
        </w:rPr>
        <w:t>Landscape South Australia Act 2019</w:t>
      </w:r>
      <w:r w:rsidRPr="006F10F3">
        <w:rPr>
          <w:rFonts w:eastAsia="Times New Roman"/>
          <w:szCs w:val="17"/>
        </w:rPr>
        <w:t xml:space="preserve"> (the Act), I, Ben Bruce, delegate of the Minister for Environment and Water to whom the Act is committed, hereby authorise the taking of water from the Central Adelaide Prescribed Wells Area, prescribed under the </w:t>
      </w:r>
      <w:r w:rsidRPr="006F10F3">
        <w:rPr>
          <w:rFonts w:eastAsia="Times New Roman"/>
          <w:i/>
          <w:szCs w:val="17"/>
        </w:rPr>
        <w:t>Natural Resources Management (Central Adelaide—Prescribed Wells Area) Regulations 2007</w:t>
      </w:r>
      <w:r w:rsidRPr="006F10F3">
        <w:rPr>
          <w:rFonts w:eastAsia="Times New Roman"/>
          <w:szCs w:val="17"/>
        </w:rPr>
        <w:t>, from the prescribed wells specified in Schedule A, for the purpose set out in Schedule B and subject to the conditions specified in Schedule C.</w:t>
      </w:r>
    </w:p>
    <w:p w:rsidR="006F10F3" w:rsidRPr="006F10F3" w:rsidRDefault="006F10F3" w:rsidP="006F10F3">
      <w:pPr>
        <w:jc w:val="center"/>
        <w:rPr>
          <w:smallCaps/>
          <w:szCs w:val="17"/>
        </w:rPr>
      </w:pPr>
      <w:r w:rsidRPr="006F10F3">
        <w:rPr>
          <w:smallCaps/>
          <w:szCs w:val="17"/>
        </w:rPr>
        <w:t>Schedule A</w:t>
      </w:r>
    </w:p>
    <w:p w:rsidR="006F10F3" w:rsidRPr="006F10F3" w:rsidRDefault="006F10F3" w:rsidP="006F10F3">
      <w:pPr>
        <w:rPr>
          <w:rFonts w:eastAsia="Times New Roman"/>
          <w:i/>
          <w:szCs w:val="17"/>
        </w:rPr>
      </w:pPr>
      <w:r w:rsidRPr="006F10F3">
        <w:rPr>
          <w:rFonts w:eastAsia="Times New Roman"/>
          <w:i/>
          <w:szCs w:val="17"/>
        </w:rPr>
        <w:t>Prescribed Wells</w:t>
      </w:r>
    </w:p>
    <w:p w:rsidR="006F10F3" w:rsidRPr="006F10F3" w:rsidRDefault="006F10F3" w:rsidP="006F10F3">
      <w:pPr>
        <w:rPr>
          <w:rFonts w:eastAsia="Times New Roman"/>
          <w:szCs w:val="17"/>
        </w:rPr>
      </w:pPr>
      <w:r w:rsidRPr="006F10F3">
        <w:rPr>
          <w:rFonts w:eastAsia="Times New Roman"/>
          <w:szCs w:val="17"/>
        </w:rPr>
        <w:t>Well unit numbers 6628-23567 and 6628-23026.</w:t>
      </w:r>
    </w:p>
    <w:p w:rsidR="006F10F3" w:rsidRPr="006F10F3" w:rsidRDefault="006F10F3" w:rsidP="006F10F3">
      <w:pPr>
        <w:jc w:val="center"/>
        <w:rPr>
          <w:smallCaps/>
          <w:szCs w:val="17"/>
        </w:rPr>
      </w:pPr>
      <w:r w:rsidRPr="006F10F3">
        <w:rPr>
          <w:smallCaps/>
          <w:szCs w:val="17"/>
        </w:rPr>
        <w:t>Schedule B</w:t>
      </w:r>
    </w:p>
    <w:p w:rsidR="006F10F3" w:rsidRPr="006F10F3" w:rsidRDefault="006F10F3" w:rsidP="006F10F3">
      <w:pPr>
        <w:rPr>
          <w:rFonts w:eastAsia="Times New Roman"/>
          <w:i/>
          <w:szCs w:val="17"/>
        </w:rPr>
      </w:pPr>
      <w:r w:rsidRPr="006F10F3">
        <w:rPr>
          <w:rFonts w:eastAsia="Times New Roman"/>
          <w:i/>
          <w:szCs w:val="17"/>
        </w:rPr>
        <w:t>Purpose</w:t>
      </w:r>
    </w:p>
    <w:p w:rsidR="006F10F3" w:rsidRPr="006F10F3" w:rsidRDefault="006F10F3" w:rsidP="006F10F3">
      <w:pPr>
        <w:rPr>
          <w:rFonts w:eastAsia="Times New Roman"/>
          <w:szCs w:val="17"/>
        </w:rPr>
      </w:pPr>
      <w:r w:rsidRPr="006F10F3">
        <w:rPr>
          <w:rFonts w:eastAsia="Times New Roman"/>
          <w:szCs w:val="17"/>
        </w:rPr>
        <w:t>For the irrigation of municipal land used for recreation within the City of Tea Tree Gully, in association with the Tea Tree Gully Managed Aquifer Recharge and Recovery Scheme (the Scheme).</w:t>
      </w:r>
    </w:p>
    <w:p w:rsidR="006F10F3" w:rsidRPr="006F10F3" w:rsidRDefault="006F10F3" w:rsidP="006F10F3">
      <w:pPr>
        <w:jc w:val="center"/>
        <w:rPr>
          <w:smallCaps/>
          <w:szCs w:val="17"/>
        </w:rPr>
      </w:pPr>
      <w:r w:rsidRPr="006F10F3">
        <w:rPr>
          <w:smallCaps/>
          <w:szCs w:val="17"/>
        </w:rPr>
        <w:t>Schedule C</w:t>
      </w:r>
    </w:p>
    <w:p w:rsidR="006F10F3" w:rsidRPr="006F10F3" w:rsidRDefault="006F10F3" w:rsidP="006F10F3">
      <w:pPr>
        <w:rPr>
          <w:rFonts w:eastAsia="Times New Roman"/>
          <w:i/>
          <w:szCs w:val="17"/>
        </w:rPr>
      </w:pPr>
      <w:r w:rsidRPr="006F10F3">
        <w:rPr>
          <w:rFonts w:eastAsia="Times New Roman"/>
          <w:i/>
          <w:szCs w:val="17"/>
        </w:rPr>
        <w:t>Conditions</w:t>
      </w:r>
    </w:p>
    <w:p w:rsidR="006F10F3" w:rsidRPr="006F10F3" w:rsidRDefault="006F10F3" w:rsidP="006F10F3">
      <w:pPr>
        <w:ind w:left="426" w:hanging="284"/>
        <w:rPr>
          <w:rFonts w:eastAsia="Times New Roman"/>
          <w:szCs w:val="17"/>
        </w:rPr>
      </w:pPr>
      <w:r w:rsidRPr="006F10F3">
        <w:rPr>
          <w:rFonts w:eastAsia="Times New Roman"/>
          <w:szCs w:val="17"/>
        </w:rPr>
        <w:t>1.</w:t>
      </w:r>
      <w:r w:rsidRPr="006F10F3">
        <w:rPr>
          <w:rFonts w:eastAsia="Times New Roman"/>
          <w:szCs w:val="17"/>
        </w:rPr>
        <w:tab/>
        <w:t>Water may only be taken from the date of publication of this notice until 30 June 2023.</w:t>
      </w:r>
    </w:p>
    <w:p w:rsidR="006F10F3" w:rsidRPr="006F10F3" w:rsidRDefault="006F10F3" w:rsidP="006F10F3">
      <w:pPr>
        <w:ind w:left="426" w:hanging="284"/>
        <w:rPr>
          <w:rFonts w:eastAsia="Times New Roman"/>
          <w:szCs w:val="17"/>
        </w:rPr>
      </w:pPr>
      <w:r w:rsidRPr="006F10F3">
        <w:rPr>
          <w:rFonts w:eastAsia="Times New Roman"/>
          <w:szCs w:val="17"/>
        </w:rPr>
        <w:t>2.</w:t>
      </w:r>
      <w:r w:rsidRPr="006F10F3">
        <w:rPr>
          <w:rFonts w:eastAsia="Times New Roman"/>
          <w:szCs w:val="17"/>
        </w:rPr>
        <w:tab/>
        <w:t>The volume of water permitted to be extracted in a water use year must not exceed the volume of water recharged under the Scheme over the previous five water use years, minus any volume that has been subsequently extracted. The maximum volume taken in any given water use year, however, must not exceed the volumes referred to in Condition 3 of this authorisation.</w:t>
      </w:r>
    </w:p>
    <w:p w:rsidR="006F10F3" w:rsidRPr="006F10F3" w:rsidRDefault="006F10F3" w:rsidP="006F10F3">
      <w:pPr>
        <w:ind w:left="426" w:hanging="284"/>
        <w:rPr>
          <w:rFonts w:eastAsia="Times New Roman"/>
          <w:szCs w:val="17"/>
        </w:rPr>
      </w:pPr>
      <w:r w:rsidRPr="006F10F3">
        <w:rPr>
          <w:rFonts w:eastAsia="Times New Roman"/>
          <w:szCs w:val="17"/>
        </w:rPr>
        <w:t>3.</w:t>
      </w:r>
      <w:r w:rsidRPr="006F10F3">
        <w:rPr>
          <w:rFonts w:eastAsia="Times New Roman"/>
          <w:szCs w:val="17"/>
        </w:rPr>
        <w:tab/>
        <w:t>Subject to Condition 2 of this authorisation, a total maximum volume of 80,000 kilolitres of water per water use year (a maximum volume of 40,000 kilolitres per water use year per well) may be taken from the prescribed wells specified in Schedule A, during the period referred to in Condition 1 of this authorisation.</w:t>
      </w:r>
    </w:p>
    <w:p w:rsidR="006F10F3" w:rsidRPr="006F10F3" w:rsidRDefault="006F10F3" w:rsidP="006F10F3">
      <w:pPr>
        <w:ind w:left="426" w:hanging="284"/>
        <w:rPr>
          <w:rFonts w:eastAsia="Times New Roman"/>
          <w:szCs w:val="17"/>
        </w:rPr>
      </w:pPr>
      <w:r w:rsidRPr="006F10F3">
        <w:rPr>
          <w:rFonts w:eastAsia="Times New Roman"/>
          <w:szCs w:val="17"/>
        </w:rPr>
        <w:t>4.</w:t>
      </w:r>
      <w:r w:rsidRPr="006F10F3">
        <w:rPr>
          <w:rFonts w:eastAsia="Times New Roman"/>
          <w:szCs w:val="17"/>
        </w:rPr>
        <w:tab/>
      </w:r>
      <w:r w:rsidRPr="006F10F3">
        <w:rPr>
          <w:rFonts w:eastAsia="Times New Roman"/>
          <w:spacing w:val="-2"/>
          <w:szCs w:val="17"/>
        </w:rPr>
        <w:t>The water user must not take water except through a meter(s) supplied, installed and maintained in accordance with the South Australian Licensed Water Use Meter Specification approved by the Minister as may be amended from time to time.</w:t>
      </w:r>
    </w:p>
    <w:p w:rsidR="006F10F3" w:rsidRPr="006F10F3" w:rsidRDefault="006F10F3" w:rsidP="006F10F3">
      <w:pPr>
        <w:ind w:left="426" w:hanging="284"/>
        <w:rPr>
          <w:rFonts w:eastAsia="Times New Roman"/>
          <w:szCs w:val="17"/>
        </w:rPr>
      </w:pPr>
      <w:r w:rsidRPr="006F10F3">
        <w:rPr>
          <w:rFonts w:eastAsia="Times New Roman"/>
          <w:szCs w:val="17"/>
        </w:rPr>
        <w:t>5.</w:t>
      </w:r>
      <w:r w:rsidRPr="006F10F3">
        <w:rPr>
          <w:rFonts w:eastAsia="Times New Roman"/>
          <w:szCs w:val="17"/>
        </w:rPr>
        <w:tab/>
        <w:t>Meter readings must be used to determine the quantity of water taken from each well.</w:t>
      </w:r>
    </w:p>
    <w:p w:rsidR="006F10F3" w:rsidRPr="006F10F3" w:rsidRDefault="006F10F3" w:rsidP="006F10F3">
      <w:pPr>
        <w:ind w:left="426" w:hanging="284"/>
        <w:rPr>
          <w:rFonts w:eastAsia="Times New Roman"/>
          <w:szCs w:val="17"/>
        </w:rPr>
      </w:pPr>
      <w:r w:rsidRPr="006F10F3">
        <w:rPr>
          <w:rFonts w:eastAsia="Times New Roman"/>
          <w:szCs w:val="17"/>
        </w:rPr>
        <w:t>6.</w:t>
      </w:r>
      <w:r w:rsidRPr="006F10F3">
        <w:rPr>
          <w:rFonts w:eastAsia="Times New Roman"/>
          <w:szCs w:val="17"/>
        </w:rPr>
        <w:tab/>
        <w:t>The water user must measure and record, for each well referred to in Schedule A, at least once during each calendar month, at the same time during each calendar month:</w:t>
      </w:r>
    </w:p>
    <w:p w:rsidR="006F10F3" w:rsidRPr="006F10F3" w:rsidRDefault="006F10F3" w:rsidP="006F10F3">
      <w:pPr>
        <w:ind w:left="709" w:hanging="284"/>
        <w:rPr>
          <w:rFonts w:eastAsia="Times New Roman"/>
          <w:szCs w:val="17"/>
        </w:rPr>
      </w:pPr>
      <w:r w:rsidRPr="006F10F3">
        <w:rPr>
          <w:rFonts w:eastAsia="Times New Roman"/>
          <w:szCs w:val="17"/>
        </w:rPr>
        <w:t>(a)</w:t>
      </w:r>
      <w:r w:rsidRPr="006F10F3">
        <w:rPr>
          <w:rFonts w:eastAsia="Times New Roman"/>
          <w:szCs w:val="17"/>
        </w:rPr>
        <w:tab/>
        <w:t>meter readings;</w:t>
      </w:r>
    </w:p>
    <w:p w:rsidR="006F10F3" w:rsidRPr="006F10F3" w:rsidRDefault="006F10F3" w:rsidP="006F10F3">
      <w:pPr>
        <w:ind w:left="709" w:hanging="284"/>
        <w:rPr>
          <w:rFonts w:eastAsia="Times New Roman"/>
          <w:szCs w:val="17"/>
        </w:rPr>
      </w:pPr>
      <w:r w:rsidRPr="006F10F3">
        <w:rPr>
          <w:rFonts w:eastAsia="Times New Roman"/>
          <w:szCs w:val="17"/>
        </w:rPr>
        <w:t>(b)</w:t>
      </w:r>
      <w:r w:rsidRPr="006F10F3">
        <w:rPr>
          <w:rFonts w:eastAsia="Times New Roman"/>
          <w:szCs w:val="17"/>
        </w:rPr>
        <w:tab/>
        <w:t>extraction volumes; and</w:t>
      </w:r>
    </w:p>
    <w:p w:rsidR="006F10F3" w:rsidRPr="006F10F3" w:rsidRDefault="006F10F3" w:rsidP="006F10F3">
      <w:pPr>
        <w:ind w:left="709" w:hanging="284"/>
        <w:rPr>
          <w:rFonts w:eastAsia="Times New Roman"/>
          <w:szCs w:val="17"/>
        </w:rPr>
      </w:pPr>
      <w:r w:rsidRPr="006F10F3">
        <w:rPr>
          <w:rFonts w:eastAsia="Times New Roman"/>
          <w:szCs w:val="17"/>
        </w:rPr>
        <w:t>(c)</w:t>
      </w:r>
      <w:r w:rsidRPr="006F10F3">
        <w:rPr>
          <w:rFonts w:eastAsia="Times New Roman"/>
          <w:szCs w:val="17"/>
        </w:rPr>
        <w:tab/>
        <w:t>water level.</w:t>
      </w:r>
    </w:p>
    <w:p w:rsidR="006F10F3" w:rsidRPr="006F10F3" w:rsidRDefault="006F10F3" w:rsidP="006F10F3">
      <w:pPr>
        <w:ind w:left="426" w:hanging="284"/>
        <w:rPr>
          <w:rFonts w:eastAsia="Times New Roman"/>
          <w:szCs w:val="17"/>
        </w:rPr>
      </w:pPr>
      <w:r w:rsidRPr="006F10F3">
        <w:rPr>
          <w:rFonts w:eastAsia="Times New Roman"/>
          <w:szCs w:val="17"/>
        </w:rPr>
        <w:t>7.</w:t>
      </w:r>
      <w:r w:rsidRPr="006F10F3">
        <w:rPr>
          <w:rFonts w:eastAsia="Times New Roman"/>
          <w:szCs w:val="17"/>
        </w:rPr>
        <w:tab/>
        <w:t>Meter reading(s) must also be taken within the first 14 days of the date of this authorisation, during the first 14 calendar days of July each year and within the first 14 days of the expiry date of this authorisation.</w:t>
      </w:r>
    </w:p>
    <w:p w:rsidR="006F10F3" w:rsidRPr="006F10F3" w:rsidRDefault="006F10F3" w:rsidP="006F10F3">
      <w:pPr>
        <w:ind w:left="426" w:hanging="284"/>
        <w:rPr>
          <w:rFonts w:eastAsia="Times New Roman"/>
          <w:szCs w:val="17"/>
        </w:rPr>
      </w:pPr>
      <w:r w:rsidRPr="006F10F3">
        <w:rPr>
          <w:rFonts w:eastAsia="Times New Roman"/>
          <w:szCs w:val="17"/>
        </w:rPr>
        <w:t>8.</w:t>
      </w:r>
      <w:r w:rsidRPr="006F10F3">
        <w:rPr>
          <w:rFonts w:eastAsia="Times New Roman"/>
          <w:szCs w:val="17"/>
        </w:rPr>
        <w:tab/>
        <w:t>The Risk Monitoring and Management and Management Plan (the Plan) for the Scheme must be revised, to the satisfaction of the Minister’s representative, by no later than 30 June 2021.</w:t>
      </w:r>
    </w:p>
    <w:p w:rsidR="006F10F3" w:rsidRPr="006F10F3" w:rsidRDefault="006F10F3" w:rsidP="006F10F3">
      <w:pPr>
        <w:ind w:left="426" w:hanging="284"/>
        <w:rPr>
          <w:rFonts w:eastAsia="Times New Roman"/>
          <w:szCs w:val="17"/>
        </w:rPr>
      </w:pPr>
      <w:r w:rsidRPr="006F10F3">
        <w:rPr>
          <w:rFonts w:eastAsia="Times New Roman"/>
          <w:szCs w:val="17"/>
        </w:rPr>
        <w:t>9.</w:t>
      </w:r>
      <w:r w:rsidRPr="006F10F3">
        <w:rPr>
          <w:rFonts w:eastAsia="Times New Roman"/>
          <w:szCs w:val="17"/>
        </w:rPr>
        <w:tab/>
        <w:t>The Scheme must be operated in accordance with the Plan.</w:t>
      </w:r>
    </w:p>
    <w:p w:rsidR="006F10F3" w:rsidRPr="006F10F3" w:rsidRDefault="006F10F3" w:rsidP="006F10F3">
      <w:pPr>
        <w:ind w:left="426" w:hanging="284"/>
        <w:rPr>
          <w:rFonts w:eastAsia="Times New Roman"/>
          <w:szCs w:val="17"/>
        </w:rPr>
      </w:pPr>
      <w:r w:rsidRPr="006F10F3">
        <w:rPr>
          <w:rFonts w:eastAsia="Times New Roman"/>
          <w:szCs w:val="17"/>
        </w:rPr>
        <w:t>10.</w:t>
      </w:r>
      <w:r w:rsidRPr="006F10F3">
        <w:rPr>
          <w:rFonts w:eastAsia="Times New Roman"/>
          <w:szCs w:val="17"/>
        </w:rPr>
        <w:tab/>
        <w:t>The water user must comply with all measuring, monitoring and recording requirements as specified in the Plan, including the requirement to provide a report annually, not more than 14 days after cessation of the water use year. The report will be provided in the form specified by the Minister’s representative, and include:</w:t>
      </w:r>
    </w:p>
    <w:p w:rsidR="006F10F3" w:rsidRPr="006F10F3" w:rsidRDefault="006F10F3" w:rsidP="006F10F3">
      <w:pPr>
        <w:ind w:left="709" w:hanging="284"/>
        <w:rPr>
          <w:rFonts w:eastAsia="Times New Roman"/>
          <w:szCs w:val="17"/>
        </w:rPr>
      </w:pPr>
      <w:r w:rsidRPr="006F10F3">
        <w:rPr>
          <w:rFonts w:eastAsia="Times New Roman"/>
          <w:szCs w:val="17"/>
        </w:rPr>
        <w:t>(a)</w:t>
      </w:r>
      <w:r w:rsidRPr="006F10F3">
        <w:rPr>
          <w:rFonts w:eastAsia="Times New Roman"/>
          <w:szCs w:val="17"/>
        </w:rPr>
        <w:tab/>
        <w:t>all data in accordance with Condition 6 and 7 of this authorisation; and</w:t>
      </w:r>
    </w:p>
    <w:p w:rsidR="006F10F3" w:rsidRPr="006F10F3" w:rsidRDefault="006F10F3" w:rsidP="006F10F3">
      <w:pPr>
        <w:ind w:left="709" w:hanging="284"/>
        <w:rPr>
          <w:rFonts w:eastAsia="Times New Roman"/>
          <w:szCs w:val="17"/>
        </w:rPr>
      </w:pPr>
      <w:r w:rsidRPr="006F10F3">
        <w:rPr>
          <w:rFonts w:eastAsia="Times New Roman"/>
          <w:szCs w:val="17"/>
        </w:rPr>
        <w:t>(b)</w:t>
      </w:r>
      <w:r w:rsidRPr="006F10F3">
        <w:rPr>
          <w:rFonts w:eastAsia="Times New Roman"/>
          <w:szCs w:val="17"/>
        </w:rPr>
        <w:tab/>
        <w:t>all monitoring data collected in accordance with the annual report monitoring deliverables contained in the Plan.</w:t>
      </w:r>
    </w:p>
    <w:p w:rsidR="006F10F3" w:rsidRPr="006F10F3" w:rsidRDefault="006F10F3" w:rsidP="006F10F3">
      <w:pPr>
        <w:ind w:left="709" w:hanging="284"/>
        <w:rPr>
          <w:rFonts w:eastAsia="Times New Roman"/>
          <w:szCs w:val="17"/>
        </w:rPr>
      </w:pPr>
      <w:r w:rsidRPr="006F10F3">
        <w:rPr>
          <w:rFonts w:eastAsia="Times New Roman"/>
          <w:szCs w:val="17"/>
        </w:rPr>
        <w:t xml:space="preserve">The report is to be emailed to </w:t>
      </w:r>
      <w:hyperlink r:id="rId85" w:history="1">
        <w:r w:rsidRPr="006F10F3">
          <w:rPr>
            <w:color w:val="0000FF"/>
            <w:szCs w:val="17"/>
            <w:u w:val="single"/>
          </w:rPr>
          <w:t>dew.mar@sa.gov.au</w:t>
        </w:r>
      </w:hyperlink>
      <w:r w:rsidRPr="006F10F3">
        <w:rPr>
          <w:rFonts w:eastAsia="Times New Roman"/>
          <w:szCs w:val="17"/>
        </w:rPr>
        <w:t xml:space="preserve"> and </w:t>
      </w:r>
      <w:hyperlink r:id="rId86" w:history="1">
        <w:r w:rsidRPr="006F10F3">
          <w:rPr>
            <w:color w:val="0000FF"/>
            <w:szCs w:val="17"/>
            <w:u w:val="single"/>
          </w:rPr>
          <w:t>dewwaterlicensing@sa.gov.au</w:t>
        </w:r>
      </w:hyperlink>
      <w:r w:rsidRPr="006F10F3">
        <w:rPr>
          <w:rFonts w:eastAsia="Times New Roman"/>
          <w:szCs w:val="17"/>
        </w:rPr>
        <w:t>.</w:t>
      </w:r>
    </w:p>
    <w:p w:rsidR="006F10F3" w:rsidRPr="006F10F3" w:rsidRDefault="006F10F3" w:rsidP="006F10F3">
      <w:pPr>
        <w:ind w:left="426" w:hanging="284"/>
        <w:rPr>
          <w:rFonts w:eastAsia="Times New Roman"/>
          <w:szCs w:val="17"/>
        </w:rPr>
      </w:pPr>
      <w:r w:rsidRPr="006F10F3">
        <w:rPr>
          <w:rFonts w:eastAsia="Times New Roman"/>
          <w:szCs w:val="17"/>
        </w:rPr>
        <w:t>11.</w:t>
      </w:r>
      <w:r w:rsidRPr="006F10F3">
        <w:rPr>
          <w:rFonts w:eastAsia="Times New Roman"/>
          <w:szCs w:val="17"/>
        </w:rPr>
        <w:tab/>
        <w:t>If any device used to measure and collect data relevant to this authorisation, fails to accurately measure or record, or there is any reason to suspect that the device may be defective, then the water user must notify the Minister’s representative immediately, replace or repair the device as soon as practical and provide suitable alternative data to supplement missing data.</w:t>
      </w:r>
    </w:p>
    <w:p w:rsidR="006F10F3" w:rsidRPr="006F10F3" w:rsidRDefault="006F10F3" w:rsidP="006F10F3">
      <w:pPr>
        <w:ind w:left="426" w:hanging="284"/>
        <w:rPr>
          <w:rFonts w:eastAsia="Times New Roman"/>
          <w:szCs w:val="17"/>
        </w:rPr>
      </w:pPr>
      <w:r w:rsidRPr="006F10F3">
        <w:rPr>
          <w:rFonts w:eastAsia="Times New Roman"/>
          <w:szCs w:val="17"/>
        </w:rPr>
        <w:t>12.</w:t>
      </w:r>
      <w:r w:rsidRPr="006F10F3">
        <w:rPr>
          <w:rFonts w:eastAsia="Times New Roman"/>
          <w:szCs w:val="17"/>
        </w:rPr>
        <w:tab/>
      </w:r>
      <w:r w:rsidRPr="006F10F3">
        <w:rPr>
          <w:rFonts w:eastAsia="Times New Roman"/>
          <w:spacing w:val="-2"/>
          <w:szCs w:val="17"/>
        </w:rPr>
        <w:t xml:space="preserve">The authorised water user must comply with the provisions applying to meters set out in Regulation 12 of the </w:t>
      </w:r>
      <w:r w:rsidRPr="006F10F3">
        <w:rPr>
          <w:rFonts w:eastAsia="Times New Roman"/>
          <w:i/>
          <w:spacing w:val="-2"/>
          <w:szCs w:val="17"/>
        </w:rPr>
        <w:t>Landscape South Australia (Water Management) Regulations 2020</w:t>
      </w:r>
      <w:r w:rsidRPr="006F10F3">
        <w:rPr>
          <w:rFonts w:eastAsia="Times New Roman"/>
          <w:spacing w:val="-2"/>
          <w:szCs w:val="17"/>
        </w:rPr>
        <w:t>. It is an offence to contravene or fail to comply with those provisions.</w:t>
      </w:r>
    </w:p>
    <w:p w:rsidR="006F10F3" w:rsidRPr="006F10F3" w:rsidRDefault="006F10F3" w:rsidP="006F10F3">
      <w:pPr>
        <w:ind w:left="426" w:hanging="284"/>
        <w:rPr>
          <w:rFonts w:eastAsia="Times New Roman"/>
          <w:szCs w:val="17"/>
        </w:rPr>
      </w:pPr>
      <w:r w:rsidRPr="006F10F3">
        <w:rPr>
          <w:rFonts w:eastAsia="Times New Roman"/>
          <w:szCs w:val="17"/>
        </w:rPr>
        <w:t>For the purposes of this authorisation:</w:t>
      </w:r>
    </w:p>
    <w:p w:rsidR="006F10F3" w:rsidRPr="006F10F3" w:rsidRDefault="006F10F3" w:rsidP="006F10F3">
      <w:pPr>
        <w:ind w:left="426"/>
        <w:rPr>
          <w:rFonts w:eastAsia="Times New Roman"/>
          <w:szCs w:val="17"/>
        </w:rPr>
      </w:pPr>
      <w:r w:rsidRPr="006F10F3">
        <w:rPr>
          <w:rFonts w:eastAsia="Times New Roman"/>
          <w:szCs w:val="17"/>
        </w:rPr>
        <w:t>‘Water user’ means a person who is authorised to take water pursuant to this notice.</w:t>
      </w:r>
    </w:p>
    <w:p w:rsidR="006F10F3" w:rsidRPr="006F10F3" w:rsidRDefault="006F10F3" w:rsidP="006F10F3">
      <w:pPr>
        <w:ind w:left="426"/>
        <w:rPr>
          <w:rFonts w:eastAsia="Times New Roman"/>
          <w:szCs w:val="17"/>
        </w:rPr>
      </w:pPr>
      <w:r w:rsidRPr="006F10F3">
        <w:rPr>
          <w:rFonts w:eastAsia="Times New Roman"/>
          <w:szCs w:val="17"/>
        </w:rPr>
        <w:t>‘Water use year’ means a period of 12 months commencing on 1 July and ending 30 June the following calendar year.</w:t>
      </w:r>
    </w:p>
    <w:p w:rsidR="006F10F3" w:rsidRPr="006F10F3" w:rsidRDefault="006F10F3" w:rsidP="006F10F3">
      <w:pPr>
        <w:ind w:left="426" w:hanging="284"/>
        <w:rPr>
          <w:rFonts w:eastAsia="Times New Roman"/>
          <w:szCs w:val="17"/>
        </w:rPr>
      </w:pPr>
      <w:r w:rsidRPr="006F10F3">
        <w:rPr>
          <w:rFonts w:eastAsia="Times New Roman"/>
          <w:szCs w:val="17"/>
        </w:rPr>
        <w:t>Words used in this authorisation that are defined in the Act shall have the meanings as set out in the Act.</w:t>
      </w:r>
    </w:p>
    <w:p w:rsidR="006F10F3" w:rsidRPr="006F10F3" w:rsidRDefault="006F10F3" w:rsidP="006F10F3">
      <w:pPr>
        <w:ind w:left="142"/>
        <w:rPr>
          <w:rFonts w:eastAsia="Times New Roman"/>
          <w:szCs w:val="17"/>
        </w:rPr>
      </w:pPr>
      <w:r w:rsidRPr="006F10F3">
        <w:rPr>
          <w:rFonts w:eastAsia="Times New Roman"/>
          <w:szCs w:val="17"/>
        </w:rPr>
        <w:t>For the purpose of determining the penalty for unauthorised water use, as declared under section 88 of the Act, the ‘volumetric limit’ of this authorisation is equal to the lesser of:</w:t>
      </w:r>
    </w:p>
    <w:p w:rsidR="006F10F3" w:rsidRPr="006F10F3" w:rsidRDefault="006F10F3" w:rsidP="006F10F3">
      <w:pPr>
        <w:ind w:left="709" w:hanging="284"/>
        <w:rPr>
          <w:rFonts w:eastAsia="Times New Roman"/>
          <w:szCs w:val="17"/>
        </w:rPr>
      </w:pPr>
      <w:r w:rsidRPr="006F10F3">
        <w:rPr>
          <w:rFonts w:eastAsia="Times New Roman"/>
          <w:szCs w:val="17"/>
        </w:rPr>
        <w:t>(a)</w:t>
      </w:r>
      <w:r w:rsidRPr="006F10F3">
        <w:rPr>
          <w:rFonts w:eastAsia="Times New Roman"/>
          <w:szCs w:val="17"/>
        </w:rPr>
        <w:tab/>
        <w:t>the volume of water recharged under the Scheme over the previous five water use years, minus any volume that has subsequently been extracted, or</w:t>
      </w:r>
    </w:p>
    <w:p w:rsidR="006F10F3" w:rsidRPr="006F10F3" w:rsidRDefault="006F10F3" w:rsidP="006F10F3">
      <w:pPr>
        <w:ind w:left="709" w:hanging="284"/>
        <w:rPr>
          <w:rFonts w:eastAsia="Times New Roman"/>
          <w:szCs w:val="17"/>
        </w:rPr>
      </w:pPr>
      <w:r w:rsidRPr="006F10F3">
        <w:rPr>
          <w:rFonts w:eastAsia="Times New Roman"/>
          <w:szCs w:val="17"/>
        </w:rPr>
        <w:t>(b)</w:t>
      </w:r>
      <w:r w:rsidRPr="006F10F3">
        <w:rPr>
          <w:rFonts w:eastAsia="Times New Roman"/>
          <w:szCs w:val="17"/>
        </w:rPr>
        <w:tab/>
        <w:t>80,000 kilolitres per water use year.</w:t>
      </w:r>
    </w:p>
    <w:p w:rsidR="006F10F3" w:rsidRPr="006F10F3" w:rsidRDefault="006F10F3" w:rsidP="006F10F3">
      <w:pPr>
        <w:ind w:left="426" w:hanging="284"/>
        <w:rPr>
          <w:rFonts w:eastAsia="Times New Roman"/>
          <w:szCs w:val="17"/>
        </w:rPr>
      </w:pPr>
      <w:r w:rsidRPr="006F10F3">
        <w:rPr>
          <w:rFonts w:eastAsia="Times New Roman"/>
          <w:szCs w:val="17"/>
        </w:rPr>
        <w:t>This authorisation will commence on the date of this notice and will remain in effect until 30 June 2023 unless earlier varied or revoked.</w:t>
      </w:r>
    </w:p>
    <w:p w:rsidR="006F10F3" w:rsidRPr="006F10F3" w:rsidRDefault="006F10F3" w:rsidP="006F10F3">
      <w:pPr>
        <w:spacing w:after="0"/>
        <w:rPr>
          <w:rFonts w:eastAsia="Times New Roman"/>
          <w:szCs w:val="17"/>
        </w:rPr>
      </w:pPr>
      <w:r w:rsidRPr="006F10F3">
        <w:rPr>
          <w:rFonts w:eastAsia="Times New Roman"/>
          <w:szCs w:val="17"/>
        </w:rPr>
        <w:t>Dated: 20 July 2020</w:t>
      </w:r>
    </w:p>
    <w:p w:rsidR="006F10F3" w:rsidRPr="006F10F3" w:rsidRDefault="006F10F3" w:rsidP="006F10F3">
      <w:pPr>
        <w:spacing w:after="0"/>
        <w:jc w:val="right"/>
        <w:rPr>
          <w:rFonts w:eastAsia="Times New Roman"/>
          <w:smallCaps/>
          <w:szCs w:val="20"/>
        </w:rPr>
      </w:pPr>
      <w:r w:rsidRPr="006F10F3">
        <w:rPr>
          <w:rFonts w:eastAsia="Times New Roman"/>
          <w:smallCaps/>
          <w:szCs w:val="20"/>
        </w:rPr>
        <w:t>Ben Bruce</w:t>
      </w:r>
    </w:p>
    <w:p w:rsidR="006F10F3" w:rsidRPr="006F10F3" w:rsidRDefault="006F10F3" w:rsidP="006F10F3">
      <w:pPr>
        <w:spacing w:after="0"/>
        <w:jc w:val="right"/>
        <w:rPr>
          <w:rFonts w:eastAsia="Times New Roman"/>
          <w:szCs w:val="17"/>
        </w:rPr>
      </w:pPr>
      <w:r w:rsidRPr="006F10F3">
        <w:rPr>
          <w:rFonts w:eastAsia="Times New Roman"/>
          <w:szCs w:val="17"/>
        </w:rPr>
        <w:t>Executive Director, Water and River Murray</w:t>
      </w:r>
    </w:p>
    <w:p w:rsidR="006F10F3" w:rsidRPr="006F10F3" w:rsidRDefault="006F10F3" w:rsidP="006F10F3">
      <w:pPr>
        <w:spacing w:after="0"/>
        <w:jc w:val="right"/>
        <w:rPr>
          <w:rFonts w:eastAsia="Times New Roman"/>
          <w:szCs w:val="17"/>
        </w:rPr>
      </w:pPr>
      <w:r w:rsidRPr="006F10F3">
        <w:rPr>
          <w:rFonts w:eastAsia="Times New Roman"/>
          <w:szCs w:val="17"/>
        </w:rPr>
        <w:t>Department for Environment and Water</w:t>
      </w:r>
    </w:p>
    <w:p w:rsidR="006F10F3" w:rsidRPr="006F10F3" w:rsidRDefault="006F10F3" w:rsidP="006F10F3">
      <w:pPr>
        <w:spacing w:after="0"/>
        <w:jc w:val="right"/>
        <w:rPr>
          <w:rFonts w:eastAsia="Times New Roman"/>
          <w:szCs w:val="17"/>
        </w:rPr>
      </w:pPr>
      <w:r w:rsidRPr="006F10F3">
        <w:rPr>
          <w:rFonts w:eastAsia="Times New Roman"/>
          <w:szCs w:val="17"/>
        </w:rPr>
        <w:t>Delegate of the Minister for Environment and Water</w:t>
      </w:r>
    </w:p>
    <w:p w:rsidR="006F10F3" w:rsidRPr="006F10F3" w:rsidRDefault="006F10F3" w:rsidP="006F10F3">
      <w:pPr>
        <w:pBdr>
          <w:top w:val="single" w:sz="4" w:space="1" w:color="auto"/>
        </w:pBdr>
        <w:spacing w:before="100" w:after="0" w:line="14" w:lineRule="exact"/>
        <w:jc w:val="center"/>
        <w:rPr>
          <w:rFonts w:eastAsia="Times New Roman"/>
          <w:szCs w:val="17"/>
        </w:rPr>
      </w:pPr>
    </w:p>
    <w:p w:rsidR="006F10F3" w:rsidRDefault="006F10F3" w:rsidP="00895B8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6F10F3" w:rsidRDefault="006F10F3">
      <w:pPr>
        <w:spacing w:after="0" w:line="240" w:lineRule="auto"/>
        <w:jc w:val="left"/>
        <w:rPr>
          <w:lang w:val="en-US"/>
        </w:rPr>
      </w:pPr>
      <w:r>
        <w:rPr>
          <w:lang w:val="en-US"/>
        </w:rPr>
        <w:br w:type="page"/>
      </w:r>
    </w:p>
    <w:p w:rsidR="00C45E38" w:rsidRPr="00C45E38" w:rsidRDefault="00C45E38" w:rsidP="00C45E38">
      <w:pPr>
        <w:jc w:val="center"/>
        <w:rPr>
          <w:caps/>
          <w:szCs w:val="17"/>
        </w:rPr>
      </w:pPr>
      <w:r w:rsidRPr="00C45E38">
        <w:rPr>
          <w:caps/>
          <w:szCs w:val="17"/>
        </w:rPr>
        <w:t>Landscape South Australia Act 2019</w:t>
      </w:r>
    </w:p>
    <w:p w:rsidR="00C45E38" w:rsidRPr="00C45E38" w:rsidRDefault="00C45E38" w:rsidP="00C45E38">
      <w:pPr>
        <w:jc w:val="center"/>
        <w:rPr>
          <w:i/>
          <w:szCs w:val="17"/>
        </w:rPr>
      </w:pPr>
      <w:r w:rsidRPr="00C45E38">
        <w:rPr>
          <w:i/>
          <w:szCs w:val="17"/>
        </w:rPr>
        <w:t>Notice of Authorisation to Take Water from the Central Adelaide Prescribed Wells Area—Ref. 257142</w:t>
      </w:r>
    </w:p>
    <w:p w:rsidR="00C45E38" w:rsidRPr="00C45E38" w:rsidRDefault="00C45E38" w:rsidP="00C45E38">
      <w:pPr>
        <w:rPr>
          <w:rFonts w:eastAsia="Times New Roman"/>
          <w:szCs w:val="17"/>
        </w:rPr>
      </w:pPr>
      <w:r w:rsidRPr="00C45E38">
        <w:rPr>
          <w:rFonts w:eastAsia="Times New Roman"/>
          <w:szCs w:val="17"/>
        </w:rPr>
        <w:t xml:space="preserve">PURSUANT to Section 105 of the </w:t>
      </w:r>
      <w:r w:rsidRPr="00C45E38">
        <w:rPr>
          <w:rFonts w:eastAsia="Times New Roman"/>
          <w:i/>
          <w:szCs w:val="17"/>
        </w:rPr>
        <w:t>Landscape South Australia Act 2019</w:t>
      </w:r>
      <w:r w:rsidRPr="00C45E38">
        <w:rPr>
          <w:rFonts w:eastAsia="Times New Roman"/>
          <w:szCs w:val="17"/>
        </w:rPr>
        <w:t xml:space="preserve"> (the Act), I, Ben Bruce, delegate of the Minister for Environment and Water to whom the Act is committed, hereby authorise the taking of water from the Central Adelaide Prescribed Wells Area, prescribed under the </w:t>
      </w:r>
      <w:r w:rsidRPr="00C45E38">
        <w:rPr>
          <w:rFonts w:eastAsia="Times New Roman"/>
          <w:i/>
          <w:szCs w:val="17"/>
        </w:rPr>
        <w:t>Natural Resources Management (Central Adelaide—Prescribed Wells Area) Regulations 2007</w:t>
      </w:r>
      <w:r w:rsidRPr="00C45E38">
        <w:rPr>
          <w:rFonts w:eastAsia="Times New Roman"/>
          <w:szCs w:val="17"/>
        </w:rPr>
        <w:t>, from the prescribed wells specified in Schedule A, for the purpose set out in Schedule B and subject to the conditions specified in Schedule C.</w:t>
      </w:r>
    </w:p>
    <w:p w:rsidR="00C45E38" w:rsidRPr="00C45E38" w:rsidRDefault="00C45E38" w:rsidP="00C45E38">
      <w:pPr>
        <w:jc w:val="center"/>
        <w:rPr>
          <w:smallCaps/>
          <w:szCs w:val="17"/>
        </w:rPr>
      </w:pPr>
      <w:r w:rsidRPr="00C45E38">
        <w:rPr>
          <w:smallCaps/>
          <w:szCs w:val="17"/>
        </w:rPr>
        <w:t>Schedule A</w:t>
      </w:r>
    </w:p>
    <w:p w:rsidR="00C45E38" w:rsidRPr="00C45E38" w:rsidRDefault="00C45E38" w:rsidP="00C45E38">
      <w:pPr>
        <w:rPr>
          <w:rFonts w:eastAsia="Times New Roman"/>
          <w:i/>
          <w:szCs w:val="17"/>
        </w:rPr>
      </w:pPr>
      <w:r w:rsidRPr="00C45E38">
        <w:rPr>
          <w:rFonts w:eastAsia="Times New Roman"/>
          <w:i/>
          <w:szCs w:val="17"/>
        </w:rPr>
        <w:t>Prescribed Wells</w:t>
      </w:r>
    </w:p>
    <w:p w:rsidR="00C45E38" w:rsidRPr="00C45E38" w:rsidRDefault="00C45E38" w:rsidP="00C45E38">
      <w:pPr>
        <w:rPr>
          <w:rFonts w:eastAsia="Times New Roman"/>
          <w:szCs w:val="17"/>
        </w:rPr>
      </w:pPr>
      <w:r w:rsidRPr="00C45E38">
        <w:rPr>
          <w:rFonts w:eastAsia="Times New Roman"/>
          <w:szCs w:val="17"/>
        </w:rPr>
        <w:t>Well unit numbers 6628-24566 and 6628-24567.</w:t>
      </w:r>
    </w:p>
    <w:p w:rsidR="00C45E38" w:rsidRPr="00C45E38" w:rsidRDefault="00C45E38" w:rsidP="00C45E38">
      <w:pPr>
        <w:jc w:val="center"/>
        <w:rPr>
          <w:smallCaps/>
          <w:szCs w:val="17"/>
        </w:rPr>
      </w:pPr>
      <w:r w:rsidRPr="00C45E38">
        <w:rPr>
          <w:smallCaps/>
          <w:szCs w:val="17"/>
        </w:rPr>
        <w:t>Schedule B</w:t>
      </w:r>
    </w:p>
    <w:p w:rsidR="00C45E38" w:rsidRPr="00C45E38" w:rsidRDefault="00C45E38" w:rsidP="00C45E38">
      <w:pPr>
        <w:rPr>
          <w:rFonts w:eastAsia="Times New Roman"/>
          <w:i/>
          <w:szCs w:val="17"/>
        </w:rPr>
      </w:pPr>
      <w:r w:rsidRPr="00C45E38">
        <w:rPr>
          <w:rFonts w:eastAsia="Times New Roman"/>
          <w:i/>
          <w:szCs w:val="17"/>
        </w:rPr>
        <w:t>Purpose</w:t>
      </w:r>
    </w:p>
    <w:p w:rsidR="00C45E38" w:rsidRPr="00C45E38" w:rsidRDefault="00C45E38" w:rsidP="00C45E38">
      <w:pPr>
        <w:rPr>
          <w:rFonts w:eastAsia="Times New Roman"/>
          <w:szCs w:val="17"/>
        </w:rPr>
      </w:pPr>
      <w:r w:rsidRPr="00C45E38">
        <w:rPr>
          <w:rFonts w:eastAsia="Times New Roman"/>
          <w:szCs w:val="17"/>
        </w:rPr>
        <w:t>For the irrigation of Adelaide Botanic Gardens and Botanic Park, in association with the Botanic Gardens Managed Aquifer Recharge and Recovery Scheme (the Scheme).</w:t>
      </w:r>
    </w:p>
    <w:p w:rsidR="00C45E38" w:rsidRPr="00C45E38" w:rsidRDefault="00C45E38" w:rsidP="00C45E38">
      <w:pPr>
        <w:jc w:val="center"/>
        <w:rPr>
          <w:smallCaps/>
          <w:szCs w:val="17"/>
        </w:rPr>
      </w:pPr>
      <w:r w:rsidRPr="00C45E38">
        <w:rPr>
          <w:smallCaps/>
          <w:szCs w:val="17"/>
        </w:rPr>
        <w:t>Schedule C</w:t>
      </w:r>
    </w:p>
    <w:p w:rsidR="00C45E38" w:rsidRPr="00C45E38" w:rsidRDefault="00C45E38" w:rsidP="00C45E38">
      <w:pPr>
        <w:rPr>
          <w:rFonts w:eastAsia="Times New Roman"/>
          <w:i/>
          <w:szCs w:val="17"/>
        </w:rPr>
      </w:pPr>
      <w:r w:rsidRPr="00C45E38">
        <w:rPr>
          <w:rFonts w:eastAsia="Times New Roman"/>
          <w:i/>
          <w:szCs w:val="17"/>
        </w:rPr>
        <w:t>Conditions</w:t>
      </w:r>
    </w:p>
    <w:p w:rsidR="00C45E38" w:rsidRPr="00C45E38" w:rsidRDefault="00C45E38" w:rsidP="00C45E38">
      <w:pPr>
        <w:ind w:left="426" w:hanging="284"/>
        <w:rPr>
          <w:rFonts w:eastAsia="Times New Roman"/>
          <w:szCs w:val="17"/>
        </w:rPr>
      </w:pPr>
      <w:r w:rsidRPr="00C45E38">
        <w:rPr>
          <w:rFonts w:eastAsia="Times New Roman"/>
          <w:szCs w:val="17"/>
        </w:rPr>
        <w:t>1.</w:t>
      </w:r>
      <w:r w:rsidRPr="00C45E38">
        <w:rPr>
          <w:rFonts w:eastAsia="Times New Roman"/>
          <w:szCs w:val="17"/>
        </w:rPr>
        <w:tab/>
        <w:t>Water may only be taken from the date of publication of this notice until 30 June 2023.</w:t>
      </w:r>
    </w:p>
    <w:p w:rsidR="00C45E38" w:rsidRPr="00C45E38" w:rsidRDefault="00C45E38" w:rsidP="00C45E38">
      <w:pPr>
        <w:ind w:left="426" w:hanging="284"/>
        <w:rPr>
          <w:rFonts w:eastAsia="Times New Roman"/>
          <w:szCs w:val="17"/>
        </w:rPr>
      </w:pPr>
      <w:r w:rsidRPr="00C45E38">
        <w:rPr>
          <w:rFonts w:eastAsia="Times New Roman"/>
          <w:szCs w:val="17"/>
        </w:rPr>
        <w:t>2.</w:t>
      </w:r>
      <w:r w:rsidRPr="00C45E38">
        <w:rPr>
          <w:rFonts w:eastAsia="Times New Roman"/>
          <w:szCs w:val="17"/>
        </w:rPr>
        <w:tab/>
        <w:t xml:space="preserve">The volume of water permitted to be extracted in a water use year must not exceed the volume of water recharged under the Scheme over the previous five water use years, minus any volume that has subsequently been extracted. The maximum volume taken in any given water use year, however, must not exceed the volumes referred to in Condition 3 of this authorisation. </w:t>
      </w:r>
    </w:p>
    <w:p w:rsidR="00C45E38" w:rsidRPr="00C45E38" w:rsidRDefault="00C45E38" w:rsidP="00C45E38">
      <w:pPr>
        <w:ind w:left="426" w:hanging="284"/>
        <w:rPr>
          <w:rFonts w:eastAsia="Times New Roman"/>
          <w:szCs w:val="17"/>
        </w:rPr>
      </w:pPr>
      <w:r w:rsidRPr="00C45E38">
        <w:rPr>
          <w:rFonts w:eastAsia="Times New Roman"/>
          <w:szCs w:val="17"/>
        </w:rPr>
        <w:t>3.</w:t>
      </w:r>
      <w:r w:rsidRPr="00C45E38">
        <w:rPr>
          <w:rFonts w:eastAsia="Times New Roman"/>
          <w:szCs w:val="17"/>
        </w:rPr>
        <w:tab/>
        <w:t>Subject to Condition 2 of this authorisation, a total maximum volume of 200,000 kilolitres of water per water use year may be taken from the prescribed wells specified in Schedule A, during the period referred to in Condition 1 of this authorisation.</w:t>
      </w:r>
      <w:r w:rsidRPr="00C45E38">
        <w:rPr>
          <w:rFonts w:eastAsia="Times New Roman"/>
          <w:szCs w:val="17"/>
        </w:rPr>
        <w:tab/>
      </w:r>
    </w:p>
    <w:p w:rsidR="00C45E38" w:rsidRPr="00C45E38" w:rsidRDefault="00C45E38" w:rsidP="00C45E38">
      <w:pPr>
        <w:ind w:left="426" w:hanging="284"/>
        <w:rPr>
          <w:rFonts w:eastAsia="Times New Roman"/>
          <w:szCs w:val="17"/>
        </w:rPr>
      </w:pPr>
      <w:r w:rsidRPr="00C45E38">
        <w:rPr>
          <w:rFonts w:eastAsia="Times New Roman"/>
          <w:szCs w:val="17"/>
        </w:rPr>
        <w:t>4.</w:t>
      </w:r>
      <w:r w:rsidRPr="00C45E38">
        <w:rPr>
          <w:rFonts w:eastAsia="Times New Roman"/>
          <w:szCs w:val="17"/>
        </w:rPr>
        <w:tab/>
      </w:r>
      <w:r w:rsidRPr="00C45E38">
        <w:rPr>
          <w:rFonts w:eastAsia="Times New Roman"/>
          <w:spacing w:val="-2"/>
          <w:szCs w:val="17"/>
        </w:rPr>
        <w:t>The water user must not take water except through a meter(s) supplied, installed and maintained in accordance with the South Australian Licensed Water Use Meter Specification approved by the Minister as may be amended from time to time.</w:t>
      </w:r>
    </w:p>
    <w:p w:rsidR="00C45E38" w:rsidRPr="00C45E38" w:rsidRDefault="00C45E38" w:rsidP="00C45E38">
      <w:pPr>
        <w:ind w:left="426" w:hanging="284"/>
        <w:rPr>
          <w:rFonts w:eastAsia="Times New Roman"/>
          <w:szCs w:val="17"/>
        </w:rPr>
      </w:pPr>
      <w:r w:rsidRPr="00C45E38">
        <w:rPr>
          <w:rFonts w:eastAsia="Times New Roman"/>
          <w:szCs w:val="17"/>
        </w:rPr>
        <w:t>5.</w:t>
      </w:r>
      <w:r w:rsidRPr="00C45E38">
        <w:rPr>
          <w:rFonts w:eastAsia="Times New Roman"/>
          <w:szCs w:val="17"/>
        </w:rPr>
        <w:tab/>
        <w:t xml:space="preserve">Meter readings must be used to determine the quantity of water taken from each well. </w:t>
      </w:r>
    </w:p>
    <w:p w:rsidR="00C45E38" w:rsidRPr="00C45E38" w:rsidRDefault="00C45E38" w:rsidP="00C45E38">
      <w:pPr>
        <w:ind w:left="426" w:hanging="284"/>
        <w:rPr>
          <w:rFonts w:eastAsia="Times New Roman"/>
          <w:szCs w:val="17"/>
        </w:rPr>
      </w:pPr>
      <w:r w:rsidRPr="00C45E38">
        <w:rPr>
          <w:rFonts w:eastAsia="Times New Roman"/>
          <w:szCs w:val="17"/>
        </w:rPr>
        <w:t>6.</w:t>
      </w:r>
      <w:r w:rsidRPr="00C45E38">
        <w:rPr>
          <w:rFonts w:eastAsia="Times New Roman"/>
          <w:szCs w:val="17"/>
        </w:rPr>
        <w:tab/>
        <w:t>The water user must measure and record, for each well referred to in Schedule A, at least once during each calendar month, at the same time during each calendar month:</w:t>
      </w:r>
    </w:p>
    <w:p w:rsidR="00C45E38" w:rsidRPr="00C45E38" w:rsidRDefault="00C45E38" w:rsidP="00C45E38">
      <w:pPr>
        <w:ind w:left="709" w:hanging="283"/>
        <w:rPr>
          <w:rFonts w:eastAsia="Times New Roman"/>
          <w:szCs w:val="17"/>
        </w:rPr>
      </w:pPr>
      <w:r w:rsidRPr="00C45E38">
        <w:rPr>
          <w:rFonts w:eastAsia="Times New Roman"/>
          <w:szCs w:val="17"/>
        </w:rPr>
        <w:t>(a)</w:t>
      </w:r>
      <w:r w:rsidRPr="00C45E38">
        <w:rPr>
          <w:rFonts w:eastAsia="Times New Roman"/>
          <w:szCs w:val="17"/>
        </w:rPr>
        <w:tab/>
        <w:t>meter readings;</w:t>
      </w:r>
    </w:p>
    <w:p w:rsidR="00C45E38" w:rsidRPr="00C45E38" w:rsidRDefault="00C45E38" w:rsidP="00C45E38">
      <w:pPr>
        <w:ind w:left="709" w:hanging="283"/>
        <w:rPr>
          <w:rFonts w:eastAsia="Times New Roman"/>
          <w:szCs w:val="17"/>
        </w:rPr>
      </w:pPr>
      <w:r w:rsidRPr="00C45E38">
        <w:rPr>
          <w:rFonts w:eastAsia="Times New Roman"/>
          <w:szCs w:val="17"/>
        </w:rPr>
        <w:t>(b)</w:t>
      </w:r>
      <w:r w:rsidRPr="00C45E38">
        <w:rPr>
          <w:rFonts w:eastAsia="Times New Roman"/>
          <w:szCs w:val="17"/>
        </w:rPr>
        <w:tab/>
        <w:t>extraction volumes; and</w:t>
      </w:r>
    </w:p>
    <w:p w:rsidR="00C45E38" w:rsidRPr="00C45E38" w:rsidRDefault="00C45E38" w:rsidP="00C45E38">
      <w:pPr>
        <w:ind w:left="709" w:hanging="283"/>
        <w:rPr>
          <w:rFonts w:eastAsia="Times New Roman"/>
          <w:szCs w:val="17"/>
        </w:rPr>
      </w:pPr>
      <w:r w:rsidRPr="00C45E38">
        <w:rPr>
          <w:rFonts w:eastAsia="Times New Roman"/>
          <w:szCs w:val="17"/>
        </w:rPr>
        <w:t>(c)</w:t>
      </w:r>
      <w:r w:rsidRPr="00C45E38">
        <w:rPr>
          <w:rFonts w:eastAsia="Times New Roman"/>
          <w:szCs w:val="17"/>
        </w:rPr>
        <w:tab/>
        <w:t>water level.</w:t>
      </w:r>
    </w:p>
    <w:p w:rsidR="00C45E38" w:rsidRPr="00C45E38" w:rsidRDefault="00C45E38" w:rsidP="00C45E38">
      <w:pPr>
        <w:ind w:left="426" w:hanging="284"/>
        <w:rPr>
          <w:rFonts w:eastAsia="Times New Roman"/>
          <w:szCs w:val="17"/>
        </w:rPr>
      </w:pPr>
      <w:r w:rsidRPr="00C45E38">
        <w:rPr>
          <w:rFonts w:eastAsia="Times New Roman"/>
          <w:szCs w:val="17"/>
        </w:rPr>
        <w:t>7.</w:t>
      </w:r>
      <w:r w:rsidRPr="00C45E38">
        <w:rPr>
          <w:rFonts w:eastAsia="Times New Roman"/>
          <w:szCs w:val="17"/>
        </w:rPr>
        <w:tab/>
        <w:t>Meter reading(s) must be taken within the first 14 days of the date of this authorisation, during the first 14 calendar days of July each year and within the first 14 days of the expiry date of this authorisation.</w:t>
      </w:r>
    </w:p>
    <w:p w:rsidR="00C45E38" w:rsidRPr="00C45E38" w:rsidRDefault="00C45E38" w:rsidP="00C45E38">
      <w:pPr>
        <w:ind w:left="426" w:hanging="284"/>
        <w:rPr>
          <w:rFonts w:eastAsia="Times New Roman"/>
          <w:szCs w:val="17"/>
        </w:rPr>
      </w:pPr>
      <w:r w:rsidRPr="00C45E38">
        <w:rPr>
          <w:rFonts w:eastAsia="Times New Roman"/>
          <w:szCs w:val="17"/>
        </w:rPr>
        <w:t>8.</w:t>
      </w:r>
      <w:r w:rsidRPr="00C45E38">
        <w:rPr>
          <w:rFonts w:eastAsia="Times New Roman"/>
          <w:szCs w:val="17"/>
        </w:rPr>
        <w:tab/>
        <w:t>The Risk Monitoring and Management and Management Plan (the Plan) for the Scheme must be revised, to the satisfaction of the Minister’s representative, by no later than 30 June 2021.</w:t>
      </w:r>
    </w:p>
    <w:p w:rsidR="00C45E38" w:rsidRPr="00C45E38" w:rsidRDefault="00C45E38" w:rsidP="00C45E38">
      <w:pPr>
        <w:ind w:left="426" w:hanging="284"/>
        <w:rPr>
          <w:rFonts w:eastAsia="Times New Roman"/>
          <w:szCs w:val="17"/>
        </w:rPr>
      </w:pPr>
      <w:r w:rsidRPr="00C45E38">
        <w:rPr>
          <w:rFonts w:eastAsia="Times New Roman"/>
          <w:szCs w:val="17"/>
        </w:rPr>
        <w:t>9.</w:t>
      </w:r>
      <w:r w:rsidRPr="00C45E38">
        <w:rPr>
          <w:rFonts w:eastAsia="Times New Roman"/>
          <w:szCs w:val="17"/>
        </w:rPr>
        <w:tab/>
        <w:t>The Scheme must be operated in accordance with the Plan.</w:t>
      </w:r>
    </w:p>
    <w:p w:rsidR="00C45E38" w:rsidRPr="00C45E38" w:rsidRDefault="00C45E38" w:rsidP="00C45E38">
      <w:pPr>
        <w:ind w:left="426" w:hanging="284"/>
        <w:rPr>
          <w:rFonts w:eastAsia="Times New Roman"/>
          <w:szCs w:val="17"/>
        </w:rPr>
      </w:pPr>
      <w:r w:rsidRPr="00C45E38">
        <w:rPr>
          <w:rFonts w:eastAsia="Times New Roman"/>
          <w:szCs w:val="17"/>
        </w:rPr>
        <w:t>10.</w:t>
      </w:r>
      <w:r w:rsidRPr="00C45E38">
        <w:rPr>
          <w:rFonts w:eastAsia="Times New Roman"/>
          <w:szCs w:val="17"/>
        </w:rPr>
        <w:tab/>
        <w:t>The water user must comply with all measuring, monitoring and recording requirements as specified in the Plan, including the requirement to provide a report annually, not more than 14 days after cessation of the water use year. The report will be provided in the form specified by the Minister’s representative, and include:</w:t>
      </w:r>
    </w:p>
    <w:p w:rsidR="00C45E38" w:rsidRPr="00C45E38" w:rsidRDefault="00C45E38" w:rsidP="00C45E38">
      <w:pPr>
        <w:ind w:left="709" w:hanging="283"/>
        <w:rPr>
          <w:rFonts w:eastAsia="Times New Roman"/>
          <w:szCs w:val="17"/>
        </w:rPr>
      </w:pPr>
      <w:r w:rsidRPr="00C45E38">
        <w:rPr>
          <w:rFonts w:eastAsia="Times New Roman"/>
          <w:szCs w:val="17"/>
        </w:rPr>
        <w:t>(a)</w:t>
      </w:r>
      <w:r w:rsidRPr="00C45E38">
        <w:rPr>
          <w:rFonts w:eastAsia="Times New Roman"/>
          <w:szCs w:val="17"/>
        </w:rPr>
        <w:tab/>
        <w:t>all data in accordance with Condition 6 and 7 of this authorisation; and</w:t>
      </w:r>
    </w:p>
    <w:p w:rsidR="00C45E38" w:rsidRPr="00C45E38" w:rsidRDefault="00C45E38" w:rsidP="00C45E38">
      <w:pPr>
        <w:ind w:left="709" w:hanging="283"/>
        <w:rPr>
          <w:rFonts w:eastAsia="Times New Roman"/>
          <w:szCs w:val="17"/>
        </w:rPr>
      </w:pPr>
      <w:r w:rsidRPr="00C45E38">
        <w:rPr>
          <w:rFonts w:eastAsia="Times New Roman"/>
          <w:szCs w:val="17"/>
        </w:rPr>
        <w:t>(b)</w:t>
      </w:r>
      <w:r w:rsidRPr="00C45E38">
        <w:rPr>
          <w:rFonts w:eastAsia="Times New Roman"/>
          <w:szCs w:val="17"/>
        </w:rPr>
        <w:tab/>
        <w:t>all monitoring data collected in accordance with the annual report monitoring deliverables contained in the Plan.</w:t>
      </w:r>
    </w:p>
    <w:p w:rsidR="00C45E38" w:rsidRPr="00C45E38" w:rsidRDefault="00C45E38" w:rsidP="00C45E38">
      <w:pPr>
        <w:ind w:left="426"/>
        <w:rPr>
          <w:rFonts w:eastAsia="Times New Roman"/>
          <w:szCs w:val="17"/>
        </w:rPr>
      </w:pPr>
      <w:r w:rsidRPr="00C45E38">
        <w:rPr>
          <w:rFonts w:eastAsia="Times New Roman"/>
          <w:szCs w:val="17"/>
        </w:rPr>
        <w:t xml:space="preserve">The report is to be emailed to </w:t>
      </w:r>
      <w:hyperlink r:id="rId87" w:history="1">
        <w:r w:rsidRPr="00C45E38">
          <w:rPr>
            <w:color w:val="0000FF"/>
            <w:szCs w:val="17"/>
            <w:u w:val="single"/>
          </w:rPr>
          <w:t>dew.mar@sa.gov.au</w:t>
        </w:r>
      </w:hyperlink>
      <w:r w:rsidRPr="00C45E38">
        <w:rPr>
          <w:rFonts w:eastAsia="Times New Roman"/>
          <w:szCs w:val="17"/>
        </w:rPr>
        <w:t xml:space="preserve"> and </w:t>
      </w:r>
      <w:hyperlink r:id="rId88" w:history="1">
        <w:r w:rsidRPr="00C45E38">
          <w:rPr>
            <w:color w:val="0000FF"/>
            <w:szCs w:val="17"/>
            <w:u w:val="single"/>
          </w:rPr>
          <w:t>dewwaterlicensing@sa.gov.au</w:t>
        </w:r>
      </w:hyperlink>
      <w:r w:rsidRPr="00C45E38">
        <w:rPr>
          <w:rFonts w:eastAsia="Times New Roman"/>
          <w:szCs w:val="17"/>
        </w:rPr>
        <w:t>.</w:t>
      </w:r>
    </w:p>
    <w:p w:rsidR="00C45E38" w:rsidRPr="00C45E38" w:rsidRDefault="00C45E38" w:rsidP="00C45E38">
      <w:pPr>
        <w:ind w:left="426" w:hanging="284"/>
        <w:rPr>
          <w:rFonts w:eastAsia="Times New Roman"/>
          <w:szCs w:val="17"/>
        </w:rPr>
      </w:pPr>
      <w:r w:rsidRPr="00C45E38">
        <w:rPr>
          <w:rFonts w:eastAsia="Times New Roman"/>
          <w:szCs w:val="17"/>
        </w:rPr>
        <w:t>11.</w:t>
      </w:r>
      <w:r w:rsidRPr="00C45E38">
        <w:rPr>
          <w:rFonts w:eastAsia="Times New Roman"/>
          <w:szCs w:val="17"/>
        </w:rPr>
        <w:tab/>
        <w:t xml:space="preserve">If any device used to measure and collect data relevant to this authorisation, fails to accurately measure or record, or there is any reason to suspect that the device may be defective, then the water user must notify the Minister’s representative immediately, replace or repair the device as soon as practical and provide suitable alternative data to supplement missing data. </w:t>
      </w:r>
    </w:p>
    <w:p w:rsidR="00C45E38" w:rsidRPr="00C45E38" w:rsidRDefault="00C45E38" w:rsidP="00C45E38">
      <w:pPr>
        <w:ind w:left="426" w:hanging="284"/>
        <w:rPr>
          <w:rFonts w:eastAsia="Times New Roman"/>
          <w:szCs w:val="17"/>
        </w:rPr>
      </w:pPr>
      <w:r w:rsidRPr="00C45E38">
        <w:rPr>
          <w:rFonts w:eastAsia="Times New Roman"/>
          <w:szCs w:val="17"/>
        </w:rPr>
        <w:t>12.</w:t>
      </w:r>
      <w:r w:rsidRPr="00C45E38">
        <w:rPr>
          <w:rFonts w:eastAsia="Times New Roman"/>
          <w:szCs w:val="17"/>
        </w:rPr>
        <w:tab/>
      </w:r>
      <w:r w:rsidRPr="00C45E38">
        <w:rPr>
          <w:rFonts w:eastAsia="Times New Roman"/>
          <w:spacing w:val="-2"/>
          <w:szCs w:val="17"/>
        </w:rPr>
        <w:t xml:space="preserve">The authorised water user must comply with the provisions applying to meters set out in Regulation 12 of the </w:t>
      </w:r>
      <w:r w:rsidRPr="00C45E38">
        <w:rPr>
          <w:rFonts w:eastAsia="Times New Roman"/>
          <w:i/>
          <w:spacing w:val="-2"/>
          <w:szCs w:val="17"/>
        </w:rPr>
        <w:t>Landscape South Australia (Water Management) Regulations 2020</w:t>
      </w:r>
      <w:r w:rsidRPr="00C45E38">
        <w:rPr>
          <w:rFonts w:eastAsia="Times New Roman"/>
          <w:spacing w:val="-2"/>
          <w:szCs w:val="17"/>
        </w:rPr>
        <w:t>. It is an offence to contravene or fail to comply with those provisions.</w:t>
      </w:r>
    </w:p>
    <w:p w:rsidR="00C45E38" w:rsidRPr="00C45E38" w:rsidRDefault="00C45E38" w:rsidP="00C45E38">
      <w:pPr>
        <w:rPr>
          <w:rFonts w:eastAsia="Times New Roman"/>
          <w:szCs w:val="17"/>
        </w:rPr>
      </w:pPr>
      <w:r w:rsidRPr="00C45E38">
        <w:rPr>
          <w:rFonts w:eastAsia="Times New Roman"/>
          <w:szCs w:val="17"/>
        </w:rPr>
        <w:t>For the purposes of this authorisation:</w:t>
      </w:r>
    </w:p>
    <w:p w:rsidR="00C45E38" w:rsidRPr="00C45E38" w:rsidRDefault="00C45E38" w:rsidP="00C45E38">
      <w:pPr>
        <w:ind w:left="284"/>
        <w:rPr>
          <w:rFonts w:eastAsia="Times New Roman"/>
          <w:szCs w:val="17"/>
        </w:rPr>
      </w:pPr>
      <w:r w:rsidRPr="00C45E38">
        <w:rPr>
          <w:rFonts w:eastAsia="Times New Roman"/>
          <w:szCs w:val="17"/>
        </w:rPr>
        <w:t>‘Water user’ means a person who is authorised to take water pursuant to this notice.</w:t>
      </w:r>
    </w:p>
    <w:p w:rsidR="00C45E38" w:rsidRPr="00C45E38" w:rsidRDefault="00C45E38" w:rsidP="00C45E38">
      <w:pPr>
        <w:ind w:left="284"/>
        <w:rPr>
          <w:rFonts w:eastAsia="Times New Roman"/>
          <w:szCs w:val="17"/>
        </w:rPr>
      </w:pPr>
      <w:r w:rsidRPr="00C45E38">
        <w:rPr>
          <w:rFonts w:eastAsia="Times New Roman"/>
          <w:szCs w:val="17"/>
        </w:rPr>
        <w:t>‘Water use year’ means a period of 12 months commencing on 1 July and ending 30 June the following calendar year.</w:t>
      </w:r>
    </w:p>
    <w:p w:rsidR="00C45E38" w:rsidRPr="00C45E38" w:rsidRDefault="00C45E38" w:rsidP="00C45E38">
      <w:pPr>
        <w:rPr>
          <w:rFonts w:eastAsia="Times New Roman"/>
          <w:szCs w:val="17"/>
        </w:rPr>
      </w:pPr>
      <w:r w:rsidRPr="00C45E38">
        <w:rPr>
          <w:rFonts w:eastAsia="Times New Roman"/>
          <w:szCs w:val="17"/>
        </w:rPr>
        <w:t>Words used in this authorisation that are defined in the Act shall have the meanings as set out in the Act.</w:t>
      </w:r>
    </w:p>
    <w:p w:rsidR="00C45E38" w:rsidRPr="00C45E38" w:rsidRDefault="00C45E38" w:rsidP="00C45E38">
      <w:pPr>
        <w:rPr>
          <w:rFonts w:eastAsia="Times New Roman"/>
          <w:szCs w:val="17"/>
        </w:rPr>
      </w:pPr>
      <w:r w:rsidRPr="00C45E38">
        <w:rPr>
          <w:rFonts w:eastAsia="Times New Roman"/>
          <w:szCs w:val="17"/>
        </w:rPr>
        <w:t>For the purpose of determining the penalty for unauthorised water use, as declared under section 88 of the Act, the ‘volumetric limit’ of this authorisation is equal to the lesser of:</w:t>
      </w:r>
    </w:p>
    <w:p w:rsidR="00C45E38" w:rsidRPr="00C45E38" w:rsidRDefault="00C45E38" w:rsidP="00C45E38">
      <w:pPr>
        <w:ind w:left="709" w:hanging="283"/>
        <w:rPr>
          <w:rFonts w:eastAsia="Times New Roman"/>
          <w:szCs w:val="17"/>
        </w:rPr>
      </w:pPr>
      <w:r w:rsidRPr="00C45E38">
        <w:rPr>
          <w:rFonts w:eastAsia="Times New Roman"/>
          <w:szCs w:val="17"/>
        </w:rPr>
        <w:t>(a)</w:t>
      </w:r>
      <w:r w:rsidRPr="00C45E38">
        <w:rPr>
          <w:rFonts w:eastAsia="Times New Roman"/>
          <w:szCs w:val="17"/>
        </w:rPr>
        <w:tab/>
        <w:t>the volume of water recharged under the Scheme over the previous five water use years, minus any volume that has subsequently been extracted, or</w:t>
      </w:r>
    </w:p>
    <w:p w:rsidR="00C45E38" w:rsidRPr="00C45E38" w:rsidRDefault="00C45E38" w:rsidP="00C45E38">
      <w:pPr>
        <w:ind w:left="709" w:hanging="283"/>
        <w:rPr>
          <w:rFonts w:eastAsia="Times New Roman"/>
          <w:szCs w:val="17"/>
        </w:rPr>
      </w:pPr>
      <w:r w:rsidRPr="00C45E38">
        <w:rPr>
          <w:rFonts w:eastAsia="Times New Roman"/>
          <w:szCs w:val="17"/>
        </w:rPr>
        <w:t>(b)</w:t>
      </w:r>
      <w:r w:rsidRPr="00C45E38">
        <w:rPr>
          <w:rFonts w:eastAsia="Times New Roman"/>
          <w:szCs w:val="17"/>
        </w:rPr>
        <w:tab/>
        <w:t>200,000 kilolitres per water use year.</w:t>
      </w:r>
    </w:p>
    <w:p w:rsidR="00C45E38" w:rsidRPr="00C45E38" w:rsidRDefault="00C45E38" w:rsidP="00C45E38">
      <w:pPr>
        <w:rPr>
          <w:rFonts w:eastAsia="Times New Roman"/>
          <w:szCs w:val="17"/>
        </w:rPr>
      </w:pPr>
      <w:r w:rsidRPr="00C45E38">
        <w:rPr>
          <w:rFonts w:eastAsia="Times New Roman"/>
          <w:szCs w:val="17"/>
        </w:rPr>
        <w:t>This authorisation will commence on the date of this notice and will remain in effect until 30 June 2023 unless earlier varied or revoked.</w:t>
      </w:r>
    </w:p>
    <w:p w:rsidR="00C45E38" w:rsidRPr="00C45E38" w:rsidRDefault="00C45E38" w:rsidP="00C45E38">
      <w:pPr>
        <w:spacing w:after="0"/>
        <w:rPr>
          <w:rFonts w:eastAsia="Times New Roman"/>
          <w:szCs w:val="17"/>
        </w:rPr>
      </w:pPr>
      <w:r w:rsidRPr="00C45E38">
        <w:rPr>
          <w:rFonts w:eastAsia="Times New Roman"/>
          <w:szCs w:val="17"/>
        </w:rPr>
        <w:t>Dated: 20 July 2020</w:t>
      </w:r>
    </w:p>
    <w:p w:rsidR="00C45E38" w:rsidRPr="00C45E38" w:rsidRDefault="00C45E38" w:rsidP="00C45E38">
      <w:pPr>
        <w:spacing w:after="0"/>
        <w:jc w:val="right"/>
        <w:rPr>
          <w:rFonts w:eastAsia="Times New Roman"/>
          <w:smallCaps/>
          <w:szCs w:val="20"/>
        </w:rPr>
      </w:pPr>
      <w:r w:rsidRPr="00C45E38">
        <w:rPr>
          <w:rFonts w:eastAsia="Times New Roman"/>
          <w:smallCaps/>
          <w:szCs w:val="20"/>
        </w:rPr>
        <w:t>Ben Bruce</w:t>
      </w:r>
    </w:p>
    <w:p w:rsidR="00C45E38" w:rsidRPr="00C45E38" w:rsidRDefault="00C45E38" w:rsidP="00C45E38">
      <w:pPr>
        <w:spacing w:after="0"/>
        <w:jc w:val="right"/>
        <w:rPr>
          <w:rFonts w:eastAsia="Times New Roman"/>
          <w:szCs w:val="17"/>
        </w:rPr>
      </w:pPr>
      <w:r w:rsidRPr="00C45E38">
        <w:rPr>
          <w:rFonts w:eastAsia="Times New Roman"/>
          <w:szCs w:val="17"/>
        </w:rPr>
        <w:t>Executive Director, Water and River Murray</w:t>
      </w:r>
    </w:p>
    <w:p w:rsidR="00C45E38" w:rsidRPr="00C45E38" w:rsidRDefault="00C45E38" w:rsidP="00C45E38">
      <w:pPr>
        <w:spacing w:after="0"/>
        <w:jc w:val="right"/>
        <w:rPr>
          <w:rFonts w:eastAsia="Times New Roman"/>
          <w:szCs w:val="17"/>
        </w:rPr>
      </w:pPr>
      <w:r w:rsidRPr="00C45E38">
        <w:rPr>
          <w:rFonts w:eastAsia="Times New Roman"/>
          <w:szCs w:val="17"/>
        </w:rPr>
        <w:t>Department for Environment and Water</w:t>
      </w:r>
    </w:p>
    <w:p w:rsidR="00C45E38" w:rsidRPr="00C45E38" w:rsidRDefault="00C45E38" w:rsidP="00C45E38">
      <w:pPr>
        <w:spacing w:after="0"/>
        <w:jc w:val="right"/>
        <w:rPr>
          <w:rFonts w:eastAsia="Times New Roman"/>
          <w:szCs w:val="17"/>
        </w:rPr>
      </w:pPr>
      <w:r w:rsidRPr="00C45E38">
        <w:rPr>
          <w:rFonts w:eastAsia="Times New Roman"/>
          <w:szCs w:val="17"/>
        </w:rPr>
        <w:t>Delegate of the Minister for Environment and Water</w:t>
      </w:r>
    </w:p>
    <w:p w:rsidR="00C45E38" w:rsidRPr="00C45E38" w:rsidRDefault="00C45E38" w:rsidP="00C45E38">
      <w:pPr>
        <w:pBdr>
          <w:top w:val="single" w:sz="4" w:space="1" w:color="auto"/>
        </w:pBdr>
        <w:spacing w:before="100" w:after="0" w:line="14" w:lineRule="exact"/>
        <w:jc w:val="center"/>
        <w:rPr>
          <w:rFonts w:eastAsia="Times New Roman"/>
          <w:szCs w:val="17"/>
        </w:rPr>
      </w:pPr>
    </w:p>
    <w:p w:rsidR="006F10F3" w:rsidRDefault="006F10F3" w:rsidP="00895B8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C45E38" w:rsidRDefault="00C45E38">
      <w:pPr>
        <w:spacing w:after="0" w:line="240" w:lineRule="auto"/>
        <w:jc w:val="left"/>
        <w:rPr>
          <w:lang w:val="en-US"/>
        </w:rPr>
      </w:pPr>
      <w:r>
        <w:rPr>
          <w:lang w:val="en-US"/>
        </w:rPr>
        <w:br w:type="page"/>
      </w:r>
    </w:p>
    <w:p w:rsidR="00E42680" w:rsidRPr="00E42680" w:rsidRDefault="00E42680" w:rsidP="00E42680">
      <w:pPr>
        <w:jc w:val="center"/>
        <w:rPr>
          <w:caps/>
          <w:szCs w:val="17"/>
        </w:rPr>
      </w:pPr>
      <w:r w:rsidRPr="00E42680">
        <w:rPr>
          <w:caps/>
          <w:szCs w:val="17"/>
        </w:rPr>
        <w:t>Landscape South Australia Act 2019</w:t>
      </w:r>
    </w:p>
    <w:p w:rsidR="00E42680" w:rsidRPr="00E42680" w:rsidRDefault="00E42680" w:rsidP="00E42680">
      <w:pPr>
        <w:jc w:val="center"/>
        <w:rPr>
          <w:i/>
          <w:szCs w:val="17"/>
        </w:rPr>
      </w:pPr>
      <w:r w:rsidRPr="00E42680">
        <w:rPr>
          <w:i/>
          <w:szCs w:val="17"/>
        </w:rPr>
        <w:t>Notice of Authorisation to Take Water from the Central Adelaide Prescribed Wells Area—Ref. 255323</w:t>
      </w:r>
    </w:p>
    <w:p w:rsidR="00E42680" w:rsidRPr="00E42680" w:rsidRDefault="00E42680" w:rsidP="00E42680">
      <w:pPr>
        <w:rPr>
          <w:rFonts w:eastAsia="Times New Roman"/>
          <w:szCs w:val="17"/>
        </w:rPr>
      </w:pPr>
      <w:r w:rsidRPr="00E42680">
        <w:rPr>
          <w:rFonts w:eastAsia="Times New Roman"/>
          <w:szCs w:val="17"/>
        </w:rPr>
        <w:t xml:space="preserve">PURSUANT to Section 105 of the </w:t>
      </w:r>
      <w:r w:rsidRPr="00E42680">
        <w:rPr>
          <w:rFonts w:eastAsia="Times New Roman"/>
          <w:i/>
          <w:szCs w:val="17"/>
        </w:rPr>
        <w:t xml:space="preserve">Landscape South Australia Act 2019 </w:t>
      </w:r>
      <w:r w:rsidRPr="00E42680">
        <w:rPr>
          <w:rFonts w:eastAsia="Times New Roman"/>
          <w:szCs w:val="17"/>
        </w:rPr>
        <w:t xml:space="preserve">(the Act), I, Ben Bruce, delegate of the Minister for Environment and Water to whom the Act is committed, hereby authorise the taking of water from the Central Adelaide Prescribed Wells Area prescribed under the </w:t>
      </w:r>
      <w:r w:rsidRPr="00E42680">
        <w:rPr>
          <w:rFonts w:eastAsia="Times New Roman"/>
          <w:i/>
          <w:szCs w:val="17"/>
        </w:rPr>
        <w:t>Natural Resources Management (Central Adelaide—Prescribed Wells Area) Regulations 2007</w:t>
      </w:r>
      <w:r w:rsidRPr="00E42680">
        <w:rPr>
          <w:rFonts w:eastAsia="Times New Roman"/>
          <w:szCs w:val="17"/>
        </w:rPr>
        <w:t>, from the prescribed wells in Schedule A, for the purpose set out in Schedule B and subject to the conditions specified in Schedule C.</w:t>
      </w:r>
    </w:p>
    <w:p w:rsidR="00E42680" w:rsidRPr="00E42680" w:rsidRDefault="00E42680" w:rsidP="00E42680">
      <w:pPr>
        <w:jc w:val="center"/>
        <w:rPr>
          <w:smallCaps/>
          <w:szCs w:val="17"/>
        </w:rPr>
      </w:pPr>
      <w:r w:rsidRPr="00E42680">
        <w:rPr>
          <w:smallCaps/>
          <w:szCs w:val="17"/>
        </w:rPr>
        <w:t>Schedule A</w:t>
      </w:r>
    </w:p>
    <w:p w:rsidR="00E42680" w:rsidRPr="00E42680" w:rsidRDefault="00E42680" w:rsidP="00E42680">
      <w:pPr>
        <w:rPr>
          <w:rFonts w:eastAsia="Times New Roman"/>
          <w:i/>
          <w:szCs w:val="17"/>
        </w:rPr>
      </w:pPr>
      <w:r w:rsidRPr="00E42680">
        <w:rPr>
          <w:rFonts w:eastAsia="Times New Roman"/>
          <w:i/>
          <w:szCs w:val="17"/>
        </w:rPr>
        <w:t>Wells</w:t>
      </w:r>
    </w:p>
    <w:p w:rsidR="00E42680" w:rsidRPr="00E42680" w:rsidRDefault="00E42680" w:rsidP="00E42680">
      <w:pPr>
        <w:rPr>
          <w:rFonts w:eastAsia="Times New Roman"/>
          <w:szCs w:val="17"/>
        </w:rPr>
      </w:pPr>
      <w:r w:rsidRPr="00E42680">
        <w:rPr>
          <w:rFonts w:eastAsia="Times New Roman"/>
          <w:szCs w:val="17"/>
        </w:rPr>
        <w:t>Well unit numbers 6628-26289 and 6628-26494.</w:t>
      </w:r>
    </w:p>
    <w:p w:rsidR="00E42680" w:rsidRPr="00E42680" w:rsidRDefault="00E42680" w:rsidP="00E42680">
      <w:pPr>
        <w:jc w:val="center"/>
        <w:rPr>
          <w:smallCaps/>
          <w:szCs w:val="17"/>
        </w:rPr>
      </w:pPr>
      <w:r w:rsidRPr="00E42680">
        <w:rPr>
          <w:smallCaps/>
          <w:szCs w:val="17"/>
        </w:rPr>
        <w:t>Schedule B</w:t>
      </w:r>
    </w:p>
    <w:p w:rsidR="00E42680" w:rsidRPr="00E42680" w:rsidRDefault="00E42680" w:rsidP="00E42680">
      <w:pPr>
        <w:rPr>
          <w:rFonts w:eastAsia="Times New Roman"/>
          <w:i/>
          <w:szCs w:val="17"/>
        </w:rPr>
      </w:pPr>
      <w:r w:rsidRPr="00E42680">
        <w:rPr>
          <w:rFonts w:eastAsia="Times New Roman"/>
          <w:i/>
          <w:szCs w:val="17"/>
        </w:rPr>
        <w:t>Purpose</w:t>
      </w:r>
    </w:p>
    <w:p w:rsidR="00E42680" w:rsidRPr="00E42680" w:rsidRDefault="00E42680" w:rsidP="00E42680">
      <w:pPr>
        <w:rPr>
          <w:rFonts w:eastAsia="Times New Roman"/>
          <w:szCs w:val="17"/>
        </w:rPr>
      </w:pPr>
      <w:r w:rsidRPr="00E42680">
        <w:rPr>
          <w:rFonts w:eastAsia="Times New Roman"/>
          <w:szCs w:val="17"/>
        </w:rPr>
        <w:t>For irrigating land used for recreation within the boundary of the City of Unley, through the Heywood Park Managed Aquifer Recovery Scheme (the Scheme).</w:t>
      </w:r>
    </w:p>
    <w:p w:rsidR="00E42680" w:rsidRPr="00E42680" w:rsidRDefault="00E42680" w:rsidP="00E42680">
      <w:pPr>
        <w:jc w:val="center"/>
        <w:rPr>
          <w:smallCaps/>
          <w:szCs w:val="17"/>
        </w:rPr>
      </w:pPr>
      <w:r w:rsidRPr="00E42680">
        <w:rPr>
          <w:smallCaps/>
          <w:szCs w:val="17"/>
        </w:rPr>
        <w:t>Schedule C</w:t>
      </w:r>
    </w:p>
    <w:p w:rsidR="00E42680" w:rsidRPr="00E42680" w:rsidRDefault="00E42680" w:rsidP="00E42680">
      <w:pPr>
        <w:rPr>
          <w:rFonts w:eastAsia="Times New Roman"/>
          <w:i/>
          <w:szCs w:val="17"/>
        </w:rPr>
      </w:pPr>
      <w:r w:rsidRPr="00E42680">
        <w:rPr>
          <w:rFonts w:eastAsia="Times New Roman"/>
          <w:i/>
          <w:szCs w:val="17"/>
        </w:rPr>
        <w:t>Conditions</w:t>
      </w:r>
    </w:p>
    <w:p w:rsidR="00E42680" w:rsidRPr="00E42680" w:rsidRDefault="00E42680" w:rsidP="00E42680">
      <w:pPr>
        <w:ind w:left="426" w:hanging="284"/>
        <w:rPr>
          <w:rFonts w:eastAsia="Times New Roman"/>
          <w:szCs w:val="17"/>
        </w:rPr>
      </w:pPr>
      <w:r w:rsidRPr="00E42680">
        <w:rPr>
          <w:rFonts w:eastAsia="Times New Roman"/>
          <w:szCs w:val="17"/>
        </w:rPr>
        <w:t>1.</w:t>
      </w:r>
      <w:r w:rsidRPr="00E42680">
        <w:rPr>
          <w:rFonts w:eastAsia="Times New Roman"/>
          <w:szCs w:val="17"/>
        </w:rPr>
        <w:tab/>
        <w:t>Water may only be taken from the date of publication of this Notice until 30 June 2023.</w:t>
      </w:r>
    </w:p>
    <w:p w:rsidR="00E42680" w:rsidRPr="00E42680" w:rsidRDefault="00E42680" w:rsidP="00E42680">
      <w:pPr>
        <w:ind w:left="426" w:hanging="284"/>
        <w:rPr>
          <w:rFonts w:eastAsia="Times New Roman"/>
          <w:szCs w:val="17"/>
        </w:rPr>
      </w:pPr>
      <w:r w:rsidRPr="00E42680">
        <w:rPr>
          <w:rFonts w:eastAsia="Times New Roman"/>
          <w:szCs w:val="17"/>
        </w:rPr>
        <w:t>2.</w:t>
      </w:r>
      <w:r w:rsidRPr="00E42680">
        <w:rPr>
          <w:rFonts w:eastAsia="Times New Roman"/>
          <w:szCs w:val="17"/>
        </w:rPr>
        <w:tab/>
        <w:t>Effective from 1 July 2022, the volume of water permitted to be extracted in a water use year must not exceed the volume of water recharged under the Scheme over the previous five water use years, minus any volume that has been subsequently extracted. The maximum volume taken in any given water use year, however, must not exceed the volume referred to in Condition 3 of this authorisation.</w:t>
      </w:r>
    </w:p>
    <w:p w:rsidR="00E42680" w:rsidRPr="00E42680" w:rsidRDefault="00E42680" w:rsidP="00E42680">
      <w:pPr>
        <w:ind w:left="426" w:hanging="284"/>
        <w:rPr>
          <w:rFonts w:eastAsia="Times New Roman"/>
          <w:szCs w:val="17"/>
        </w:rPr>
      </w:pPr>
      <w:r w:rsidRPr="00E42680">
        <w:rPr>
          <w:rFonts w:eastAsia="Times New Roman"/>
          <w:szCs w:val="17"/>
        </w:rPr>
        <w:t>3.</w:t>
      </w:r>
      <w:r w:rsidRPr="00E42680">
        <w:rPr>
          <w:rFonts w:eastAsia="Times New Roman"/>
          <w:szCs w:val="17"/>
        </w:rPr>
        <w:tab/>
        <w:t>Subject to Condition 2 of this authorisation, a maximum volume of 35,000 kilolitres of underground water per water use year may be taken from the prescribed wells specified in Schedule A, during the period referred to in Condition 1 of this authorisation.</w:t>
      </w:r>
    </w:p>
    <w:p w:rsidR="00E42680" w:rsidRPr="00E42680" w:rsidRDefault="00E42680" w:rsidP="00E42680">
      <w:pPr>
        <w:ind w:left="426" w:hanging="284"/>
        <w:rPr>
          <w:rFonts w:eastAsia="Times New Roman"/>
          <w:spacing w:val="-2"/>
          <w:szCs w:val="17"/>
        </w:rPr>
      </w:pPr>
      <w:r w:rsidRPr="00E42680">
        <w:rPr>
          <w:rFonts w:eastAsia="Times New Roman"/>
          <w:szCs w:val="17"/>
        </w:rPr>
        <w:t>4.</w:t>
      </w:r>
      <w:r w:rsidRPr="00E42680">
        <w:rPr>
          <w:rFonts w:eastAsia="Times New Roman"/>
          <w:szCs w:val="17"/>
        </w:rPr>
        <w:tab/>
      </w:r>
      <w:r w:rsidRPr="00E42680">
        <w:rPr>
          <w:rFonts w:eastAsia="Times New Roman"/>
          <w:spacing w:val="-2"/>
          <w:szCs w:val="17"/>
        </w:rPr>
        <w:t>The water user must not take water except through a meter(s) supplied, installed and maintained in accordance with the South Australian Licensed Water Use Meter Specification approved by the Minister as may be amended from time to time.</w:t>
      </w:r>
    </w:p>
    <w:p w:rsidR="00E42680" w:rsidRPr="00E42680" w:rsidRDefault="00E42680" w:rsidP="00E42680">
      <w:pPr>
        <w:ind w:left="426" w:hanging="284"/>
        <w:rPr>
          <w:rFonts w:eastAsia="Times New Roman"/>
          <w:szCs w:val="17"/>
        </w:rPr>
      </w:pPr>
      <w:r w:rsidRPr="00E42680">
        <w:rPr>
          <w:rFonts w:eastAsia="Times New Roman"/>
          <w:szCs w:val="17"/>
        </w:rPr>
        <w:t>5.</w:t>
      </w:r>
      <w:r w:rsidRPr="00E42680">
        <w:rPr>
          <w:rFonts w:eastAsia="Times New Roman"/>
          <w:szCs w:val="17"/>
        </w:rPr>
        <w:tab/>
        <w:t>Meter readings must be used to determine the quantity of water taken from each well.</w:t>
      </w:r>
    </w:p>
    <w:p w:rsidR="00E42680" w:rsidRPr="00E42680" w:rsidRDefault="00E42680" w:rsidP="00E42680">
      <w:pPr>
        <w:ind w:left="426" w:hanging="284"/>
        <w:rPr>
          <w:rFonts w:eastAsia="Times New Roman"/>
          <w:szCs w:val="17"/>
        </w:rPr>
      </w:pPr>
      <w:r w:rsidRPr="00E42680">
        <w:rPr>
          <w:rFonts w:eastAsia="Times New Roman"/>
          <w:szCs w:val="17"/>
        </w:rPr>
        <w:t>6.</w:t>
      </w:r>
      <w:r w:rsidRPr="00E42680">
        <w:rPr>
          <w:rFonts w:eastAsia="Times New Roman"/>
          <w:szCs w:val="17"/>
        </w:rPr>
        <w:tab/>
        <w:t>The water user must measure and record, for each well referred to in Schedule A, at least once during each calendar month, at the same time during each calendar month:</w:t>
      </w:r>
    </w:p>
    <w:p w:rsidR="00E42680" w:rsidRPr="00E42680" w:rsidRDefault="00E42680" w:rsidP="00E42680">
      <w:pPr>
        <w:ind w:left="709" w:hanging="283"/>
        <w:rPr>
          <w:rFonts w:eastAsia="Times New Roman"/>
          <w:szCs w:val="17"/>
        </w:rPr>
      </w:pPr>
      <w:r w:rsidRPr="00E42680">
        <w:rPr>
          <w:rFonts w:eastAsia="Times New Roman"/>
          <w:szCs w:val="17"/>
        </w:rPr>
        <w:t>(a)</w:t>
      </w:r>
      <w:r w:rsidRPr="00E42680">
        <w:rPr>
          <w:rFonts w:eastAsia="Times New Roman"/>
          <w:szCs w:val="17"/>
        </w:rPr>
        <w:tab/>
        <w:t>meter readings;</w:t>
      </w:r>
    </w:p>
    <w:p w:rsidR="00E42680" w:rsidRPr="00E42680" w:rsidRDefault="00E42680" w:rsidP="00E42680">
      <w:pPr>
        <w:ind w:left="709" w:hanging="283"/>
        <w:rPr>
          <w:rFonts w:eastAsia="Times New Roman"/>
          <w:szCs w:val="17"/>
        </w:rPr>
      </w:pPr>
      <w:r w:rsidRPr="00E42680">
        <w:rPr>
          <w:rFonts w:eastAsia="Times New Roman"/>
          <w:szCs w:val="17"/>
        </w:rPr>
        <w:t>(b)</w:t>
      </w:r>
      <w:r w:rsidRPr="00E42680">
        <w:rPr>
          <w:rFonts w:eastAsia="Times New Roman"/>
          <w:szCs w:val="17"/>
        </w:rPr>
        <w:tab/>
        <w:t>extraction volumes; and</w:t>
      </w:r>
    </w:p>
    <w:p w:rsidR="00E42680" w:rsidRPr="00E42680" w:rsidRDefault="00E42680" w:rsidP="00E42680">
      <w:pPr>
        <w:ind w:left="709" w:hanging="283"/>
        <w:rPr>
          <w:rFonts w:eastAsia="Times New Roman"/>
          <w:szCs w:val="17"/>
        </w:rPr>
      </w:pPr>
      <w:r w:rsidRPr="00E42680">
        <w:rPr>
          <w:rFonts w:eastAsia="Times New Roman"/>
          <w:szCs w:val="17"/>
        </w:rPr>
        <w:t>(c)</w:t>
      </w:r>
      <w:r w:rsidRPr="00E42680">
        <w:rPr>
          <w:rFonts w:eastAsia="Times New Roman"/>
          <w:szCs w:val="17"/>
        </w:rPr>
        <w:tab/>
        <w:t>water level.</w:t>
      </w:r>
    </w:p>
    <w:p w:rsidR="00E42680" w:rsidRPr="00E42680" w:rsidRDefault="00E42680" w:rsidP="00E42680">
      <w:pPr>
        <w:ind w:left="426" w:hanging="284"/>
        <w:rPr>
          <w:rFonts w:eastAsia="Times New Roman"/>
          <w:szCs w:val="17"/>
        </w:rPr>
      </w:pPr>
      <w:r w:rsidRPr="00E42680">
        <w:rPr>
          <w:rFonts w:eastAsia="Times New Roman"/>
          <w:szCs w:val="17"/>
        </w:rPr>
        <w:t>7.</w:t>
      </w:r>
      <w:r w:rsidRPr="00E42680">
        <w:rPr>
          <w:rFonts w:eastAsia="Times New Roman"/>
          <w:szCs w:val="17"/>
        </w:rPr>
        <w:tab/>
        <w:t>Meter reading(s) must also be taken within the first 14 days of the date of this authorisation, during the first 14 calendar days of July each year and within the first 14 days of the expiry date of this authorisation.</w:t>
      </w:r>
    </w:p>
    <w:p w:rsidR="00E42680" w:rsidRPr="00E42680" w:rsidRDefault="00E42680" w:rsidP="00E42680">
      <w:pPr>
        <w:ind w:left="426" w:hanging="284"/>
        <w:rPr>
          <w:rFonts w:eastAsia="Times New Roman"/>
          <w:szCs w:val="17"/>
        </w:rPr>
      </w:pPr>
      <w:r w:rsidRPr="00E42680">
        <w:rPr>
          <w:rFonts w:eastAsia="Times New Roman"/>
          <w:szCs w:val="17"/>
        </w:rPr>
        <w:t>8.</w:t>
      </w:r>
      <w:r w:rsidRPr="00E42680">
        <w:rPr>
          <w:rFonts w:eastAsia="Times New Roman"/>
          <w:szCs w:val="17"/>
        </w:rPr>
        <w:tab/>
        <w:t>The Risk Monitoring and Management and Management Plan (the Plan) for the Scheme must be revised, to the satisfaction of the Minister’s representative, by no later than 30 June 2021.</w:t>
      </w:r>
    </w:p>
    <w:p w:rsidR="00E42680" w:rsidRPr="00E42680" w:rsidRDefault="00E42680" w:rsidP="00E42680">
      <w:pPr>
        <w:ind w:left="426" w:hanging="284"/>
        <w:rPr>
          <w:rFonts w:eastAsia="Times New Roman"/>
          <w:szCs w:val="17"/>
        </w:rPr>
      </w:pPr>
      <w:r w:rsidRPr="00E42680">
        <w:rPr>
          <w:rFonts w:eastAsia="Times New Roman"/>
          <w:szCs w:val="17"/>
        </w:rPr>
        <w:t>9.</w:t>
      </w:r>
      <w:r w:rsidRPr="00E42680">
        <w:rPr>
          <w:rFonts w:eastAsia="Times New Roman"/>
          <w:szCs w:val="17"/>
        </w:rPr>
        <w:tab/>
        <w:t>The Scheme must be operated in accordance with the Plan.</w:t>
      </w:r>
    </w:p>
    <w:p w:rsidR="00E42680" w:rsidRPr="00E42680" w:rsidRDefault="00E42680" w:rsidP="00E42680">
      <w:pPr>
        <w:ind w:left="426" w:hanging="284"/>
        <w:rPr>
          <w:rFonts w:eastAsia="Times New Roman"/>
          <w:szCs w:val="17"/>
        </w:rPr>
      </w:pPr>
      <w:r w:rsidRPr="00E42680">
        <w:rPr>
          <w:rFonts w:eastAsia="Times New Roman"/>
          <w:szCs w:val="17"/>
        </w:rPr>
        <w:t>10.</w:t>
      </w:r>
      <w:r w:rsidRPr="00E42680">
        <w:rPr>
          <w:rFonts w:eastAsia="Times New Roman"/>
          <w:szCs w:val="17"/>
        </w:rPr>
        <w:tab/>
        <w:t>The water user must comply with all measuring, monitoring and recording requirements as specified in the Plan, including the requirement to provide a report annually, not more than 14 days after cessation of the water use year. The report will be provided in the form specified by the Minister’s representative, and include:</w:t>
      </w:r>
    </w:p>
    <w:p w:rsidR="00E42680" w:rsidRPr="00E42680" w:rsidRDefault="00E42680" w:rsidP="00E42680">
      <w:pPr>
        <w:ind w:left="709" w:hanging="283"/>
        <w:rPr>
          <w:rFonts w:eastAsia="Times New Roman"/>
          <w:szCs w:val="17"/>
        </w:rPr>
      </w:pPr>
      <w:r w:rsidRPr="00E42680">
        <w:rPr>
          <w:rFonts w:eastAsia="Times New Roman"/>
          <w:szCs w:val="17"/>
        </w:rPr>
        <w:t>(a)</w:t>
      </w:r>
      <w:r w:rsidRPr="00E42680">
        <w:rPr>
          <w:rFonts w:eastAsia="Times New Roman"/>
          <w:szCs w:val="17"/>
        </w:rPr>
        <w:tab/>
        <w:t>all data in accordance with Condition 6 and 7 of this authorisation; and</w:t>
      </w:r>
    </w:p>
    <w:p w:rsidR="00E42680" w:rsidRPr="00E42680" w:rsidRDefault="00E42680" w:rsidP="00E42680">
      <w:pPr>
        <w:ind w:left="709" w:hanging="283"/>
        <w:rPr>
          <w:rFonts w:eastAsia="Times New Roman"/>
          <w:szCs w:val="17"/>
        </w:rPr>
      </w:pPr>
      <w:r w:rsidRPr="00E42680">
        <w:rPr>
          <w:rFonts w:eastAsia="Times New Roman"/>
          <w:szCs w:val="17"/>
        </w:rPr>
        <w:t>(b)</w:t>
      </w:r>
      <w:r w:rsidRPr="00E42680">
        <w:rPr>
          <w:rFonts w:eastAsia="Times New Roman"/>
          <w:szCs w:val="17"/>
        </w:rPr>
        <w:tab/>
        <w:t>all monitoring data collected in accordance with the annual report monitoring deliverables contained in the Plan.</w:t>
      </w:r>
    </w:p>
    <w:p w:rsidR="00E42680" w:rsidRPr="00E42680" w:rsidRDefault="00E42680" w:rsidP="00E42680">
      <w:pPr>
        <w:ind w:left="426"/>
        <w:rPr>
          <w:rFonts w:eastAsia="Times New Roman"/>
          <w:szCs w:val="17"/>
        </w:rPr>
      </w:pPr>
      <w:r w:rsidRPr="00E42680">
        <w:rPr>
          <w:rFonts w:eastAsia="Times New Roman"/>
          <w:szCs w:val="17"/>
        </w:rPr>
        <w:t xml:space="preserve">The report is to be emailed to </w:t>
      </w:r>
      <w:hyperlink r:id="rId89" w:history="1">
        <w:r w:rsidRPr="00E42680">
          <w:rPr>
            <w:color w:val="0000FF"/>
            <w:szCs w:val="17"/>
            <w:u w:val="single"/>
          </w:rPr>
          <w:t>dew.mar@sa.gov.au</w:t>
        </w:r>
      </w:hyperlink>
      <w:r w:rsidRPr="00E42680">
        <w:rPr>
          <w:rFonts w:eastAsia="Times New Roman"/>
          <w:szCs w:val="17"/>
        </w:rPr>
        <w:t xml:space="preserve"> and </w:t>
      </w:r>
      <w:hyperlink r:id="rId90" w:history="1">
        <w:r w:rsidRPr="00E42680">
          <w:rPr>
            <w:color w:val="0000FF"/>
            <w:szCs w:val="17"/>
            <w:u w:val="single"/>
          </w:rPr>
          <w:t>dewwaterlicensing@sa.gov.au</w:t>
        </w:r>
      </w:hyperlink>
      <w:r w:rsidRPr="00E42680">
        <w:rPr>
          <w:rFonts w:eastAsia="Times New Roman"/>
          <w:szCs w:val="17"/>
        </w:rPr>
        <w:t>.</w:t>
      </w:r>
    </w:p>
    <w:p w:rsidR="00E42680" w:rsidRPr="00E42680" w:rsidRDefault="00E42680" w:rsidP="00E42680">
      <w:pPr>
        <w:ind w:left="426" w:hanging="284"/>
        <w:rPr>
          <w:rFonts w:eastAsia="Times New Roman"/>
          <w:szCs w:val="17"/>
        </w:rPr>
      </w:pPr>
      <w:r w:rsidRPr="00E42680">
        <w:rPr>
          <w:rFonts w:eastAsia="Times New Roman"/>
          <w:szCs w:val="17"/>
        </w:rPr>
        <w:t>11.</w:t>
      </w:r>
      <w:r w:rsidRPr="00E42680">
        <w:rPr>
          <w:rFonts w:eastAsia="Times New Roman"/>
          <w:szCs w:val="17"/>
        </w:rPr>
        <w:tab/>
        <w:t>If any device used to measure and collect data relevant to this authorisation, fails to accurately measure or record, or there is any reason to suspect that the device may be defective, then the water user must: notify the Minister’s representative immediately; replace or repair the device as soon as practical; and provide suitable alternative data to supplement missing data.</w:t>
      </w:r>
    </w:p>
    <w:p w:rsidR="00E42680" w:rsidRPr="00E42680" w:rsidRDefault="00E42680" w:rsidP="00E42680">
      <w:pPr>
        <w:ind w:left="426" w:hanging="284"/>
        <w:rPr>
          <w:rFonts w:eastAsia="Times New Roman"/>
          <w:szCs w:val="17"/>
        </w:rPr>
      </w:pPr>
      <w:r w:rsidRPr="00E42680">
        <w:rPr>
          <w:rFonts w:eastAsia="Times New Roman"/>
          <w:szCs w:val="17"/>
        </w:rPr>
        <w:t>12.</w:t>
      </w:r>
      <w:r w:rsidRPr="00E42680">
        <w:rPr>
          <w:rFonts w:eastAsia="Times New Roman"/>
          <w:szCs w:val="17"/>
        </w:rPr>
        <w:tab/>
      </w:r>
      <w:r w:rsidRPr="00E42680">
        <w:rPr>
          <w:rFonts w:eastAsia="Times New Roman"/>
          <w:spacing w:val="-2"/>
          <w:szCs w:val="17"/>
        </w:rPr>
        <w:t xml:space="preserve">The authorised water user must comply with the provisions applying to meters set out in Regulation 12 of the </w:t>
      </w:r>
      <w:r w:rsidRPr="00E42680">
        <w:rPr>
          <w:rFonts w:eastAsia="Times New Roman"/>
          <w:i/>
          <w:spacing w:val="-2"/>
          <w:szCs w:val="17"/>
        </w:rPr>
        <w:t>Landscape South Australia (Water Management) Regulations 2020</w:t>
      </w:r>
      <w:r w:rsidRPr="00E42680">
        <w:rPr>
          <w:rFonts w:eastAsia="Times New Roman"/>
          <w:spacing w:val="-2"/>
          <w:szCs w:val="17"/>
        </w:rPr>
        <w:t>. It is an offence to contravene or fail to comply with those provisions.</w:t>
      </w:r>
    </w:p>
    <w:p w:rsidR="00E42680" w:rsidRPr="00E42680" w:rsidRDefault="00E42680" w:rsidP="00E42680">
      <w:pPr>
        <w:rPr>
          <w:rFonts w:eastAsia="Times New Roman"/>
          <w:szCs w:val="17"/>
        </w:rPr>
      </w:pPr>
      <w:r w:rsidRPr="00E42680">
        <w:rPr>
          <w:rFonts w:eastAsia="Times New Roman"/>
          <w:szCs w:val="17"/>
        </w:rPr>
        <w:t>For the purposes of this authorisation:</w:t>
      </w:r>
    </w:p>
    <w:p w:rsidR="00E42680" w:rsidRPr="00E42680" w:rsidRDefault="00E42680" w:rsidP="00E42680">
      <w:pPr>
        <w:ind w:left="284"/>
        <w:rPr>
          <w:rFonts w:eastAsia="Times New Roman"/>
          <w:szCs w:val="17"/>
        </w:rPr>
      </w:pPr>
      <w:r w:rsidRPr="00E42680">
        <w:rPr>
          <w:rFonts w:eastAsia="Times New Roman"/>
          <w:szCs w:val="17"/>
        </w:rPr>
        <w:t>‘Water user’ means a person who is authorised to take water pursuant to this notice.</w:t>
      </w:r>
    </w:p>
    <w:p w:rsidR="00E42680" w:rsidRPr="00E42680" w:rsidRDefault="00E42680" w:rsidP="00E42680">
      <w:pPr>
        <w:ind w:left="284"/>
        <w:rPr>
          <w:rFonts w:eastAsia="Times New Roman"/>
          <w:szCs w:val="17"/>
        </w:rPr>
      </w:pPr>
      <w:r w:rsidRPr="00E42680">
        <w:rPr>
          <w:rFonts w:eastAsia="Times New Roman"/>
          <w:szCs w:val="17"/>
        </w:rPr>
        <w:t>‘Water use year’ means a period of 12 months commencing on 1 July and ending 30 June the following calendar year.</w:t>
      </w:r>
    </w:p>
    <w:p w:rsidR="00E42680" w:rsidRPr="00E42680" w:rsidRDefault="00E42680" w:rsidP="00E42680">
      <w:pPr>
        <w:rPr>
          <w:rFonts w:eastAsia="Times New Roman"/>
          <w:szCs w:val="17"/>
        </w:rPr>
      </w:pPr>
      <w:r w:rsidRPr="00E42680">
        <w:rPr>
          <w:rFonts w:eastAsia="Times New Roman"/>
          <w:szCs w:val="17"/>
        </w:rPr>
        <w:t>Words used in this authorisation that are defined in the Act shall have the meanings as set out in the Act.</w:t>
      </w:r>
    </w:p>
    <w:p w:rsidR="00E42680" w:rsidRPr="00E42680" w:rsidRDefault="00E42680" w:rsidP="00E42680">
      <w:pPr>
        <w:rPr>
          <w:rFonts w:eastAsia="Times New Roman"/>
          <w:szCs w:val="17"/>
        </w:rPr>
      </w:pPr>
      <w:r w:rsidRPr="00E42680">
        <w:rPr>
          <w:rFonts w:eastAsia="Times New Roman"/>
          <w:szCs w:val="17"/>
        </w:rPr>
        <w:t>For the purpose of determining the penalty for unauthorised water use, as declared under section 88 of the Act, the ‘volumetric limit’ of this authorisation is equal to the lesser of:</w:t>
      </w:r>
    </w:p>
    <w:p w:rsidR="00E42680" w:rsidRPr="00E42680" w:rsidRDefault="00E42680" w:rsidP="00E42680">
      <w:pPr>
        <w:ind w:left="709" w:hanging="283"/>
        <w:rPr>
          <w:rFonts w:eastAsia="Times New Roman"/>
          <w:szCs w:val="17"/>
        </w:rPr>
      </w:pPr>
      <w:r w:rsidRPr="00E42680">
        <w:rPr>
          <w:rFonts w:eastAsia="Times New Roman"/>
          <w:szCs w:val="17"/>
        </w:rPr>
        <w:t>(a)</w:t>
      </w:r>
      <w:r w:rsidRPr="00E42680">
        <w:rPr>
          <w:rFonts w:eastAsia="Times New Roman"/>
          <w:szCs w:val="17"/>
        </w:rPr>
        <w:tab/>
        <w:t>35,000 kilolitres per water use year; or</w:t>
      </w:r>
    </w:p>
    <w:p w:rsidR="00E42680" w:rsidRPr="00E42680" w:rsidRDefault="00E42680" w:rsidP="00E42680">
      <w:pPr>
        <w:ind w:left="709" w:hanging="283"/>
        <w:rPr>
          <w:rFonts w:eastAsia="Times New Roman"/>
          <w:szCs w:val="17"/>
        </w:rPr>
      </w:pPr>
      <w:r w:rsidRPr="00E42680">
        <w:rPr>
          <w:rFonts w:eastAsia="Times New Roman"/>
          <w:szCs w:val="17"/>
        </w:rPr>
        <w:t>(b)</w:t>
      </w:r>
      <w:r w:rsidRPr="00E42680">
        <w:rPr>
          <w:rFonts w:eastAsia="Times New Roman"/>
          <w:szCs w:val="17"/>
        </w:rPr>
        <w:tab/>
        <w:t>Effective from 1 July 2022, the volume of water recharged under the Scheme over the previous five water use years, minus any volume that has subsequently been extracted.</w:t>
      </w:r>
    </w:p>
    <w:p w:rsidR="00E42680" w:rsidRPr="00E42680" w:rsidRDefault="00E42680" w:rsidP="00E42680">
      <w:pPr>
        <w:rPr>
          <w:rFonts w:eastAsia="Times New Roman"/>
          <w:szCs w:val="17"/>
        </w:rPr>
      </w:pPr>
      <w:r w:rsidRPr="00E42680">
        <w:rPr>
          <w:rFonts w:eastAsia="Times New Roman"/>
          <w:szCs w:val="17"/>
        </w:rPr>
        <w:t>This authorisation will commence on the date of this notice and will remain in effect until 30 June 2023 unless earlier varied or revoked.</w:t>
      </w:r>
    </w:p>
    <w:p w:rsidR="00E42680" w:rsidRPr="00E42680" w:rsidRDefault="00E42680" w:rsidP="00E42680">
      <w:pPr>
        <w:spacing w:after="0"/>
        <w:rPr>
          <w:rFonts w:eastAsia="Times New Roman"/>
          <w:szCs w:val="17"/>
        </w:rPr>
      </w:pPr>
      <w:r w:rsidRPr="00E42680">
        <w:rPr>
          <w:rFonts w:eastAsia="Times New Roman"/>
          <w:szCs w:val="17"/>
        </w:rPr>
        <w:t>Dated: 20 July 2020</w:t>
      </w:r>
    </w:p>
    <w:p w:rsidR="00E42680" w:rsidRPr="00E42680" w:rsidRDefault="00E42680" w:rsidP="00E42680">
      <w:pPr>
        <w:spacing w:after="0"/>
        <w:jc w:val="right"/>
        <w:rPr>
          <w:rFonts w:eastAsia="Times New Roman"/>
          <w:smallCaps/>
          <w:szCs w:val="20"/>
        </w:rPr>
      </w:pPr>
      <w:r w:rsidRPr="00E42680">
        <w:rPr>
          <w:rFonts w:eastAsia="Times New Roman"/>
          <w:smallCaps/>
          <w:szCs w:val="20"/>
        </w:rPr>
        <w:t>Ben Bruce</w:t>
      </w:r>
    </w:p>
    <w:p w:rsidR="00E42680" w:rsidRPr="00E42680" w:rsidRDefault="00E42680" w:rsidP="00E42680">
      <w:pPr>
        <w:spacing w:after="0"/>
        <w:jc w:val="right"/>
        <w:rPr>
          <w:rFonts w:eastAsia="Times New Roman"/>
          <w:szCs w:val="17"/>
        </w:rPr>
      </w:pPr>
      <w:r w:rsidRPr="00E42680">
        <w:rPr>
          <w:rFonts w:eastAsia="Times New Roman"/>
          <w:szCs w:val="17"/>
        </w:rPr>
        <w:t>Executive Director, Water and River Murray</w:t>
      </w:r>
    </w:p>
    <w:p w:rsidR="00E42680" w:rsidRPr="00E42680" w:rsidRDefault="00E42680" w:rsidP="00E42680">
      <w:pPr>
        <w:spacing w:after="0"/>
        <w:jc w:val="right"/>
        <w:rPr>
          <w:rFonts w:eastAsia="Times New Roman"/>
          <w:szCs w:val="17"/>
        </w:rPr>
      </w:pPr>
      <w:r w:rsidRPr="00E42680">
        <w:rPr>
          <w:rFonts w:eastAsia="Times New Roman"/>
          <w:szCs w:val="17"/>
        </w:rPr>
        <w:t>Department for Environment and Water</w:t>
      </w:r>
    </w:p>
    <w:p w:rsidR="00E42680" w:rsidRDefault="00E42680" w:rsidP="00E42680">
      <w:pPr>
        <w:spacing w:after="0"/>
        <w:jc w:val="right"/>
        <w:rPr>
          <w:rFonts w:eastAsia="Times New Roman"/>
          <w:szCs w:val="17"/>
        </w:rPr>
      </w:pPr>
      <w:r w:rsidRPr="00E42680">
        <w:rPr>
          <w:rFonts w:eastAsia="Times New Roman"/>
          <w:szCs w:val="17"/>
        </w:rPr>
        <w:t>Delegate of the Minister for Environment and Water</w:t>
      </w:r>
    </w:p>
    <w:p w:rsidR="00E42680" w:rsidRDefault="00E42680" w:rsidP="00E42680">
      <w:pPr>
        <w:pBdr>
          <w:bottom w:val="single" w:sz="4" w:space="1" w:color="auto"/>
        </w:pBdr>
        <w:spacing w:after="0" w:line="52" w:lineRule="exact"/>
        <w:jc w:val="center"/>
        <w:rPr>
          <w:lang w:val="en-US"/>
        </w:rPr>
      </w:pPr>
    </w:p>
    <w:p w:rsidR="00E42680" w:rsidRDefault="00E42680" w:rsidP="00E42680">
      <w:pPr>
        <w:pBdr>
          <w:top w:val="single" w:sz="4" w:space="1" w:color="auto"/>
        </w:pBdr>
        <w:spacing w:before="34" w:after="0" w:line="14" w:lineRule="exact"/>
        <w:jc w:val="center"/>
        <w:rPr>
          <w:lang w:val="en-US"/>
        </w:rPr>
      </w:pPr>
    </w:p>
    <w:p w:rsidR="00E42680" w:rsidRDefault="00E42680" w:rsidP="00E4268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E42680" w:rsidRDefault="00E42680">
      <w:pPr>
        <w:spacing w:after="0" w:line="240" w:lineRule="auto"/>
        <w:jc w:val="left"/>
        <w:rPr>
          <w:lang w:val="en-US"/>
        </w:rPr>
      </w:pPr>
      <w:r>
        <w:rPr>
          <w:lang w:val="en-US"/>
        </w:rPr>
        <w:br w:type="page"/>
      </w:r>
    </w:p>
    <w:p w:rsidR="005C1E1D" w:rsidRPr="005C1E1D" w:rsidRDefault="001D31F5" w:rsidP="001D31F5">
      <w:pPr>
        <w:pStyle w:val="Heading2"/>
      </w:pPr>
      <w:bookmarkStart w:id="756" w:name="_Toc46398098"/>
      <w:r w:rsidRPr="005C1E1D">
        <w:t xml:space="preserve">Libraries Board </w:t>
      </w:r>
      <w:r>
        <w:t>o</w:t>
      </w:r>
      <w:r w:rsidRPr="005C1E1D">
        <w:t>f South Australia</w:t>
      </w:r>
      <w:bookmarkEnd w:id="756"/>
    </w:p>
    <w:p w:rsidR="005C1E1D" w:rsidRPr="005C1E1D" w:rsidRDefault="005C1E1D" w:rsidP="005C1E1D">
      <w:pPr>
        <w:jc w:val="center"/>
        <w:rPr>
          <w:i/>
          <w:szCs w:val="17"/>
        </w:rPr>
      </w:pPr>
      <w:r w:rsidRPr="005C1E1D">
        <w:rPr>
          <w:i/>
          <w:szCs w:val="17"/>
        </w:rPr>
        <w:t>Fees and Charges Schedule 2020-21</w:t>
      </w:r>
    </w:p>
    <w:tbl>
      <w:tblPr>
        <w:tblStyle w:val="TableGrid3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1276"/>
        <w:gridCol w:w="1276"/>
        <w:gridCol w:w="992"/>
      </w:tblGrid>
      <w:tr w:rsidR="005C1E1D" w:rsidRPr="005C1E1D" w:rsidTr="005C1E1D">
        <w:trPr>
          <w:trHeight w:val="693"/>
          <w:tblHeader/>
        </w:trPr>
        <w:tc>
          <w:tcPr>
            <w:tcW w:w="5812" w:type="dxa"/>
            <w:tcBorders>
              <w:top w:val="single" w:sz="4" w:space="0" w:color="auto"/>
            </w:tcBorders>
            <w:noWrap/>
            <w:vAlign w:val="center"/>
            <w:hideMark/>
          </w:tcPr>
          <w:p w:rsidR="005C1E1D" w:rsidRPr="008C3672" w:rsidRDefault="005C1E1D" w:rsidP="005C1E1D">
            <w:pPr>
              <w:spacing w:after="40"/>
              <w:jc w:val="center"/>
              <w:rPr>
                <w:b/>
                <w:szCs w:val="17"/>
              </w:rPr>
            </w:pPr>
            <w:r w:rsidRPr="008C3672">
              <w:rPr>
                <w:b/>
                <w:szCs w:val="17"/>
              </w:rPr>
              <w:t>Description of Activity</w:t>
            </w:r>
          </w:p>
          <w:p w:rsidR="005C1E1D" w:rsidRPr="005C1E1D" w:rsidRDefault="005C1E1D" w:rsidP="005C1E1D">
            <w:pPr>
              <w:spacing w:after="0"/>
              <w:jc w:val="center"/>
              <w:rPr>
                <w:szCs w:val="17"/>
              </w:rPr>
            </w:pPr>
            <w:r w:rsidRPr="005C1E1D">
              <w:rPr>
                <w:szCs w:val="17"/>
              </w:rPr>
              <w:t>* Denotes GST included - please see note at document end</w:t>
            </w:r>
          </w:p>
        </w:tc>
        <w:tc>
          <w:tcPr>
            <w:tcW w:w="1276" w:type="dxa"/>
            <w:tcBorders>
              <w:top w:val="single" w:sz="4" w:space="0" w:color="auto"/>
            </w:tcBorders>
            <w:noWrap/>
            <w:vAlign w:val="center"/>
            <w:hideMark/>
          </w:tcPr>
          <w:p w:rsidR="005C1E1D" w:rsidRPr="008C3672" w:rsidRDefault="005C1E1D" w:rsidP="005C1E1D">
            <w:pPr>
              <w:spacing w:after="0"/>
              <w:jc w:val="center"/>
              <w:rPr>
                <w:b/>
                <w:szCs w:val="17"/>
              </w:rPr>
            </w:pPr>
            <w:r w:rsidRPr="008C3672">
              <w:rPr>
                <w:b/>
                <w:szCs w:val="17"/>
              </w:rPr>
              <w:t>Previous</w:t>
            </w:r>
          </w:p>
          <w:p w:rsidR="005C1E1D" w:rsidRPr="008C3672" w:rsidRDefault="005C1E1D" w:rsidP="005C1E1D">
            <w:pPr>
              <w:spacing w:after="0"/>
              <w:jc w:val="center"/>
              <w:rPr>
                <w:b/>
                <w:szCs w:val="17"/>
              </w:rPr>
            </w:pPr>
            <w:r w:rsidRPr="008C3672">
              <w:rPr>
                <w:b/>
                <w:szCs w:val="17"/>
              </w:rPr>
              <w:t>Charge</w:t>
            </w:r>
          </w:p>
          <w:p w:rsidR="005C1E1D" w:rsidRPr="008C3672" w:rsidRDefault="005C1E1D" w:rsidP="005C1E1D">
            <w:pPr>
              <w:spacing w:after="0"/>
              <w:jc w:val="center"/>
              <w:rPr>
                <w:b/>
                <w:szCs w:val="17"/>
              </w:rPr>
            </w:pPr>
            <w:r w:rsidRPr="008C3672">
              <w:rPr>
                <w:b/>
                <w:szCs w:val="17"/>
              </w:rPr>
              <w:t>2019-20</w:t>
            </w:r>
          </w:p>
        </w:tc>
        <w:tc>
          <w:tcPr>
            <w:tcW w:w="1276" w:type="dxa"/>
            <w:tcBorders>
              <w:top w:val="single" w:sz="4" w:space="0" w:color="auto"/>
            </w:tcBorders>
            <w:noWrap/>
            <w:vAlign w:val="center"/>
            <w:hideMark/>
          </w:tcPr>
          <w:p w:rsidR="005C1E1D" w:rsidRPr="008C3672" w:rsidRDefault="005C1E1D" w:rsidP="005C1E1D">
            <w:pPr>
              <w:spacing w:after="0"/>
              <w:jc w:val="center"/>
              <w:rPr>
                <w:b/>
                <w:szCs w:val="17"/>
              </w:rPr>
            </w:pPr>
            <w:r w:rsidRPr="008C3672">
              <w:rPr>
                <w:b/>
                <w:szCs w:val="17"/>
              </w:rPr>
              <w:t>Gazetted</w:t>
            </w:r>
          </w:p>
          <w:p w:rsidR="005C1E1D" w:rsidRPr="008C3672" w:rsidRDefault="005C1E1D" w:rsidP="005C1E1D">
            <w:pPr>
              <w:spacing w:after="0"/>
              <w:jc w:val="center"/>
              <w:rPr>
                <w:b/>
                <w:szCs w:val="17"/>
              </w:rPr>
            </w:pPr>
            <w:r w:rsidRPr="008C3672">
              <w:rPr>
                <w:b/>
                <w:szCs w:val="17"/>
              </w:rPr>
              <w:t>Charge</w:t>
            </w:r>
          </w:p>
          <w:p w:rsidR="005C1E1D" w:rsidRPr="008C3672" w:rsidRDefault="005C1E1D" w:rsidP="005C1E1D">
            <w:pPr>
              <w:spacing w:after="0"/>
              <w:jc w:val="center"/>
              <w:rPr>
                <w:b/>
                <w:szCs w:val="17"/>
              </w:rPr>
            </w:pPr>
            <w:r w:rsidRPr="008C3672">
              <w:rPr>
                <w:b/>
                <w:szCs w:val="17"/>
              </w:rPr>
              <w:t>2020-21</w:t>
            </w:r>
          </w:p>
        </w:tc>
        <w:tc>
          <w:tcPr>
            <w:tcW w:w="992" w:type="dxa"/>
            <w:tcBorders>
              <w:top w:val="single" w:sz="4" w:space="0" w:color="auto"/>
            </w:tcBorders>
            <w:noWrap/>
            <w:vAlign w:val="center"/>
            <w:hideMark/>
          </w:tcPr>
          <w:p w:rsidR="005C1E1D" w:rsidRPr="008C3672" w:rsidRDefault="005C1E1D" w:rsidP="005C1E1D">
            <w:pPr>
              <w:spacing w:after="0"/>
              <w:jc w:val="center"/>
              <w:rPr>
                <w:b/>
                <w:szCs w:val="17"/>
              </w:rPr>
            </w:pPr>
            <w:r w:rsidRPr="008C3672">
              <w:rPr>
                <w:b/>
                <w:szCs w:val="17"/>
              </w:rPr>
              <w:t>Last</w:t>
            </w:r>
          </w:p>
          <w:p w:rsidR="005C1E1D" w:rsidRPr="008C3672" w:rsidRDefault="005C1E1D" w:rsidP="005C1E1D">
            <w:pPr>
              <w:spacing w:after="0"/>
              <w:jc w:val="center"/>
              <w:rPr>
                <w:b/>
                <w:szCs w:val="17"/>
              </w:rPr>
            </w:pPr>
            <w:r w:rsidRPr="008C3672">
              <w:rPr>
                <w:b/>
                <w:szCs w:val="17"/>
              </w:rPr>
              <w:t>Assessed</w:t>
            </w:r>
          </w:p>
        </w:tc>
      </w:tr>
      <w:tr w:rsidR="005C1E1D" w:rsidRPr="005C1E1D" w:rsidTr="005C1E1D">
        <w:trPr>
          <w:trHeight w:val="60"/>
          <w:tblHeader/>
        </w:trPr>
        <w:tc>
          <w:tcPr>
            <w:tcW w:w="5812" w:type="dxa"/>
            <w:tcBorders>
              <w:top w:val="single" w:sz="4" w:space="0" w:color="auto"/>
            </w:tcBorders>
            <w:noWrap/>
            <w:hideMark/>
          </w:tcPr>
          <w:p w:rsidR="005C1E1D" w:rsidRPr="005C1E1D" w:rsidRDefault="005C1E1D" w:rsidP="005C1E1D">
            <w:pPr>
              <w:spacing w:after="0" w:line="20" w:lineRule="exact"/>
              <w:jc w:val="left"/>
              <w:rPr>
                <w:szCs w:val="17"/>
              </w:rPr>
            </w:pPr>
            <w:r w:rsidRPr="005C1E1D">
              <w:rPr>
                <w:szCs w:val="17"/>
              </w:rPr>
              <w:t> </w:t>
            </w:r>
          </w:p>
        </w:tc>
        <w:tc>
          <w:tcPr>
            <w:tcW w:w="1276" w:type="dxa"/>
            <w:tcBorders>
              <w:top w:val="single" w:sz="4" w:space="0" w:color="auto"/>
            </w:tcBorders>
            <w:noWrap/>
            <w:hideMark/>
          </w:tcPr>
          <w:p w:rsidR="005C1E1D" w:rsidRPr="005C1E1D" w:rsidRDefault="005C1E1D" w:rsidP="005C1E1D">
            <w:pPr>
              <w:spacing w:after="0" w:line="20" w:lineRule="exact"/>
              <w:jc w:val="center"/>
              <w:rPr>
                <w:szCs w:val="17"/>
              </w:rPr>
            </w:pPr>
          </w:p>
        </w:tc>
        <w:tc>
          <w:tcPr>
            <w:tcW w:w="1276" w:type="dxa"/>
            <w:tcBorders>
              <w:top w:val="single" w:sz="4" w:space="0" w:color="auto"/>
            </w:tcBorders>
            <w:noWrap/>
            <w:hideMark/>
          </w:tcPr>
          <w:p w:rsidR="005C1E1D" w:rsidRPr="005C1E1D" w:rsidRDefault="005C1E1D" w:rsidP="005C1E1D">
            <w:pPr>
              <w:spacing w:after="0" w:line="20" w:lineRule="exact"/>
              <w:jc w:val="center"/>
              <w:rPr>
                <w:szCs w:val="17"/>
              </w:rPr>
            </w:pPr>
          </w:p>
        </w:tc>
        <w:tc>
          <w:tcPr>
            <w:tcW w:w="992" w:type="dxa"/>
            <w:tcBorders>
              <w:top w:val="single" w:sz="4" w:space="0" w:color="auto"/>
            </w:tcBorders>
            <w:noWrap/>
            <w:hideMark/>
          </w:tcPr>
          <w:p w:rsidR="005C1E1D" w:rsidRPr="005C1E1D" w:rsidRDefault="005C1E1D" w:rsidP="005C1E1D">
            <w:pPr>
              <w:spacing w:after="0" w:line="20" w:lineRule="exact"/>
              <w:jc w:val="center"/>
              <w:rPr>
                <w:szCs w:val="17"/>
              </w:rPr>
            </w:pPr>
          </w:p>
        </w:tc>
      </w:tr>
      <w:tr w:rsidR="005C1E1D" w:rsidRPr="005C1E1D" w:rsidTr="005C1E1D">
        <w:trPr>
          <w:trHeight w:val="20"/>
        </w:trPr>
        <w:tc>
          <w:tcPr>
            <w:tcW w:w="5812" w:type="dxa"/>
            <w:noWrap/>
            <w:hideMark/>
          </w:tcPr>
          <w:p w:rsidR="005C1E1D" w:rsidRPr="005C1E1D" w:rsidRDefault="005C1E1D" w:rsidP="005C1E1D">
            <w:pPr>
              <w:spacing w:before="40" w:after="0"/>
              <w:jc w:val="left"/>
              <w:rPr>
                <w:szCs w:val="17"/>
              </w:rPr>
            </w:pPr>
            <w:r w:rsidRPr="005C1E1D">
              <w:rPr>
                <w:szCs w:val="17"/>
              </w:rPr>
              <w:t>Resource Card Replacement</w:t>
            </w:r>
          </w:p>
        </w:tc>
        <w:tc>
          <w:tcPr>
            <w:tcW w:w="1276" w:type="dxa"/>
            <w:noWrap/>
            <w:hideMark/>
          </w:tcPr>
          <w:p w:rsidR="005C1E1D" w:rsidRPr="005C1E1D" w:rsidRDefault="005C1E1D" w:rsidP="005C1E1D">
            <w:pPr>
              <w:spacing w:before="40" w:after="0"/>
              <w:jc w:val="center"/>
              <w:rPr>
                <w:szCs w:val="17"/>
              </w:rPr>
            </w:pPr>
            <w:r w:rsidRPr="005C1E1D">
              <w:rPr>
                <w:szCs w:val="17"/>
              </w:rPr>
              <w:t>$1.00</w:t>
            </w:r>
          </w:p>
        </w:tc>
        <w:tc>
          <w:tcPr>
            <w:tcW w:w="1276" w:type="dxa"/>
            <w:noWrap/>
            <w:hideMark/>
          </w:tcPr>
          <w:p w:rsidR="005C1E1D" w:rsidRPr="005C1E1D" w:rsidRDefault="005C1E1D" w:rsidP="005C1E1D">
            <w:pPr>
              <w:spacing w:before="40" w:after="0"/>
              <w:jc w:val="center"/>
              <w:rPr>
                <w:szCs w:val="17"/>
              </w:rPr>
            </w:pPr>
            <w:r w:rsidRPr="005C1E1D">
              <w:rPr>
                <w:szCs w:val="17"/>
              </w:rPr>
              <w:t>$1.00</w:t>
            </w:r>
          </w:p>
        </w:tc>
        <w:tc>
          <w:tcPr>
            <w:tcW w:w="992" w:type="dxa"/>
            <w:noWrap/>
            <w:hideMark/>
          </w:tcPr>
          <w:p w:rsidR="005C1E1D" w:rsidRPr="005C1E1D" w:rsidRDefault="005C1E1D" w:rsidP="005C1E1D">
            <w:pPr>
              <w:spacing w:before="40"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before="120" w:after="0"/>
              <w:jc w:val="left"/>
              <w:rPr>
                <w:i/>
                <w:szCs w:val="17"/>
              </w:rPr>
            </w:pPr>
            <w:r w:rsidRPr="005C1E1D">
              <w:rPr>
                <w:i/>
                <w:szCs w:val="17"/>
              </w:rPr>
              <w:t>Photocopying/Printing</w:t>
            </w:r>
          </w:p>
        </w:tc>
        <w:tc>
          <w:tcPr>
            <w:tcW w:w="1276" w:type="dxa"/>
            <w:noWrap/>
            <w:hideMark/>
          </w:tcPr>
          <w:p w:rsidR="005C1E1D" w:rsidRPr="005C1E1D" w:rsidRDefault="005C1E1D" w:rsidP="005C1E1D">
            <w:pPr>
              <w:spacing w:after="0"/>
              <w:jc w:val="center"/>
              <w:rPr>
                <w:szCs w:val="17"/>
              </w:rPr>
            </w:pPr>
          </w:p>
        </w:tc>
        <w:tc>
          <w:tcPr>
            <w:tcW w:w="1276" w:type="dxa"/>
            <w:noWrap/>
            <w:hideMark/>
          </w:tcPr>
          <w:p w:rsidR="005C1E1D" w:rsidRPr="005C1E1D" w:rsidRDefault="005C1E1D" w:rsidP="005C1E1D">
            <w:pPr>
              <w:spacing w:after="0"/>
              <w:jc w:val="center"/>
              <w:rPr>
                <w:szCs w:val="17"/>
              </w:rPr>
            </w:pPr>
          </w:p>
        </w:tc>
        <w:tc>
          <w:tcPr>
            <w:tcW w:w="992" w:type="dxa"/>
            <w:noWrap/>
            <w:hideMark/>
          </w:tcPr>
          <w:p w:rsidR="005C1E1D" w:rsidRPr="005C1E1D" w:rsidRDefault="005C1E1D" w:rsidP="005C1E1D">
            <w:pPr>
              <w:spacing w:after="0"/>
              <w:jc w:val="center"/>
              <w:rPr>
                <w:szCs w:val="17"/>
              </w:rPr>
            </w:pP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A4 - Black &amp; White</w:t>
            </w:r>
          </w:p>
        </w:tc>
        <w:tc>
          <w:tcPr>
            <w:tcW w:w="1276" w:type="dxa"/>
            <w:noWrap/>
            <w:hideMark/>
          </w:tcPr>
          <w:p w:rsidR="005C1E1D" w:rsidRPr="005C1E1D" w:rsidRDefault="005C1E1D" w:rsidP="005C1E1D">
            <w:pPr>
              <w:spacing w:after="0"/>
              <w:jc w:val="center"/>
              <w:rPr>
                <w:szCs w:val="17"/>
              </w:rPr>
            </w:pPr>
            <w:r w:rsidRPr="005C1E1D">
              <w:rPr>
                <w:szCs w:val="17"/>
              </w:rPr>
              <w:t>Various</w:t>
            </w:r>
          </w:p>
        </w:tc>
        <w:tc>
          <w:tcPr>
            <w:tcW w:w="1276" w:type="dxa"/>
            <w:noWrap/>
            <w:hideMark/>
          </w:tcPr>
          <w:p w:rsidR="005C1E1D" w:rsidRPr="005C1E1D" w:rsidRDefault="005C1E1D" w:rsidP="005C1E1D">
            <w:pPr>
              <w:spacing w:after="0"/>
              <w:jc w:val="center"/>
              <w:rPr>
                <w:szCs w:val="17"/>
              </w:rPr>
            </w:pPr>
            <w:r w:rsidRPr="005C1E1D">
              <w:rPr>
                <w:szCs w:val="17"/>
              </w:rPr>
              <w:t>$0.20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A4 - Colour</w:t>
            </w:r>
          </w:p>
        </w:tc>
        <w:tc>
          <w:tcPr>
            <w:tcW w:w="1276" w:type="dxa"/>
            <w:noWrap/>
            <w:hideMark/>
          </w:tcPr>
          <w:p w:rsidR="005C1E1D" w:rsidRPr="005C1E1D" w:rsidRDefault="005C1E1D" w:rsidP="005C1E1D">
            <w:pPr>
              <w:spacing w:after="0"/>
              <w:jc w:val="center"/>
              <w:rPr>
                <w:szCs w:val="17"/>
              </w:rPr>
            </w:pPr>
            <w:r w:rsidRPr="005C1E1D">
              <w:rPr>
                <w:szCs w:val="17"/>
              </w:rPr>
              <w:t>Various</w:t>
            </w:r>
          </w:p>
        </w:tc>
        <w:tc>
          <w:tcPr>
            <w:tcW w:w="1276" w:type="dxa"/>
            <w:noWrap/>
            <w:hideMark/>
          </w:tcPr>
          <w:p w:rsidR="005C1E1D" w:rsidRPr="005C1E1D" w:rsidRDefault="005C1E1D" w:rsidP="005C1E1D">
            <w:pPr>
              <w:spacing w:after="0"/>
              <w:jc w:val="center"/>
              <w:rPr>
                <w:szCs w:val="17"/>
              </w:rPr>
            </w:pPr>
            <w:r w:rsidRPr="005C1E1D">
              <w:rPr>
                <w:szCs w:val="17"/>
              </w:rPr>
              <w:t>$1.00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A3 - Black &amp; White</w:t>
            </w:r>
          </w:p>
        </w:tc>
        <w:tc>
          <w:tcPr>
            <w:tcW w:w="1276" w:type="dxa"/>
            <w:noWrap/>
            <w:hideMark/>
          </w:tcPr>
          <w:p w:rsidR="005C1E1D" w:rsidRPr="005C1E1D" w:rsidRDefault="005C1E1D" w:rsidP="005C1E1D">
            <w:pPr>
              <w:spacing w:after="0"/>
              <w:jc w:val="center"/>
              <w:rPr>
                <w:szCs w:val="17"/>
              </w:rPr>
            </w:pPr>
            <w:r w:rsidRPr="005C1E1D">
              <w:rPr>
                <w:szCs w:val="17"/>
              </w:rPr>
              <w:t>Various</w:t>
            </w:r>
          </w:p>
        </w:tc>
        <w:tc>
          <w:tcPr>
            <w:tcW w:w="1276" w:type="dxa"/>
            <w:noWrap/>
            <w:hideMark/>
          </w:tcPr>
          <w:p w:rsidR="005C1E1D" w:rsidRPr="005C1E1D" w:rsidRDefault="005C1E1D" w:rsidP="005C1E1D">
            <w:pPr>
              <w:spacing w:after="0"/>
              <w:jc w:val="center"/>
              <w:rPr>
                <w:szCs w:val="17"/>
              </w:rPr>
            </w:pPr>
            <w:r w:rsidRPr="005C1E1D">
              <w:rPr>
                <w:szCs w:val="17"/>
              </w:rPr>
              <w:t>$0.30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A3 - Colour</w:t>
            </w:r>
          </w:p>
        </w:tc>
        <w:tc>
          <w:tcPr>
            <w:tcW w:w="1276" w:type="dxa"/>
            <w:noWrap/>
            <w:hideMark/>
          </w:tcPr>
          <w:p w:rsidR="005C1E1D" w:rsidRPr="005C1E1D" w:rsidRDefault="005C1E1D" w:rsidP="005C1E1D">
            <w:pPr>
              <w:spacing w:after="0"/>
              <w:jc w:val="center"/>
              <w:rPr>
                <w:szCs w:val="17"/>
              </w:rPr>
            </w:pPr>
            <w:r w:rsidRPr="005C1E1D">
              <w:rPr>
                <w:szCs w:val="17"/>
              </w:rPr>
              <w:t>Various</w:t>
            </w:r>
          </w:p>
        </w:tc>
        <w:tc>
          <w:tcPr>
            <w:tcW w:w="1276" w:type="dxa"/>
            <w:noWrap/>
            <w:hideMark/>
          </w:tcPr>
          <w:p w:rsidR="005C1E1D" w:rsidRPr="005C1E1D" w:rsidRDefault="005C1E1D" w:rsidP="005C1E1D">
            <w:pPr>
              <w:spacing w:after="0"/>
              <w:jc w:val="center"/>
              <w:rPr>
                <w:szCs w:val="17"/>
              </w:rPr>
            </w:pPr>
            <w:r w:rsidRPr="005C1E1D">
              <w:rPr>
                <w:szCs w:val="17"/>
              </w:rPr>
              <w:t>$2.00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Maps</w:t>
            </w:r>
          </w:p>
        </w:tc>
        <w:tc>
          <w:tcPr>
            <w:tcW w:w="1276" w:type="dxa"/>
            <w:noWrap/>
            <w:hideMark/>
          </w:tcPr>
          <w:p w:rsidR="005C1E1D" w:rsidRPr="005C1E1D" w:rsidRDefault="005C1E1D" w:rsidP="005C1E1D">
            <w:pPr>
              <w:spacing w:after="0"/>
              <w:jc w:val="center"/>
              <w:rPr>
                <w:szCs w:val="17"/>
              </w:rPr>
            </w:pPr>
            <w:r w:rsidRPr="005C1E1D">
              <w:rPr>
                <w:szCs w:val="17"/>
              </w:rPr>
              <w:t>POA</w:t>
            </w:r>
          </w:p>
        </w:tc>
        <w:tc>
          <w:tcPr>
            <w:tcW w:w="1276" w:type="dxa"/>
            <w:noWrap/>
            <w:hideMark/>
          </w:tcPr>
          <w:p w:rsidR="005C1E1D" w:rsidRPr="005C1E1D" w:rsidRDefault="005C1E1D" w:rsidP="005C1E1D">
            <w:pPr>
              <w:spacing w:after="0"/>
              <w:jc w:val="center"/>
              <w:rPr>
                <w:szCs w:val="17"/>
              </w:rPr>
            </w:pPr>
            <w:r w:rsidRPr="005C1E1D">
              <w:rPr>
                <w:szCs w:val="17"/>
              </w:rPr>
              <w:t>POA</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before="120" w:after="0"/>
              <w:jc w:val="left"/>
              <w:rPr>
                <w:i/>
                <w:szCs w:val="17"/>
              </w:rPr>
            </w:pPr>
            <w:r w:rsidRPr="005C1E1D">
              <w:rPr>
                <w:i/>
                <w:szCs w:val="17"/>
              </w:rPr>
              <w:t>Reference Queries/Customer Orders</w:t>
            </w:r>
          </w:p>
        </w:tc>
        <w:tc>
          <w:tcPr>
            <w:tcW w:w="1276" w:type="dxa"/>
            <w:noWrap/>
            <w:hideMark/>
          </w:tcPr>
          <w:p w:rsidR="005C1E1D" w:rsidRPr="005C1E1D" w:rsidRDefault="005C1E1D" w:rsidP="005C1E1D">
            <w:pPr>
              <w:spacing w:after="0"/>
              <w:jc w:val="center"/>
              <w:rPr>
                <w:szCs w:val="17"/>
              </w:rPr>
            </w:pPr>
          </w:p>
        </w:tc>
        <w:tc>
          <w:tcPr>
            <w:tcW w:w="1276" w:type="dxa"/>
            <w:noWrap/>
            <w:hideMark/>
          </w:tcPr>
          <w:p w:rsidR="005C1E1D" w:rsidRPr="005C1E1D" w:rsidRDefault="005C1E1D" w:rsidP="005C1E1D">
            <w:pPr>
              <w:spacing w:after="0"/>
              <w:jc w:val="center"/>
              <w:rPr>
                <w:szCs w:val="17"/>
              </w:rPr>
            </w:pPr>
          </w:p>
        </w:tc>
        <w:tc>
          <w:tcPr>
            <w:tcW w:w="992" w:type="dxa"/>
            <w:noWrap/>
            <w:hideMark/>
          </w:tcPr>
          <w:p w:rsidR="005C1E1D" w:rsidRPr="005C1E1D" w:rsidRDefault="005C1E1D" w:rsidP="005C1E1D">
            <w:pPr>
              <w:spacing w:after="0"/>
              <w:jc w:val="center"/>
              <w:rPr>
                <w:szCs w:val="17"/>
              </w:rPr>
            </w:pP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B&amp;W Photo quality archival paper - up to A4 size print</w:t>
            </w:r>
          </w:p>
        </w:tc>
        <w:tc>
          <w:tcPr>
            <w:tcW w:w="1276" w:type="dxa"/>
            <w:noWrap/>
            <w:hideMark/>
          </w:tcPr>
          <w:p w:rsidR="005C1E1D" w:rsidRPr="005C1E1D" w:rsidRDefault="005C1E1D" w:rsidP="005C1E1D">
            <w:pPr>
              <w:spacing w:after="0"/>
              <w:jc w:val="center"/>
              <w:rPr>
                <w:szCs w:val="17"/>
              </w:rPr>
            </w:pPr>
            <w:r w:rsidRPr="005C1E1D">
              <w:rPr>
                <w:szCs w:val="17"/>
              </w:rPr>
              <w:t>$19.00</w:t>
            </w:r>
          </w:p>
        </w:tc>
        <w:tc>
          <w:tcPr>
            <w:tcW w:w="1276" w:type="dxa"/>
            <w:noWrap/>
            <w:hideMark/>
          </w:tcPr>
          <w:p w:rsidR="005C1E1D" w:rsidRPr="005C1E1D" w:rsidRDefault="005C1E1D" w:rsidP="005C1E1D">
            <w:pPr>
              <w:spacing w:after="0"/>
              <w:jc w:val="center"/>
              <w:rPr>
                <w:szCs w:val="17"/>
              </w:rPr>
            </w:pPr>
            <w:r w:rsidRPr="005C1E1D">
              <w:rPr>
                <w:szCs w:val="17"/>
              </w:rPr>
              <w:t>$19.00</w:t>
            </w:r>
          </w:p>
        </w:tc>
        <w:tc>
          <w:tcPr>
            <w:tcW w:w="992" w:type="dxa"/>
            <w:noWrap/>
            <w:hideMark/>
          </w:tcPr>
          <w:p w:rsidR="005C1E1D" w:rsidRPr="005C1E1D" w:rsidRDefault="005C1E1D" w:rsidP="005C1E1D">
            <w:pPr>
              <w:spacing w:after="0"/>
              <w:jc w:val="center"/>
              <w:rPr>
                <w:szCs w:val="17"/>
              </w:rPr>
            </w:pPr>
            <w:r w:rsidRPr="005C1E1D">
              <w:rPr>
                <w:szCs w:val="17"/>
              </w:rPr>
              <w:t>1/7/17</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B&amp;W Photo quality archival paper - up to A3 size print</w:t>
            </w:r>
          </w:p>
        </w:tc>
        <w:tc>
          <w:tcPr>
            <w:tcW w:w="1276" w:type="dxa"/>
            <w:noWrap/>
            <w:hideMark/>
          </w:tcPr>
          <w:p w:rsidR="005C1E1D" w:rsidRPr="005C1E1D" w:rsidRDefault="005C1E1D" w:rsidP="005C1E1D">
            <w:pPr>
              <w:spacing w:after="0"/>
              <w:jc w:val="center"/>
              <w:rPr>
                <w:szCs w:val="17"/>
              </w:rPr>
            </w:pPr>
            <w:r w:rsidRPr="005C1E1D">
              <w:rPr>
                <w:szCs w:val="17"/>
              </w:rPr>
              <w:t>$22.00</w:t>
            </w:r>
          </w:p>
        </w:tc>
        <w:tc>
          <w:tcPr>
            <w:tcW w:w="1276" w:type="dxa"/>
            <w:noWrap/>
            <w:hideMark/>
          </w:tcPr>
          <w:p w:rsidR="005C1E1D" w:rsidRPr="005C1E1D" w:rsidRDefault="005C1E1D" w:rsidP="005C1E1D">
            <w:pPr>
              <w:spacing w:after="0"/>
              <w:jc w:val="center"/>
              <w:rPr>
                <w:szCs w:val="17"/>
              </w:rPr>
            </w:pPr>
            <w:r w:rsidRPr="005C1E1D">
              <w:rPr>
                <w:szCs w:val="17"/>
              </w:rPr>
              <w:t>$22.00</w:t>
            </w:r>
          </w:p>
        </w:tc>
        <w:tc>
          <w:tcPr>
            <w:tcW w:w="992" w:type="dxa"/>
            <w:noWrap/>
            <w:hideMark/>
          </w:tcPr>
          <w:p w:rsidR="005C1E1D" w:rsidRPr="005C1E1D" w:rsidRDefault="005C1E1D" w:rsidP="005C1E1D">
            <w:pPr>
              <w:spacing w:after="0"/>
              <w:jc w:val="center"/>
              <w:rPr>
                <w:szCs w:val="17"/>
              </w:rPr>
            </w:pPr>
            <w:r w:rsidRPr="005C1E1D">
              <w:rPr>
                <w:szCs w:val="17"/>
              </w:rPr>
              <w:t>1/7/17</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B&amp;W Photo quality archival paper - up to A2 size print</w:t>
            </w:r>
          </w:p>
        </w:tc>
        <w:tc>
          <w:tcPr>
            <w:tcW w:w="1276" w:type="dxa"/>
            <w:noWrap/>
            <w:hideMark/>
          </w:tcPr>
          <w:p w:rsidR="005C1E1D" w:rsidRPr="005C1E1D" w:rsidRDefault="005C1E1D" w:rsidP="005C1E1D">
            <w:pPr>
              <w:spacing w:after="0"/>
              <w:jc w:val="center"/>
              <w:rPr>
                <w:szCs w:val="17"/>
              </w:rPr>
            </w:pPr>
            <w:r w:rsidRPr="005C1E1D">
              <w:rPr>
                <w:szCs w:val="17"/>
              </w:rPr>
              <w:t>$30.00</w:t>
            </w:r>
          </w:p>
        </w:tc>
        <w:tc>
          <w:tcPr>
            <w:tcW w:w="1276" w:type="dxa"/>
            <w:noWrap/>
            <w:hideMark/>
          </w:tcPr>
          <w:p w:rsidR="005C1E1D" w:rsidRPr="005C1E1D" w:rsidRDefault="005C1E1D" w:rsidP="005C1E1D">
            <w:pPr>
              <w:spacing w:after="0"/>
              <w:jc w:val="center"/>
              <w:rPr>
                <w:szCs w:val="17"/>
              </w:rPr>
            </w:pPr>
            <w:r w:rsidRPr="005C1E1D">
              <w:rPr>
                <w:szCs w:val="17"/>
              </w:rPr>
              <w:t>$30.00</w:t>
            </w:r>
          </w:p>
        </w:tc>
        <w:tc>
          <w:tcPr>
            <w:tcW w:w="992" w:type="dxa"/>
            <w:noWrap/>
            <w:hideMark/>
          </w:tcPr>
          <w:p w:rsidR="005C1E1D" w:rsidRPr="005C1E1D" w:rsidRDefault="005C1E1D" w:rsidP="005C1E1D">
            <w:pPr>
              <w:spacing w:after="0"/>
              <w:jc w:val="center"/>
              <w:rPr>
                <w:szCs w:val="17"/>
              </w:rPr>
            </w:pPr>
            <w:r w:rsidRPr="005C1E1D">
              <w:rPr>
                <w:szCs w:val="17"/>
              </w:rPr>
              <w:t>1/7/15</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Colour Photo quality archival paper - up to A4 size print</w:t>
            </w:r>
          </w:p>
        </w:tc>
        <w:tc>
          <w:tcPr>
            <w:tcW w:w="1276" w:type="dxa"/>
            <w:noWrap/>
            <w:hideMark/>
          </w:tcPr>
          <w:p w:rsidR="005C1E1D" w:rsidRPr="005C1E1D" w:rsidRDefault="005C1E1D" w:rsidP="005C1E1D">
            <w:pPr>
              <w:spacing w:after="0"/>
              <w:jc w:val="center"/>
              <w:rPr>
                <w:szCs w:val="17"/>
              </w:rPr>
            </w:pPr>
            <w:r w:rsidRPr="005C1E1D">
              <w:rPr>
                <w:szCs w:val="17"/>
              </w:rPr>
              <w:t>$23.00</w:t>
            </w:r>
          </w:p>
        </w:tc>
        <w:tc>
          <w:tcPr>
            <w:tcW w:w="1276" w:type="dxa"/>
            <w:noWrap/>
            <w:hideMark/>
          </w:tcPr>
          <w:p w:rsidR="005C1E1D" w:rsidRPr="005C1E1D" w:rsidRDefault="005C1E1D" w:rsidP="005C1E1D">
            <w:pPr>
              <w:spacing w:after="0"/>
              <w:jc w:val="center"/>
              <w:rPr>
                <w:szCs w:val="17"/>
              </w:rPr>
            </w:pPr>
            <w:r w:rsidRPr="005C1E1D">
              <w:rPr>
                <w:szCs w:val="17"/>
              </w:rPr>
              <w:t>$23.00</w:t>
            </w:r>
          </w:p>
        </w:tc>
        <w:tc>
          <w:tcPr>
            <w:tcW w:w="992" w:type="dxa"/>
            <w:noWrap/>
            <w:hideMark/>
          </w:tcPr>
          <w:p w:rsidR="005C1E1D" w:rsidRPr="005C1E1D" w:rsidRDefault="005C1E1D" w:rsidP="005C1E1D">
            <w:pPr>
              <w:spacing w:after="0"/>
              <w:jc w:val="center"/>
              <w:rPr>
                <w:szCs w:val="17"/>
              </w:rPr>
            </w:pPr>
            <w:r w:rsidRPr="005C1E1D">
              <w:rPr>
                <w:szCs w:val="17"/>
              </w:rPr>
              <w:t>1/7/17</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Colour Photo quality archival paper - up to A3 size print</w:t>
            </w:r>
          </w:p>
        </w:tc>
        <w:tc>
          <w:tcPr>
            <w:tcW w:w="1276" w:type="dxa"/>
            <w:noWrap/>
            <w:hideMark/>
          </w:tcPr>
          <w:p w:rsidR="005C1E1D" w:rsidRPr="005C1E1D" w:rsidRDefault="005C1E1D" w:rsidP="005C1E1D">
            <w:pPr>
              <w:spacing w:after="0"/>
              <w:jc w:val="center"/>
              <w:rPr>
                <w:szCs w:val="17"/>
              </w:rPr>
            </w:pPr>
            <w:r w:rsidRPr="005C1E1D">
              <w:rPr>
                <w:szCs w:val="17"/>
              </w:rPr>
              <w:t>$26.00</w:t>
            </w:r>
          </w:p>
        </w:tc>
        <w:tc>
          <w:tcPr>
            <w:tcW w:w="1276" w:type="dxa"/>
            <w:noWrap/>
            <w:hideMark/>
          </w:tcPr>
          <w:p w:rsidR="005C1E1D" w:rsidRPr="005C1E1D" w:rsidRDefault="005C1E1D" w:rsidP="005C1E1D">
            <w:pPr>
              <w:spacing w:after="0"/>
              <w:jc w:val="center"/>
              <w:rPr>
                <w:szCs w:val="17"/>
              </w:rPr>
            </w:pPr>
            <w:r w:rsidRPr="005C1E1D">
              <w:rPr>
                <w:szCs w:val="17"/>
              </w:rPr>
              <w:t>$26.00</w:t>
            </w:r>
          </w:p>
        </w:tc>
        <w:tc>
          <w:tcPr>
            <w:tcW w:w="992" w:type="dxa"/>
            <w:noWrap/>
            <w:hideMark/>
          </w:tcPr>
          <w:p w:rsidR="005C1E1D" w:rsidRPr="005C1E1D" w:rsidRDefault="005C1E1D" w:rsidP="005C1E1D">
            <w:pPr>
              <w:spacing w:after="0"/>
              <w:jc w:val="center"/>
              <w:rPr>
                <w:szCs w:val="17"/>
              </w:rPr>
            </w:pPr>
            <w:r w:rsidRPr="005C1E1D">
              <w:rPr>
                <w:szCs w:val="17"/>
              </w:rPr>
              <w:t>1/7/17</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Colour Photo quality archival paper - up to A2 size print</w:t>
            </w:r>
          </w:p>
        </w:tc>
        <w:tc>
          <w:tcPr>
            <w:tcW w:w="1276" w:type="dxa"/>
            <w:noWrap/>
            <w:hideMark/>
          </w:tcPr>
          <w:p w:rsidR="005C1E1D" w:rsidRPr="005C1E1D" w:rsidRDefault="005C1E1D" w:rsidP="005C1E1D">
            <w:pPr>
              <w:spacing w:after="0"/>
              <w:jc w:val="center"/>
              <w:rPr>
                <w:szCs w:val="17"/>
              </w:rPr>
            </w:pPr>
            <w:r w:rsidRPr="005C1E1D">
              <w:rPr>
                <w:szCs w:val="17"/>
              </w:rPr>
              <w:t>$40.00</w:t>
            </w:r>
          </w:p>
        </w:tc>
        <w:tc>
          <w:tcPr>
            <w:tcW w:w="1276" w:type="dxa"/>
            <w:noWrap/>
            <w:hideMark/>
          </w:tcPr>
          <w:p w:rsidR="005C1E1D" w:rsidRPr="005C1E1D" w:rsidRDefault="005C1E1D" w:rsidP="005C1E1D">
            <w:pPr>
              <w:spacing w:after="0"/>
              <w:jc w:val="center"/>
              <w:rPr>
                <w:szCs w:val="17"/>
              </w:rPr>
            </w:pPr>
            <w:r w:rsidRPr="005C1E1D">
              <w:rPr>
                <w:szCs w:val="17"/>
              </w:rPr>
              <w:t>$40.00</w:t>
            </w:r>
          </w:p>
        </w:tc>
        <w:tc>
          <w:tcPr>
            <w:tcW w:w="992" w:type="dxa"/>
            <w:noWrap/>
            <w:hideMark/>
          </w:tcPr>
          <w:p w:rsidR="005C1E1D" w:rsidRPr="005C1E1D" w:rsidRDefault="005C1E1D" w:rsidP="005C1E1D">
            <w:pPr>
              <w:spacing w:after="0"/>
              <w:jc w:val="center"/>
              <w:rPr>
                <w:szCs w:val="17"/>
              </w:rPr>
            </w:pPr>
            <w:r w:rsidRPr="005C1E1D">
              <w:rPr>
                <w:szCs w:val="17"/>
              </w:rPr>
              <w:t>1/7/15</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Burn to DVD</w:t>
            </w:r>
          </w:p>
        </w:tc>
        <w:tc>
          <w:tcPr>
            <w:tcW w:w="1276" w:type="dxa"/>
            <w:noWrap/>
            <w:hideMark/>
          </w:tcPr>
          <w:p w:rsidR="005C1E1D" w:rsidRPr="005C1E1D" w:rsidRDefault="005C1E1D" w:rsidP="005C1E1D">
            <w:pPr>
              <w:spacing w:after="0"/>
              <w:jc w:val="center"/>
              <w:rPr>
                <w:szCs w:val="17"/>
              </w:rPr>
            </w:pPr>
            <w:r w:rsidRPr="005C1E1D">
              <w:rPr>
                <w:szCs w:val="17"/>
              </w:rPr>
              <w:t>$10.00</w:t>
            </w:r>
          </w:p>
        </w:tc>
        <w:tc>
          <w:tcPr>
            <w:tcW w:w="1276" w:type="dxa"/>
            <w:noWrap/>
            <w:hideMark/>
          </w:tcPr>
          <w:p w:rsidR="005C1E1D" w:rsidRPr="005C1E1D" w:rsidRDefault="005C1E1D" w:rsidP="005C1E1D">
            <w:pPr>
              <w:spacing w:after="0"/>
              <w:jc w:val="center"/>
              <w:rPr>
                <w:szCs w:val="17"/>
              </w:rPr>
            </w:pPr>
            <w:r w:rsidRPr="005C1E1D">
              <w:rPr>
                <w:szCs w:val="17"/>
              </w:rPr>
              <w:t>$12.00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Image downloaded and saved</w:t>
            </w:r>
          </w:p>
        </w:tc>
        <w:tc>
          <w:tcPr>
            <w:tcW w:w="1276" w:type="dxa"/>
            <w:noWrap/>
            <w:hideMark/>
          </w:tcPr>
          <w:p w:rsidR="005C1E1D" w:rsidRPr="005C1E1D" w:rsidRDefault="005C1E1D" w:rsidP="005C1E1D">
            <w:pPr>
              <w:spacing w:after="0"/>
              <w:jc w:val="center"/>
              <w:rPr>
                <w:szCs w:val="17"/>
              </w:rPr>
            </w:pPr>
            <w:r w:rsidRPr="005C1E1D">
              <w:rPr>
                <w:szCs w:val="17"/>
              </w:rPr>
              <w:t>$17.00</w:t>
            </w:r>
          </w:p>
        </w:tc>
        <w:tc>
          <w:tcPr>
            <w:tcW w:w="1276" w:type="dxa"/>
            <w:noWrap/>
            <w:hideMark/>
          </w:tcPr>
          <w:p w:rsidR="005C1E1D" w:rsidRPr="005C1E1D" w:rsidRDefault="005C1E1D" w:rsidP="005C1E1D">
            <w:pPr>
              <w:spacing w:after="0"/>
              <w:jc w:val="center"/>
              <w:rPr>
                <w:szCs w:val="17"/>
              </w:rPr>
            </w:pPr>
            <w:r w:rsidRPr="005C1E1D">
              <w:rPr>
                <w:szCs w:val="17"/>
              </w:rPr>
              <w:t>$10.00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A4 microfiche / film staff operated</w:t>
            </w:r>
          </w:p>
        </w:tc>
        <w:tc>
          <w:tcPr>
            <w:tcW w:w="1276" w:type="dxa"/>
            <w:noWrap/>
            <w:hideMark/>
          </w:tcPr>
          <w:p w:rsidR="005C1E1D" w:rsidRPr="005C1E1D" w:rsidRDefault="005C1E1D" w:rsidP="005C1E1D">
            <w:pPr>
              <w:spacing w:after="0"/>
              <w:jc w:val="center"/>
              <w:rPr>
                <w:szCs w:val="17"/>
              </w:rPr>
            </w:pPr>
            <w:r w:rsidRPr="005C1E1D">
              <w:rPr>
                <w:szCs w:val="17"/>
              </w:rPr>
              <w:t>$2.50</w:t>
            </w:r>
          </w:p>
        </w:tc>
        <w:tc>
          <w:tcPr>
            <w:tcW w:w="1276" w:type="dxa"/>
            <w:noWrap/>
            <w:hideMark/>
          </w:tcPr>
          <w:p w:rsidR="005C1E1D" w:rsidRPr="005C1E1D" w:rsidRDefault="005C1E1D" w:rsidP="005C1E1D">
            <w:pPr>
              <w:spacing w:after="0"/>
              <w:jc w:val="center"/>
              <w:rPr>
                <w:szCs w:val="17"/>
              </w:rPr>
            </w:pPr>
            <w:r w:rsidRPr="005C1E1D">
              <w:rPr>
                <w:szCs w:val="17"/>
              </w:rPr>
              <w:t>$2.50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A3 microfiche / film staff operated</w:t>
            </w:r>
          </w:p>
        </w:tc>
        <w:tc>
          <w:tcPr>
            <w:tcW w:w="1276" w:type="dxa"/>
            <w:noWrap/>
            <w:hideMark/>
          </w:tcPr>
          <w:p w:rsidR="005C1E1D" w:rsidRPr="005C1E1D" w:rsidRDefault="005C1E1D" w:rsidP="005C1E1D">
            <w:pPr>
              <w:spacing w:after="0"/>
              <w:jc w:val="center"/>
              <w:rPr>
                <w:szCs w:val="17"/>
              </w:rPr>
            </w:pPr>
            <w:r w:rsidRPr="005C1E1D">
              <w:rPr>
                <w:szCs w:val="17"/>
              </w:rPr>
              <w:t>$3.80</w:t>
            </w:r>
          </w:p>
        </w:tc>
        <w:tc>
          <w:tcPr>
            <w:tcW w:w="1276" w:type="dxa"/>
            <w:noWrap/>
            <w:hideMark/>
          </w:tcPr>
          <w:p w:rsidR="005C1E1D" w:rsidRPr="005C1E1D" w:rsidRDefault="005C1E1D" w:rsidP="005C1E1D">
            <w:pPr>
              <w:spacing w:after="0"/>
              <w:jc w:val="center"/>
              <w:rPr>
                <w:szCs w:val="17"/>
              </w:rPr>
            </w:pPr>
            <w:r w:rsidRPr="005C1E1D">
              <w:rPr>
                <w:szCs w:val="17"/>
              </w:rPr>
              <w:t>$3.80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A2 microfiche / film staff operated</w:t>
            </w:r>
          </w:p>
        </w:tc>
        <w:tc>
          <w:tcPr>
            <w:tcW w:w="1276" w:type="dxa"/>
            <w:noWrap/>
            <w:hideMark/>
          </w:tcPr>
          <w:p w:rsidR="005C1E1D" w:rsidRPr="005C1E1D" w:rsidRDefault="005C1E1D" w:rsidP="005C1E1D">
            <w:pPr>
              <w:spacing w:after="0"/>
              <w:jc w:val="center"/>
              <w:rPr>
                <w:szCs w:val="17"/>
              </w:rPr>
            </w:pPr>
            <w:r w:rsidRPr="005C1E1D">
              <w:rPr>
                <w:szCs w:val="17"/>
              </w:rPr>
              <w:t>$10.00</w:t>
            </w:r>
          </w:p>
        </w:tc>
        <w:tc>
          <w:tcPr>
            <w:tcW w:w="1276" w:type="dxa"/>
            <w:noWrap/>
            <w:hideMark/>
          </w:tcPr>
          <w:p w:rsidR="005C1E1D" w:rsidRPr="005C1E1D" w:rsidRDefault="005C1E1D" w:rsidP="005C1E1D">
            <w:pPr>
              <w:spacing w:after="0"/>
              <w:jc w:val="center"/>
              <w:rPr>
                <w:szCs w:val="17"/>
              </w:rPr>
            </w:pPr>
            <w:r w:rsidRPr="005C1E1D">
              <w:rPr>
                <w:szCs w:val="17"/>
              </w:rPr>
              <w:t>$10.00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 xml:space="preserve">Scan and save microfilm image </w:t>
            </w:r>
          </w:p>
        </w:tc>
        <w:tc>
          <w:tcPr>
            <w:tcW w:w="1276" w:type="dxa"/>
            <w:noWrap/>
            <w:hideMark/>
          </w:tcPr>
          <w:p w:rsidR="005C1E1D" w:rsidRPr="005C1E1D" w:rsidRDefault="005C1E1D" w:rsidP="005C1E1D">
            <w:pPr>
              <w:spacing w:after="0"/>
              <w:jc w:val="center"/>
              <w:rPr>
                <w:szCs w:val="17"/>
              </w:rPr>
            </w:pPr>
            <w:r w:rsidRPr="005C1E1D">
              <w:rPr>
                <w:szCs w:val="17"/>
              </w:rPr>
              <w:t>$12.00</w:t>
            </w:r>
          </w:p>
        </w:tc>
        <w:tc>
          <w:tcPr>
            <w:tcW w:w="1276" w:type="dxa"/>
            <w:noWrap/>
            <w:hideMark/>
          </w:tcPr>
          <w:p w:rsidR="005C1E1D" w:rsidRPr="005C1E1D" w:rsidRDefault="005C1E1D" w:rsidP="005C1E1D">
            <w:pPr>
              <w:spacing w:after="0"/>
              <w:jc w:val="center"/>
              <w:rPr>
                <w:szCs w:val="17"/>
              </w:rPr>
            </w:pPr>
            <w:r w:rsidRPr="005C1E1D">
              <w:rPr>
                <w:szCs w:val="17"/>
              </w:rPr>
              <w:t>$12.00</w:t>
            </w:r>
          </w:p>
        </w:tc>
        <w:tc>
          <w:tcPr>
            <w:tcW w:w="992" w:type="dxa"/>
            <w:noWrap/>
            <w:hideMark/>
          </w:tcPr>
          <w:p w:rsidR="005C1E1D" w:rsidRPr="005C1E1D" w:rsidRDefault="005C1E1D" w:rsidP="005C1E1D">
            <w:pPr>
              <w:spacing w:after="0"/>
              <w:jc w:val="center"/>
              <w:rPr>
                <w:szCs w:val="17"/>
              </w:rPr>
            </w:pPr>
            <w:r w:rsidRPr="005C1E1D">
              <w:rPr>
                <w:szCs w:val="17"/>
              </w:rPr>
              <w:t>1/7/17</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Priority Service - 3 working days maximum</w:t>
            </w:r>
          </w:p>
        </w:tc>
        <w:tc>
          <w:tcPr>
            <w:tcW w:w="1276" w:type="dxa"/>
            <w:noWrap/>
            <w:hideMark/>
          </w:tcPr>
          <w:p w:rsidR="005C1E1D" w:rsidRPr="005C1E1D" w:rsidRDefault="005C1E1D" w:rsidP="005C1E1D">
            <w:pPr>
              <w:spacing w:after="0"/>
              <w:jc w:val="center"/>
              <w:rPr>
                <w:szCs w:val="17"/>
              </w:rPr>
            </w:pPr>
            <w:r w:rsidRPr="005C1E1D">
              <w:rPr>
                <w:szCs w:val="17"/>
              </w:rPr>
              <w:t>+ 50%</w:t>
            </w:r>
          </w:p>
        </w:tc>
        <w:tc>
          <w:tcPr>
            <w:tcW w:w="1276" w:type="dxa"/>
            <w:noWrap/>
            <w:hideMark/>
          </w:tcPr>
          <w:p w:rsidR="005C1E1D" w:rsidRPr="005C1E1D" w:rsidRDefault="005C1E1D" w:rsidP="005C1E1D">
            <w:pPr>
              <w:spacing w:after="0"/>
              <w:jc w:val="center"/>
              <w:rPr>
                <w:szCs w:val="17"/>
              </w:rPr>
            </w:pPr>
            <w:r w:rsidRPr="005C1E1D">
              <w:rPr>
                <w:szCs w:val="17"/>
              </w:rPr>
              <w:t>+ 50%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Express Service - 1 working day maximum</w:t>
            </w:r>
          </w:p>
        </w:tc>
        <w:tc>
          <w:tcPr>
            <w:tcW w:w="1276" w:type="dxa"/>
            <w:noWrap/>
            <w:hideMark/>
          </w:tcPr>
          <w:p w:rsidR="005C1E1D" w:rsidRPr="005C1E1D" w:rsidRDefault="005C1E1D" w:rsidP="005C1E1D">
            <w:pPr>
              <w:spacing w:after="0"/>
              <w:jc w:val="center"/>
              <w:rPr>
                <w:szCs w:val="17"/>
              </w:rPr>
            </w:pPr>
            <w:r w:rsidRPr="005C1E1D">
              <w:rPr>
                <w:szCs w:val="17"/>
              </w:rPr>
              <w:t>+ 100%</w:t>
            </w:r>
          </w:p>
        </w:tc>
        <w:tc>
          <w:tcPr>
            <w:tcW w:w="1276" w:type="dxa"/>
            <w:noWrap/>
            <w:hideMark/>
          </w:tcPr>
          <w:p w:rsidR="005C1E1D" w:rsidRPr="005C1E1D" w:rsidRDefault="005C1E1D" w:rsidP="005C1E1D">
            <w:pPr>
              <w:spacing w:after="0"/>
              <w:jc w:val="center"/>
              <w:rPr>
                <w:szCs w:val="17"/>
              </w:rPr>
            </w:pPr>
            <w:r w:rsidRPr="005C1E1D">
              <w:rPr>
                <w:szCs w:val="17"/>
              </w:rPr>
              <w:t>+ 100%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8C3672" w:rsidRDefault="005C1E1D" w:rsidP="005C1E1D">
            <w:pPr>
              <w:spacing w:before="120" w:after="0"/>
              <w:jc w:val="left"/>
              <w:rPr>
                <w:b/>
                <w:szCs w:val="17"/>
              </w:rPr>
            </w:pPr>
            <w:r w:rsidRPr="008C3672">
              <w:rPr>
                <w:b/>
                <w:szCs w:val="17"/>
              </w:rPr>
              <w:t>New Charges</w:t>
            </w:r>
          </w:p>
        </w:tc>
        <w:tc>
          <w:tcPr>
            <w:tcW w:w="1276" w:type="dxa"/>
            <w:noWrap/>
            <w:hideMark/>
          </w:tcPr>
          <w:p w:rsidR="005C1E1D" w:rsidRPr="005C1E1D" w:rsidRDefault="005C1E1D" w:rsidP="005C1E1D">
            <w:pPr>
              <w:spacing w:after="0"/>
              <w:jc w:val="center"/>
              <w:rPr>
                <w:szCs w:val="17"/>
              </w:rPr>
            </w:pPr>
          </w:p>
        </w:tc>
        <w:tc>
          <w:tcPr>
            <w:tcW w:w="1276" w:type="dxa"/>
            <w:noWrap/>
            <w:hideMark/>
          </w:tcPr>
          <w:p w:rsidR="005C1E1D" w:rsidRPr="005C1E1D" w:rsidRDefault="005C1E1D" w:rsidP="005C1E1D">
            <w:pPr>
              <w:spacing w:after="0"/>
              <w:jc w:val="center"/>
              <w:rPr>
                <w:szCs w:val="17"/>
              </w:rPr>
            </w:pPr>
          </w:p>
        </w:tc>
        <w:tc>
          <w:tcPr>
            <w:tcW w:w="992" w:type="dxa"/>
            <w:noWrap/>
            <w:hideMark/>
          </w:tcPr>
          <w:p w:rsidR="005C1E1D" w:rsidRPr="005C1E1D" w:rsidRDefault="005C1E1D" w:rsidP="005C1E1D">
            <w:pPr>
              <w:spacing w:after="0"/>
              <w:jc w:val="center"/>
              <w:rPr>
                <w:szCs w:val="17"/>
              </w:rPr>
            </w:pP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Staff operated scanning to PDF using photocopier</w:t>
            </w:r>
          </w:p>
        </w:tc>
        <w:tc>
          <w:tcPr>
            <w:tcW w:w="1276" w:type="dxa"/>
            <w:noWrap/>
            <w:hideMark/>
          </w:tcPr>
          <w:p w:rsidR="005C1E1D" w:rsidRPr="005C1E1D" w:rsidRDefault="005C1E1D" w:rsidP="005C1E1D">
            <w:pPr>
              <w:spacing w:after="0"/>
              <w:jc w:val="center"/>
              <w:rPr>
                <w:szCs w:val="17"/>
              </w:rPr>
            </w:pPr>
            <w:r w:rsidRPr="005C1E1D">
              <w:rPr>
                <w:szCs w:val="17"/>
              </w:rPr>
              <w:t>-</w:t>
            </w:r>
          </w:p>
        </w:tc>
        <w:tc>
          <w:tcPr>
            <w:tcW w:w="1276" w:type="dxa"/>
            <w:noWrap/>
            <w:hideMark/>
          </w:tcPr>
          <w:p w:rsidR="005C1E1D" w:rsidRPr="005C1E1D" w:rsidRDefault="005C1E1D" w:rsidP="005C1E1D">
            <w:pPr>
              <w:spacing w:after="0"/>
              <w:jc w:val="center"/>
              <w:rPr>
                <w:szCs w:val="17"/>
              </w:rPr>
            </w:pPr>
            <w:r w:rsidRPr="005C1E1D">
              <w:rPr>
                <w:szCs w:val="17"/>
              </w:rPr>
              <w:t>$0.30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Overhead Scanner</w:t>
            </w:r>
          </w:p>
        </w:tc>
        <w:tc>
          <w:tcPr>
            <w:tcW w:w="1276" w:type="dxa"/>
            <w:noWrap/>
            <w:hideMark/>
          </w:tcPr>
          <w:p w:rsidR="005C1E1D" w:rsidRPr="005C1E1D" w:rsidRDefault="005C1E1D" w:rsidP="005C1E1D">
            <w:pPr>
              <w:spacing w:after="0"/>
              <w:jc w:val="center"/>
              <w:rPr>
                <w:szCs w:val="17"/>
              </w:rPr>
            </w:pPr>
          </w:p>
        </w:tc>
        <w:tc>
          <w:tcPr>
            <w:tcW w:w="1276" w:type="dxa"/>
            <w:noWrap/>
            <w:hideMark/>
          </w:tcPr>
          <w:p w:rsidR="005C1E1D" w:rsidRPr="005C1E1D" w:rsidRDefault="005C1E1D" w:rsidP="005C1E1D">
            <w:pPr>
              <w:spacing w:after="0"/>
              <w:jc w:val="center"/>
              <w:rPr>
                <w:szCs w:val="17"/>
              </w:rPr>
            </w:pPr>
          </w:p>
        </w:tc>
        <w:tc>
          <w:tcPr>
            <w:tcW w:w="992" w:type="dxa"/>
            <w:noWrap/>
            <w:hideMark/>
          </w:tcPr>
          <w:p w:rsidR="005C1E1D" w:rsidRPr="005C1E1D" w:rsidRDefault="005C1E1D" w:rsidP="005C1E1D">
            <w:pPr>
              <w:spacing w:after="0"/>
              <w:jc w:val="center"/>
              <w:rPr>
                <w:szCs w:val="17"/>
              </w:rPr>
            </w:pP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Overhead scanning (using Pres Services equipment) - single scans, not consecutive, up to 3</w:t>
            </w:r>
          </w:p>
        </w:tc>
        <w:tc>
          <w:tcPr>
            <w:tcW w:w="1276" w:type="dxa"/>
            <w:noWrap/>
            <w:hideMark/>
          </w:tcPr>
          <w:p w:rsidR="005C1E1D" w:rsidRPr="005C1E1D" w:rsidRDefault="005C1E1D" w:rsidP="005C1E1D">
            <w:pPr>
              <w:spacing w:after="0"/>
              <w:jc w:val="center"/>
              <w:rPr>
                <w:szCs w:val="17"/>
              </w:rPr>
            </w:pPr>
            <w:r w:rsidRPr="005C1E1D">
              <w:rPr>
                <w:szCs w:val="17"/>
              </w:rPr>
              <w:t>-</w:t>
            </w:r>
          </w:p>
        </w:tc>
        <w:tc>
          <w:tcPr>
            <w:tcW w:w="1276" w:type="dxa"/>
            <w:noWrap/>
            <w:hideMark/>
          </w:tcPr>
          <w:p w:rsidR="005C1E1D" w:rsidRPr="005C1E1D" w:rsidRDefault="005C1E1D" w:rsidP="005C1E1D">
            <w:pPr>
              <w:spacing w:after="0"/>
              <w:jc w:val="center"/>
              <w:rPr>
                <w:szCs w:val="17"/>
              </w:rPr>
            </w:pPr>
            <w:r w:rsidRPr="005C1E1D">
              <w:rPr>
                <w:szCs w:val="17"/>
              </w:rPr>
              <w:t>$10.00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 xml:space="preserve">Overhead scanning (using Pres Services equipment) - consecutive pages, </w:t>
            </w:r>
            <w:r w:rsidRPr="005C1E1D">
              <w:rPr>
                <w:szCs w:val="17"/>
              </w:rPr>
              <w:br/>
              <w:t>up to 25</w:t>
            </w:r>
          </w:p>
        </w:tc>
        <w:tc>
          <w:tcPr>
            <w:tcW w:w="1276" w:type="dxa"/>
            <w:noWrap/>
            <w:hideMark/>
          </w:tcPr>
          <w:p w:rsidR="005C1E1D" w:rsidRPr="005C1E1D" w:rsidRDefault="005C1E1D" w:rsidP="005C1E1D">
            <w:pPr>
              <w:spacing w:after="0"/>
              <w:jc w:val="center"/>
              <w:rPr>
                <w:szCs w:val="17"/>
              </w:rPr>
            </w:pPr>
            <w:r w:rsidRPr="005C1E1D">
              <w:rPr>
                <w:szCs w:val="17"/>
              </w:rPr>
              <w:t>-</w:t>
            </w:r>
          </w:p>
        </w:tc>
        <w:tc>
          <w:tcPr>
            <w:tcW w:w="1276" w:type="dxa"/>
            <w:noWrap/>
            <w:hideMark/>
          </w:tcPr>
          <w:p w:rsidR="005C1E1D" w:rsidRPr="005C1E1D" w:rsidRDefault="005C1E1D" w:rsidP="005C1E1D">
            <w:pPr>
              <w:spacing w:after="0"/>
              <w:jc w:val="center"/>
              <w:rPr>
                <w:szCs w:val="17"/>
              </w:rPr>
            </w:pPr>
            <w:r w:rsidRPr="005C1E1D">
              <w:rPr>
                <w:szCs w:val="17"/>
              </w:rPr>
              <w:t>$40.00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 xml:space="preserve">Overhead scanning (using Pres Services equipment) - each additional </w:t>
            </w:r>
            <w:r w:rsidRPr="005C1E1D">
              <w:rPr>
                <w:szCs w:val="17"/>
              </w:rPr>
              <w:br/>
              <w:t>consecutive page</w:t>
            </w:r>
          </w:p>
        </w:tc>
        <w:tc>
          <w:tcPr>
            <w:tcW w:w="1276" w:type="dxa"/>
            <w:noWrap/>
            <w:hideMark/>
          </w:tcPr>
          <w:p w:rsidR="005C1E1D" w:rsidRPr="005C1E1D" w:rsidRDefault="005C1E1D" w:rsidP="005C1E1D">
            <w:pPr>
              <w:spacing w:after="0"/>
              <w:jc w:val="center"/>
              <w:rPr>
                <w:szCs w:val="17"/>
              </w:rPr>
            </w:pPr>
            <w:r w:rsidRPr="005C1E1D">
              <w:rPr>
                <w:szCs w:val="17"/>
              </w:rPr>
              <w:t>-</w:t>
            </w:r>
          </w:p>
        </w:tc>
        <w:tc>
          <w:tcPr>
            <w:tcW w:w="1276" w:type="dxa"/>
            <w:noWrap/>
            <w:hideMark/>
          </w:tcPr>
          <w:p w:rsidR="005C1E1D" w:rsidRPr="005C1E1D" w:rsidRDefault="005C1E1D" w:rsidP="005C1E1D">
            <w:pPr>
              <w:spacing w:after="0"/>
              <w:jc w:val="center"/>
              <w:rPr>
                <w:szCs w:val="17"/>
              </w:rPr>
            </w:pPr>
            <w:r w:rsidRPr="005C1E1D">
              <w:rPr>
                <w:szCs w:val="17"/>
              </w:rPr>
              <w:t>$0.50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before="120" w:after="0"/>
              <w:jc w:val="left"/>
              <w:rPr>
                <w:i/>
                <w:szCs w:val="17"/>
              </w:rPr>
            </w:pPr>
            <w:r w:rsidRPr="005C1E1D">
              <w:rPr>
                <w:i/>
                <w:szCs w:val="17"/>
              </w:rPr>
              <w:t>Flatbed Scanner</w:t>
            </w:r>
          </w:p>
        </w:tc>
        <w:tc>
          <w:tcPr>
            <w:tcW w:w="1276" w:type="dxa"/>
            <w:noWrap/>
            <w:hideMark/>
          </w:tcPr>
          <w:p w:rsidR="005C1E1D" w:rsidRPr="005C1E1D" w:rsidRDefault="005C1E1D" w:rsidP="005C1E1D">
            <w:pPr>
              <w:spacing w:after="0"/>
              <w:jc w:val="center"/>
              <w:rPr>
                <w:szCs w:val="17"/>
              </w:rPr>
            </w:pPr>
          </w:p>
        </w:tc>
        <w:tc>
          <w:tcPr>
            <w:tcW w:w="1276" w:type="dxa"/>
            <w:noWrap/>
            <w:hideMark/>
          </w:tcPr>
          <w:p w:rsidR="005C1E1D" w:rsidRPr="005C1E1D" w:rsidRDefault="005C1E1D" w:rsidP="005C1E1D">
            <w:pPr>
              <w:spacing w:after="0"/>
              <w:jc w:val="center"/>
              <w:rPr>
                <w:szCs w:val="17"/>
              </w:rPr>
            </w:pPr>
          </w:p>
        </w:tc>
        <w:tc>
          <w:tcPr>
            <w:tcW w:w="992" w:type="dxa"/>
            <w:noWrap/>
            <w:hideMark/>
          </w:tcPr>
          <w:p w:rsidR="005C1E1D" w:rsidRPr="005C1E1D" w:rsidRDefault="005C1E1D" w:rsidP="005C1E1D">
            <w:pPr>
              <w:spacing w:after="0"/>
              <w:jc w:val="center"/>
              <w:rPr>
                <w:szCs w:val="17"/>
              </w:rPr>
            </w:pP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 xml:space="preserve">Low-res scanning of undigitised unpublished material to PDF - single scans, </w:t>
            </w:r>
            <w:r w:rsidRPr="005C1E1D">
              <w:rPr>
                <w:szCs w:val="17"/>
              </w:rPr>
              <w:br/>
              <w:t>not consecutive, up to 3</w:t>
            </w:r>
          </w:p>
        </w:tc>
        <w:tc>
          <w:tcPr>
            <w:tcW w:w="1276" w:type="dxa"/>
            <w:noWrap/>
            <w:hideMark/>
          </w:tcPr>
          <w:p w:rsidR="005C1E1D" w:rsidRPr="005C1E1D" w:rsidRDefault="005C1E1D" w:rsidP="005C1E1D">
            <w:pPr>
              <w:spacing w:after="0"/>
              <w:jc w:val="center"/>
              <w:rPr>
                <w:szCs w:val="17"/>
              </w:rPr>
            </w:pPr>
            <w:r w:rsidRPr="005C1E1D">
              <w:rPr>
                <w:szCs w:val="17"/>
              </w:rPr>
              <w:t>-</w:t>
            </w:r>
          </w:p>
        </w:tc>
        <w:tc>
          <w:tcPr>
            <w:tcW w:w="1276" w:type="dxa"/>
            <w:noWrap/>
            <w:hideMark/>
          </w:tcPr>
          <w:p w:rsidR="005C1E1D" w:rsidRPr="005C1E1D" w:rsidRDefault="005C1E1D" w:rsidP="005C1E1D">
            <w:pPr>
              <w:spacing w:after="0"/>
              <w:jc w:val="center"/>
              <w:rPr>
                <w:szCs w:val="17"/>
              </w:rPr>
            </w:pPr>
            <w:r w:rsidRPr="005C1E1D">
              <w:rPr>
                <w:szCs w:val="17"/>
              </w:rPr>
              <w:t>$10.00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Low-res scanning of undigitised unpublished material to PDF - consecutive pages, up to 25</w:t>
            </w:r>
          </w:p>
        </w:tc>
        <w:tc>
          <w:tcPr>
            <w:tcW w:w="1276" w:type="dxa"/>
            <w:noWrap/>
            <w:hideMark/>
          </w:tcPr>
          <w:p w:rsidR="005C1E1D" w:rsidRPr="005C1E1D" w:rsidRDefault="005C1E1D" w:rsidP="005C1E1D">
            <w:pPr>
              <w:spacing w:after="0"/>
              <w:jc w:val="center"/>
              <w:rPr>
                <w:szCs w:val="17"/>
              </w:rPr>
            </w:pPr>
            <w:r w:rsidRPr="005C1E1D">
              <w:rPr>
                <w:szCs w:val="17"/>
              </w:rPr>
              <w:t>-</w:t>
            </w:r>
          </w:p>
        </w:tc>
        <w:tc>
          <w:tcPr>
            <w:tcW w:w="1276" w:type="dxa"/>
            <w:noWrap/>
            <w:hideMark/>
          </w:tcPr>
          <w:p w:rsidR="005C1E1D" w:rsidRPr="005C1E1D" w:rsidRDefault="005C1E1D" w:rsidP="005C1E1D">
            <w:pPr>
              <w:spacing w:after="0"/>
              <w:jc w:val="center"/>
              <w:rPr>
                <w:szCs w:val="17"/>
              </w:rPr>
            </w:pPr>
            <w:r w:rsidRPr="005C1E1D">
              <w:rPr>
                <w:szCs w:val="17"/>
              </w:rPr>
              <w:t>$40.00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Low-res scanning of undigitised unpublished material to PDF - each additional consecutive page</w:t>
            </w:r>
          </w:p>
        </w:tc>
        <w:tc>
          <w:tcPr>
            <w:tcW w:w="1276" w:type="dxa"/>
            <w:noWrap/>
            <w:hideMark/>
          </w:tcPr>
          <w:p w:rsidR="005C1E1D" w:rsidRPr="005C1E1D" w:rsidRDefault="005C1E1D" w:rsidP="005C1E1D">
            <w:pPr>
              <w:spacing w:after="0"/>
              <w:jc w:val="center"/>
              <w:rPr>
                <w:szCs w:val="17"/>
              </w:rPr>
            </w:pPr>
            <w:r w:rsidRPr="005C1E1D">
              <w:rPr>
                <w:szCs w:val="17"/>
              </w:rPr>
              <w:t>-</w:t>
            </w:r>
          </w:p>
        </w:tc>
        <w:tc>
          <w:tcPr>
            <w:tcW w:w="1276" w:type="dxa"/>
            <w:noWrap/>
            <w:hideMark/>
          </w:tcPr>
          <w:p w:rsidR="005C1E1D" w:rsidRPr="005C1E1D" w:rsidRDefault="005C1E1D" w:rsidP="005C1E1D">
            <w:pPr>
              <w:spacing w:after="0"/>
              <w:jc w:val="center"/>
              <w:rPr>
                <w:szCs w:val="17"/>
              </w:rPr>
            </w:pPr>
            <w:r w:rsidRPr="005C1E1D">
              <w:rPr>
                <w:szCs w:val="17"/>
              </w:rPr>
              <w:t>$0.50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Download to USB</w:t>
            </w:r>
          </w:p>
        </w:tc>
        <w:tc>
          <w:tcPr>
            <w:tcW w:w="1276" w:type="dxa"/>
            <w:noWrap/>
            <w:hideMark/>
          </w:tcPr>
          <w:p w:rsidR="005C1E1D" w:rsidRPr="005C1E1D" w:rsidRDefault="005C1E1D" w:rsidP="005C1E1D">
            <w:pPr>
              <w:spacing w:after="0"/>
              <w:jc w:val="center"/>
              <w:rPr>
                <w:szCs w:val="17"/>
              </w:rPr>
            </w:pPr>
            <w:r w:rsidRPr="005C1E1D">
              <w:rPr>
                <w:szCs w:val="17"/>
              </w:rPr>
              <w:t>-</w:t>
            </w:r>
          </w:p>
        </w:tc>
        <w:tc>
          <w:tcPr>
            <w:tcW w:w="1276" w:type="dxa"/>
            <w:noWrap/>
            <w:hideMark/>
          </w:tcPr>
          <w:p w:rsidR="005C1E1D" w:rsidRPr="005C1E1D" w:rsidRDefault="005C1E1D" w:rsidP="005C1E1D">
            <w:pPr>
              <w:spacing w:after="0"/>
              <w:jc w:val="center"/>
              <w:rPr>
                <w:szCs w:val="17"/>
              </w:rPr>
            </w:pPr>
            <w:r w:rsidRPr="005C1E1D">
              <w:rPr>
                <w:szCs w:val="17"/>
              </w:rPr>
              <w:t>$4.00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High-res TIFF files converted to PDF (access copies) - single files, up to 3</w:t>
            </w:r>
          </w:p>
        </w:tc>
        <w:tc>
          <w:tcPr>
            <w:tcW w:w="1276" w:type="dxa"/>
            <w:noWrap/>
            <w:hideMark/>
          </w:tcPr>
          <w:p w:rsidR="005C1E1D" w:rsidRPr="005C1E1D" w:rsidRDefault="005C1E1D" w:rsidP="005C1E1D">
            <w:pPr>
              <w:spacing w:after="0"/>
              <w:jc w:val="center"/>
              <w:rPr>
                <w:szCs w:val="17"/>
              </w:rPr>
            </w:pPr>
            <w:r w:rsidRPr="005C1E1D">
              <w:rPr>
                <w:szCs w:val="17"/>
              </w:rPr>
              <w:t>-</w:t>
            </w:r>
          </w:p>
        </w:tc>
        <w:tc>
          <w:tcPr>
            <w:tcW w:w="1276" w:type="dxa"/>
            <w:noWrap/>
            <w:hideMark/>
          </w:tcPr>
          <w:p w:rsidR="005C1E1D" w:rsidRPr="005C1E1D" w:rsidRDefault="005C1E1D" w:rsidP="005C1E1D">
            <w:pPr>
              <w:spacing w:after="0"/>
              <w:jc w:val="center"/>
              <w:rPr>
                <w:szCs w:val="17"/>
              </w:rPr>
            </w:pPr>
            <w:r w:rsidRPr="005C1E1D">
              <w:rPr>
                <w:szCs w:val="17"/>
              </w:rPr>
              <w:t>$10.00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High-res TIFF files converted to PDF (access copies) - consecutive pages,</w:t>
            </w:r>
            <w:r w:rsidRPr="005C1E1D">
              <w:rPr>
                <w:szCs w:val="17"/>
              </w:rPr>
              <w:br/>
              <w:t>up to 25</w:t>
            </w:r>
          </w:p>
        </w:tc>
        <w:tc>
          <w:tcPr>
            <w:tcW w:w="1276" w:type="dxa"/>
            <w:noWrap/>
            <w:hideMark/>
          </w:tcPr>
          <w:p w:rsidR="005C1E1D" w:rsidRPr="005C1E1D" w:rsidRDefault="005C1E1D" w:rsidP="005C1E1D">
            <w:pPr>
              <w:spacing w:after="0"/>
              <w:jc w:val="center"/>
              <w:rPr>
                <w:szCs w:val="17"/>
              </w:rPr>
            </w:pPr>
            <w:r w:rsidRPr="005C1E1D">
              <w:rPr>
                <w:szCs w:val="17"/>
              </w:rPr>
              <w:t>-</w:t>
            </w:r>
          </w:p>
        </w:tc>
        <w:tc>
          <w:tcPr>
            <w:tcW w:w="1276" w:type="dxa"/>
            <w:noWrap/>
            <w:hideMark/>
          </w:tcPr>
          <w:p w:rsidR="005C1E1D" w:rsidRPr="005C1E1D" w:rsidRDefault="005C1E1D" w:rsidP="005C1E1D">
            <w:pPr>
              <w:spacing w:after="0"/>
              <w:jc w:val="center"/>
              <w:rPr>
                <w:szCs w:val="17"/>
              </w:rPr>
            </w:pPr>
            <w:r w:rsidRPr="005C1E1D">
              <w:rPr>
                <w:szCs w:val="17"/>
              </w:rPr>
              <w:t>$40.00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High-res TIFF files converted to PDF (access copies) - each additional consecutive page</w:t>
            </w:r>
          </w:p>
        </w:tc>
        <w:tc>
          <w:tcPr>
            <w:tcW w:w="1276" w:type="dxa"/>
            <w:noWrap/>
            <w:hideMark/>
          </w:tcPr>
          <w:p w:rsidR="005C1E1D" w:rsidRPr="005C1E1D" w:rsidRDefault="005C1E1D" w:rsidP="005C1E1D">
            <w:pPr>
              <w:spacing w:after="0"/>
              <w:jc w:val="center"/>
              <w:rPr>
                <w:szCs w:val="17"/>
              </w:rPr>
            </w:pPr>
            <w:r w:rsidRPr="005C1E1D">
              <w:rPr>
                <w:szCs w:val="17"/>
              </w:rPr>
              <w:t>-</w:t>
            </w:r>
          </w:p>
        </w:tc>
        <w:tc>
          <w:tcPr>
            <w:tcW w:w="1276" w:type="dxa"/>
            <w:noWrap/>
            <w:hideMark/>
          </w:tcPr>
          <w:p w:rsidR="005C1E1D" w:rsidRPr="005C1E1D" w:rsidRDefault="005C1E1D" w:rsidP="005C1E1D">
            <w:pPr>
              <w:spacing w:after="0"/>
              <w:jc w:val="center"/>
              <w:rPr>
                <w:szCs w:val="17"/>
              </w:rPr>
            </w:pPr>
            <w:r w:rsidRPr="005C1E1D">
              <w:rPr>
                <w:szCs w:val="17"/>
              </w:rPr>
              <w:t>$0.50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before="240" w:after="0"/>
              <w:jc w:val="left"/>
              <w:rPr>
                <w:szCs w:val="17"/>
              </w:rPr>
            </w:pPr>
            <w:r w:rsidRPr="005C1E1D">
              <w:rPr>
                <w:szCs w:val="17"/>
              </w:rPr>
              <w:t>Copies onto all media</w:t>
            </w:r>
          </w:p>
        </w:tc>
        <w:tc>
          <w:tcPr>
            <w:tcW w:w="1276" w:type="dxa"/>
            <w:noWrap/>
            <w:hideMark/>
          </w:tcPr>
          <w:p w:rsidR="005C1E1D" w:rsidRPr="005C1E1D" w:rsidRDefault="005C1E1D" w:rsidP="005C1E1D">
            <w:pPr>
              <w:spacing w:before="240" w:after="0"/>
              <w:jc w:val="center"/>
              <w:rPr>
                <w:szCs w:val="17"/>
              </w:rPr>
            </w:pPr>
            <w:r w:rsidRPr="005C1E1D">
              <w:rPr>
                <w:szCs w:val="17"/>
              </w:rPr>
              <w:t>Various</w:t>
            </w:r>
          </w:p>
        </w:tc>
        <w:tc>
          <w:tcPr>
            <w:tcW w:w="1276" w:type="dxa"/>
            <w:noWrap/>
            <w:hideMark/>
          </w:tcPr>
          <w:p w:rsidR="005C1E1D" w:rsidRPr="005C1E1D" w:rsidRDefault="005C1E1D" w:rsidP="005C1E1D">
            <w:pPr>
              <w:spacing w:before="240" w:after="0"/>
              <w:jc w:val="center"/>
              <w:rPr>
                <w:szCs w:val="17"/>
              </w:rPr>
            </w:pPr>
            <w:r w:rsidRPr="005C1E1D">
              <w:rPr>
                <w:szCs w:val="17"/>
              </w:rPr>
              <w:t>POA</w:t>
            </w:r>
          </w:p>
        </w:tc>
        <w:tc>
          <w:tcPr>
            <w:tcW w:w="992" w:type="dxa"/>
            <w:noWrap/>
            <w:hideMark/>
          </w:tcPr>
          <w:p w:rsidR="005C1E1D" w:rsidRPr="005C1E1D" w:rsidRDefault="005C1E1D" w:rsidP="005C1E1D">
            <w:pPr>
              <w:spacing w:before="240"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Micrographic *</w:t>
            </w:r>
          </w:p>
        </w:tc>
        <w:tc>
          <w:tcPr>
            <w:tcW w:w="1276" w:type="dxa"/>
            <w:noWrap/>
            <w:hideMark/>
          </w:tcPr>
          <w:p w:rsidR="005C1E1D" w:rsidRPr="005C1E1D" w:rsidRDefault="005C1E1D" w:rsidP="005C1E1D">
            <w:pPr>
              <w:spacing w:after="0"/>
              <w:jc w:val="center"/>
              <w:rPr>
                <w:szCs w:val="17"/>
              </w:rPr>
            </w:pPr>
            <w:r w:rsidRPr="005C1E1D">
              <w:rPr>
                <w:szCs w:val="17"/>
              </w:rPr>
              <w:t>Various</w:t>
            </w:r>
          </w:p>
        </w:tc>
        <w:tc>
          <w:tcPr>
            <w:tcW w:w="1276" w:type="dxa"/>
            <w:noWrap/>
            <w:hideMark/>
          </w:tcPr>
          <w:p w:rsidR="005C1E1D" w:rsidRPr="005C1E1D" w:rsidRDefault="005C1E1D" w:rsidP="005C1E1D">
            <w:pPr>
              <w:spacing w:after="0"/>
              <w:jc w:val="center"/>
              <w:rPr>
                <w:szCs w:val="17"/>
              </w:rPr>
            </w:pPr>
            <w:r w:rsidRPr="005C1E1D">
              <w:rPr>
                <w:szCs w:val="17"/>
              </w:rPr>
              <w:t>POA</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Reformatting *</w:t>
            </w:r>
          </w:p>
        </w:tc>
        <w:tc>
          <w:tcPr>
            <w:tcW w:w="1276" w:type="dxa"/>
            <w:noWrap/>
            <w:hideMark/>
          </w:tcPr>
          <w:p w:rsidR="005C1E1D" w:rsidRPr="005C1E1D" w:rsidRDefault="005C1E1D" w:rsidP="005C1E1D">
            <w:pPr>
              <w:spacing w:after="0"/>
              <w:jc w:val="center"/>
              <w:rPr>
                <w:szCs w:val="17"/>
              </w:rPr>
            </w:pPr>
            <w:r w:rsidRPr="005C1E1D">
              <w:rPr>
                <w:szCs w:val="17"/>
              </w:rPr>
              <w:t>Various</w:t>
            </w:r>
          </w:p>
        </w:tc>
        <w:tc>
          <w:tcPr>
            <w:tcW w:w="1276" w:type="dxa"/>
            <w:noWrap/>
            <w:hideMark/>
          </w:tcPr>
          <w:p w:rsidR="005C1E1D" w:rsidRPr="005C1E1D" w:rsidRDefault="005C1E1D" w:rsidP="005C1E1D">
            <w:pPr>
              <w:spacing w:after="0"/>
              <w:jc w:val="center"/>
              <w:rPr>
                <w:szCs w:val="17"/>
              </w:rPr>
            </w:pPr>
            <w:r w:rsidRPr="005C1E1D">
              <w:rPr>
                <w:szCs w:val="17"/>
              </w:rPr>
              <w:t>POA</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Digital Imaging</w:t>
            </w:r>
          </w:p>
        </w:tc>
        <w:tc>
          <w:tcPr>
            <w:tcW w:w="1276" w:type="dxa"/>
            <w:noWrap/>
            <w:hideMark/>
          </w:tcPr>
          <w:p w:rsidR="005C1E1D" w:rsidRPr="005C1E1D" w:rsidRDefault="005C1E1D" w:rsidP="005C1E1D">
            <w:pPr>
              <w:spacing w:after="0"/>
              <w:jc w:val="center"/>
              <w:rPr>
                <w:szCs w:val="17"/>
              </w:rPr>
            </w:pPr>
            <w:r w:rsidRPr="005C1E1D">
              <w:rPr>
                <w:szCs w:val="17"/>
              </w:rPr>
              <w:t>Various</w:t>
            </w:r>
          </w:p>
        </w:tc>
        <w:tc>
          <w:tcPr>
            <w:tcW w:w="1276" w:type="dxa"/>
            <w:noWrap/>
            <w:hideMark/>
          </w:tcPr>
          <w:p w:rsidR="005C1E1D" w:rsidRPr="005C1E1D" w:rsidRDefault="005C1E1D" w:rsidP="005C1E1D">
            <w:pPr>
              <w:spacing w:after="0"/>
              <w:jc w:val="center"/>
              <w:rPr>
                <w:szCs w:val="17"/>
              </w:rPr>
            </w:pPr>
            <w:r w:rsidRPr="005C1E1D">
              <w:rPr>
                <w:szCs w:val="17"/>
              </w:rPr>
              <w:t>POA</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Large Format Scans</w:t>
            </w:r>
          </w:p>
        </w:tc>
        <w:tc>
          <w:tcPr>
            <w:tcW w:w="1276" w:type="dxa"/>
            <w:noWrap/>
            <w:hideMark/>
          </w:tcPr>
          <w:p w:rsidR="005C1E1D" w:rsidRPr="005C1E1D" w:rsidRDefault="005C1E1D" w:rsidP="005C1E1D">
            <w:pPr>
              <w:spacing w:after="0"/>
              <w:jc w:val="center"/>
              <w:rPr>
                <w:szCs w:val="17"/>
              </w:rPr>
            </w:pPr>
            <w:r w:rsidRPr="005C1E1D">
              <w:rPr>
                <w:szCs w:val="17"/>
              </w:rPr>
              <w:t>Various</w:t>
            </w:r>
          </w:p>
        </w:tc>
        <w:tc>
          <w:tcPr>
            <w:tcW w:w="1276" w:type="dxa"/>
            <w:noWrap/>
            <w:hideMark/>
          </w:tcPr>
          <w:p w:rsidR="005C1E1D" w:rsidRPr="005C1E1D" w:rsidRDefault="005C1E1D" w:rsidP="005C1E1D">
            <w:pPr>
              <w:spacing w:after="0"/>
              <w:jc w:val="center"/>
              <w:rPr>
                <w:szCs w:val="17"/>
              </w:rPr>
            </w:pPr>
            <w:r w:rsidRPr="005C1E1D">
              <w:rPr>
                <w:szCs w:val="17"/>
              </w:rPr>
              <w:t>POA</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PhotoTex Prints</w:t>
            </w:r>
          </w:p>
        </w:tc>
        <w:tc>
          <w:tcPr>
            <w:tcW w:w="1276" w:type="dxa"/>
            <w:noWrap/>
            <w:hideMark/>
          </w:tcPr>
          <w:p w:rsidR="005C1E1D" w:rsidRPr="005C1E1D" w:rsidRDefault="005C1E1D" w:rsidP="005C1E1D">
            <w:pPr>
              <w:spacing w:after="0"/>
              <w:jc w:val="center"/>
              <w:rPr>
                <w:szCs w:val="17"/>
              </w:rPr>
            </w:pPr>
            <w:r w:rsidRPr="005C1E1D">
              <w:rPr>
                <w:szCs w:val="17"/>
              </w:rPr>
              <w:t>Various</w:t>
            </w:r>
          </w:p>
        </w:tc>
        <w:tc>
          <w:tcPr>
            <w:tcW w:w="1276" w:type="dxa"/>
            <w:noWrap/>
            <w:hideMark/>
          </w:tcPr>
          <w:p w:rsidR="005C1E1D" w:rsidRPr="005C1E1D" w:rsidRDefault="005C1E1D" w:rsidP="005C1E1D">
            <w:pPr>
              <w:spacing w:after="0"/>
              <w:jc w:val="center"/>
              <w:rPr>
                <w:szCs w:val="17"/>
              </w:rPr>
            </w:pPr>
            <w:r w:rsidRPr="005C1E1D">
              <w:rPr>
                <w:szCs w:val="17"/>
              </w:rPr>
              <w:t>POA</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before="240" w:after="0"/>
              <w:jc w:val="left"/>
              <w:rPr>
                <w:szCs w:val="17"/>
              </w:rPr>
            </w:pPr>
            <w:r w:rsidRPr="005C1E1D">
              <w:rPr>
                <w:szCs w:val="17"/>
              </w:rPr>
              <w:t>Facilities Hire *</w:t>
            </w:r>
          </w:p>
        </w:tc>
        <w:tc>
          <w:tcPr>
            <w:tcW w:w="1276" w:type="dxa"/>
            <w:noWrap/>
            <w:hideMark/>
          </w:tcPr>
          <w:p w:rsidR="005C1E1D" w:rsidRPr="005C1E1D" w:rsidRDefault="005C1E1D" w:rsidP="005C1E1D">
            <w:pPr>
              <w:spacing w:before="240" w:after="0"/>
              <w:jc w:val="center"/>
              <w:rPr>
                <w:szCs w:val="17"/>
              </w:rPr>
            </w:pPr>
            <w:r w:rsidRPr="005C1E1D">
              <w:rPr>
                <w:szCs w:val="17"/>
              </w:rPr>
              <w:t>POA</w:t>
            </w:r>
          </w:p>
        </w:tc>
        <w:tc>
          <w:tcPr>
            <w:tcW w:w="1276" w:type="dxa"/>
            <w:noWrap/>
            <w:hideMark/>
          </w:tcPr>
          <w:p w:rsidR="005C1E1D" w:rsidRPr="005C1E1D" w:rsidRDefault="005C1E1D" w:rsidP="005C1E1D">
            <w:pPr>
              <w:spacing w:before="240" w:after="0"/>
              <w:jc w:val="center"/>
              <w:rPr>
                <w:szCs w:val="17"/>
              </w:rPr>
            </w:pPr>
            <w:r w:rsidRPr="005C1E1D">
              <w:rPr>
                <w:szCs w:val="17"/>
              </w:rPr>
              <w:t>POA</w:t>
            </w:r>
          </w:p>
        </w:tc>
        <w:tc>
          <w:tcPr>
            <w:tcW w:w="992" w:type="dxa"/>
            <w:noWrap/>
            <w:hideMark/>
          </w:tcPr>
          <w:p w:rsidR="005C1E1D" w:rsidRPr="005C1E1D" w:rsidRDefault="005C1E1D" w:rsidP="005C1E1D">
            <w:pPr>
              <w:spacing w:before="240"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Tours</w:t>
            </w:r>
          </w:p>
        </w:tc>
        <w:tc>
          <w:tcPr>
            <w:tcW w:w="1276" w:type="dxa"/>
            <w:noWrap/>
            <w:hideMark/>
          </w:tcPr>
          <w:p w:rsidR="005C1E1D" w:rsidRPr="005C1E1D" w:rsidRDefault="005C1E1D" w:rsidP="005C1E1D">
            <w:pPr>
              <w:spacing w:after="0"/>
              <w:jc w:val="center"/>
              <w:rPr>
                <w:szCs w:val="17"/>
              </w:rPr>
            </w:pPr>
            <w:r w:rsidRPr="005C1E1D">
              <w:rPr>
                <w:szCs w:val="17"/>
              </w:rPr>
              <w:t>POA</w:t>
            </w:r>
          </w:p>
        </w:tc>
        <w:tc>
          <w:tcPr>
            <w:tcW w:w="1276" w:type="dxa"/>
            <w:noWrap/>
            <w:hideMark/>
          </w:tcPr>
          <w:p w:rsidR="005C1E1D" w:rsidRPr="005C1E1D" w:rsidRDefault="005C1E1D" w:rsidP="005C1E1D">
            <w:pPr>
              <w:spacing w:after="0"/>
              <w:jc w:val="center"/>
              <w:rPr>
                <w:szCs w:val="17"/>
              </w:rPr>
            </w:pPr>
            <w:r w:rsidRPr="005C1E1D">
              <w:rPr>
                <w:szCs w:val="17"/>
              </w:rPr>
              <w:t>POA</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External Exhibition Loans</w:t>
            </w:r>
          </w:p>
        </w:tc>
        <w:tc>
          <w:tcPr>
            <w:tcW w:w="1276" w:type="dxa"/>
            <w:noWrap/>
            <w:hideMark/>
          </w:tcPr>
          <w:p w:rsidR="005C1E1D" w:rsidRPr="005C1E1D" w:rsidRDefault="005C1E1D" w:rsidP="005C1E1D">
            <w:pPr>
              <w:spacing w:after="0"/>
              <w:jc w:val="center"/>
              <w:rPr>
                <w:szCs w:val="17"/>
              </w:rPr>
            </w:pPr>
            <w:r w:rsidRPr="005C1E1D">
              <w:rPr>
                <w:szCs w:val="17"/>
              </w:rPr>
              <w:t>POA</w:t>
            </w:r>
          </w:p>
        </w:tc>
        <w:tc>
          <w:tcPr>
            <w:tcW w:w="1276" w:type="dxa"/>
            <w:noWrap/>
            <w:hideMark/>
          </w:tcPr>
          <w:p w:rsidR="005C1E1D" w:rsidRPr="005C1E1D" w:rsidRDefault="005C1E1D" w:rsidP="005C1E1D">
            <w:pPr>
              <w:spacing w:after="0"/>
              <w:jc w:val="center"/>
              <w:rPr>
                <w:szCs w:val="17"/>
              </w:rPr>
            </w:pPr>
            <w:r w:rsidRPr="005C1E1D">
              <w:rPr>
                <w:szCs w:val="17"/>
              </w:rPr>
              <w:t>POA</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before="120" w:after="0"/>
              <w:jc w:val="left"/>
              <w:rPr>
                <w:i/>
                <w:szCs w:val="17"/>
              </w:rPr>
            </w:pPr>
            <w:r w:rsidRPr="005C1E1D">
              <w:rPr>
                <w:i/>
                <w:szCs w:val="17"/>
              </w:rPr>
              <w:t>Seminars</w:t>
            </w:r>
          </w:p>
        </w:tc>
        <w:tc>
          <w:tcPr>
            <w:tcW w:w="1276" w:type="dxa"/>
            <w:noWrap/>
            <w:hideMark/>
          </w:tcPr>
          <w:p w:rsidR="005C1E1D" w:rsidRPr="005C1E1D" w:rsidRDefault="005C1E1D" w:rsidP="005C1E1D">
            <w:pPr>
              <w:spacing w:after="0"/>
              <w:jc w:val="center"/>
              <w:rPr>
                <w:szCs w:val="17"/>
              </w:rPr>
            </w:pPr>
          </w:p>
        </w:tc>
        <w:tc>
          <w:tcPr>
            <w:tcW w:w="1276" w:type="dxa"/>
            <w:noWrap/>
            <w:hideMark/>
          </w:tcPr>
          <w:p w:rsidR="005C1E1D" w:rsidRPr="005C1E1D" w:rsidRDefault="005C1E1D" w:rsidP="005C1E1D">
            <w:pPr>
              <w:spacing w:after="0"/>
              <w:jc w:val="center"/>
              <w:rPr>
                <w:szCs w:val="17"/>
              </w:rPr>
            </w:pPr>
          </w:p>
        </w:tc>
        <w:tc>
          <w:tcPr>
            <w:tcW w:w="992" w:type="dxa"/>
            <w:noWrap/>
            <w:hideMark/>
          </w:tcPr>
          <w:p w:rsidR="005C1E1D" w:rsidRPr="005C1E1D" w:rsidRDefault="005C1E1D" w:rsidP="005C1E1D">
            <w:pPr>
              <w:spacing w:after="0"/>
              <w:jc w:val="center"/>
              <w:rPr>
                <w:szCs w:val="17"/>
              </w:rPr>
            </w:pP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Hosted by SLSA</w:t>
            </w:r>
          </w:p>
        </w:tc>
        <w:tc>
          <w:tcPr>
            <w:tcW w:w="1276" w:type="dxa"/>
            <w:noWrap/>
            <w:hideMark/>
          </w:tcPr>
          <w:p w:rsidR="005C1E1D" w:rsidRPr="005C1E1D" w:rsidRDefault="005C1E1D" w:rsidP="005C1E1D">
            <w:pPr>
              <w:spacing w:after="0"/>
              <w:jc w:val="center"/>
              <w:rPr>
                <w:szCs w:val="17"/>
              </w:rPr>
            </w:pPr>
            <w:r w:rsidRPr="005C1E1D">
              <w:rPr>
                <w:szCs w:val="17"/>
              </w:rPr>
              <w:t>POA</w:t>
            </w:r>
          </w:p>
        </w:tc>
        <w:tc>
          <w:tcPr>
            <w:tcW w:w="1276" w:type="dxa"/>
            <w:noWrap/>
            <w:hideMark/>
          </w:tcPr>
          <w:p w:rsidR="005C1E1D" w:rsidRPr="005C1E1D" w:rsidRDefault="005C1E1D" w:rsidP="005C1E1D">
            <w:pPr>
              <w:spacing w:after="0"/>
              <w:jc w:val="center"/>
              <w:rPr>
                <w:szCs w:val="17"/>
              </w:rPr>
            </w:pPr>
            <w:r w:rsidRPr="005C1E1D">
              <w:rPr>
                <w:szCs w:val="17"/>
              </w:rPr>
              <w:t xml:space="preserve"> -</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Hosted by PLS</w:t>
            </w:r>
          </w:p>
        </w:tc>
        <w:tc>
          <w:tcPr>
            <w:tcW w:w="1276" w:type="dxa"/>
            <w:noWrap/>
            <w:hideMark/>
          </w:tcPr>
          <w:p w:rsidR="005C1E1D" w:rsidRPr="005C1E1D" w:rsidRDefault="005C1E1D" w:rsidP="005C1E1D">
            <w:pPr>
              <w:spacing w:after="0"/>
              <w:jc w:val="center"/>
              <w:rPr>
                <w:szCs w:val="17"/>
              </w:rPr>
            </w:pPr>
            <w:r w:rsidRPr="005C1E1D">
              <w:rPr>
                <w:szCs w:val="17"/>
              </w:rPr>
              <w:t>POA</w:t>
            </w:r>
          </w:p>
        </w:tc>
        <w:tc>
          <w:tcPr>
            <w:tcW w:w="1276" w:type="dxa"/>
            <w:noWrap/>
            <w:hideMark/>
          </w:tcPr>
          <w:p w:rsidR="005C1E1D" w:rsidRPr="005C1E1D" w:rsidRDefault="005C1E1D" w:rsidP="005C1E1D">
            <w:pPr>
              <w:spacing w:after="0"/>
              <w:jc w:val="center"/>
              <w:rPr>
                <w:szCs w:val="17"/>
              </w:rPr>
            </w:pPr>
            <w:r w:rsidRPr="005C1E1D">
              <w:rPr>
                <w:szCs w:val="17"/>
              </w:rPr>
              <w:t xml:space="preserve"> -</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Other Seminars, short courses and training sessions</w:t>
            </w:r>
          </w:p>
        </w:tc>
        <w:tc>
          <w:tcPr>
            <w:tcW w:w="1276" w:type="dxa"/>
            <w:noWrap/>
            <w:hideMark/>
          </w:tcPr>
          <w:p w:rsidR="005C1E1D" w:rsidRPr="005C1E1D" w:rsidRDefault="005C1E1D" w:rsidP="005C1E1D">
            <w:pPr>
              <w:spacing w:after="0"/>
              <w:jc w:val="center"/>
              <w:rPr>
                <w:szCs w:val="17"/>
              </w:rPr>
            </w:pPr>
            <w:r w:rsidRPr="005C1E1D">
              <w:rPr>
                <w:szCs w:val="17"/>
              </w:rPr>
              <w:t>POA</w:t>
            </w:r>
          </w:p>
        </w:tc>
        <w:tc>
          <w:tcPr>
            <w:tcW w:w="1276" w:type="dxa"/>
            <w:noWrap/>
            <w:hideMark/>
          </w:tcPr>
          <w:p w:rsidR="005C1E1D" w:rsidRPr="005C1E1D" w:rsidRDefault="005C1E1D" w:rsidP="005C1E1D">
            <w:pPr>
              <w:spacing w:after="0"/>
              <w:jc w:val="center"/>
              <w:rPr>
                <w:szCs w:val="17"/>
              </w:rPr>
            </w:pPr>
            <w:r w:rsidRPr="005C1E1D">
              <w:rPr>
                <w:szCs w:val="17"/>
              </w:rPr>
              <w:t>POA</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D1067C">
        <w:trPr>
          <w:trHeight w:val="517"/>
        </w:trPr>
        <w:tc>
          <w:tcPr>
            <w:tcW w:w="5812" w:type="dxa"/>
            <w:noWrap/>
            <w:vAlign w:val="center"/>
            <w:hideMark/>
          </w:tcPr>
          <w:p w:rsidR="005C1E1D" w:rsidRPr="005C1E1D" w:rsidRDefault="005C1E1D" w:rsidP="00D1067C">
            <w:pPr>
              <w:spacing w:before="120" w:after="120"/>
              <w:jc w:val="left"/>
              <w:rPr>
                <w:szCs w:val="17"/>
              </w:rPr>
            </w:pPr>
            <w:r w:rsidRPr="005C1E1D">
              <w:rPr>
                <w:szCs w:val="17"/>
              </w:rPr>
              <w:t>Consultancies *</w:t>
            </w:r>
          </w:p>
        </w:tc>
        <w:tc>
          <w:tcPr>
            <w:tcW w:w="1276" w:type="dxa"/>
            <w:noWrap/>
            <w:vAlign w:val="center"/>
            <w:hideMark/>
          </w:tcPr>
          <w:p w:rsidR="005C1E1D" w:rsidRPr="005C1E1D" w:rsidRDefault="005C1E1D" w:rsidP="00D1067C">
            <w:pPr>
              <w:spacing w:before="120" w:after="120"/>
              <w:jc w:val="center"/>
              <w:rPr>
                <w:szCs w:val="17"/>
              </w:rPr>
            </w:pPr>
            <w:r w:rsidRPr="005C1E1D">
              <w:rPr>
                <w:szCs w:val="17"/>
              </w:rPr>
              <w:t>POA</w:t>
            </w:r>
          </w:p>
        </w:tc>
        <w:tc>
          <w:tcPr>
            <w:tcW w:w="1276" w:type="dxa"/>
            <w:noWrap/>
            <w:vAlign w:val="center"/>
            <w:hideMark/>
          </w:tcPr>
          <w:p w:rsidR="005C1E1D" w:rsidRPr="005C1E1D" w:rsidRDefault="005C1E1D" w:rsidP="00D1067C">
            <w:pPr>
              <w:spacing w:before="120" w:after="120"/>
              <w:jc w:val="center"/>
              <w:rPr>
                <w:szCs w:val="17"/>
              </w:rPr>
            </w:pPr>
            <w:r w:rsidRPr="005C1E1D">
              <w:rPr>
                <w:szCs w:val="17"/>
              </w:rPr>
              <w:t>POA</w:t>
            </w:r>
          </w:p>
        </w:tc>
        <w:tc>
          <w:tcPr>
            <w:tcW w:w="992" w:type="dxa"/>
            <w:noWrap/>
            <w:vAlign w:val="center"/>
            <w:hideMark/>
          </w:tcPr>
          <w:p w:rsidR="005C1E1D" w:rsidRPr="005C1E1D" w:rsidRDefault="005C1E1D" w:rsidP="00D1067C">
            <w:pPr>
              <w:spacing w:before="120" w:after="120"/>
              <w:jc w:val="center"/>
              <w:rPr>
                <w:szCs w:val="17"/>
              </w:rPr>
            </w:pPr>
            <w:r w:rsidRPr="005C1E1D">
              <w:rPr>
                <w:szCs w:val="17"/>
              </w:rPr>
              <w:t>1/7/20</w:t>
            </w:r>
          </w:p>
        </w:tc>
      </w:tr>
      <w:tr w:rsidR="005C1E1D" w:rsidRPr="005C1E1D" w:rsidTr="005C1E1D">
        <w:trPr>
          <w:trHeight w:val="20"/>
        </w:trPr>
        <w:tc>
          <w:tcPr>
            <w:tcW w:w="5812" w:type="dxa"/>
            <w:noWrap/>
            <w:hideMark/>
          </w:tcPr>
          <w:p w:rsidR="005C1E1D" w:rsidRPr="008C3672" w:rsidRDefault="005C1E1D" w:rsidP="005C1E1D">
            <w:pPr>
              <w:spacing w:after="0"/>
              <w:jc w:val="left"/>
              <w:rPr>
                <w:b/>
                <w:szCs w:val="17"/>
              </w:rPr>
            </w:pPr>
            <w:r w:rsidRPr="008C3672">
              <w:rPr>
                <w:b/>
                <w:szCs w:val="17"/>
              </w:rPr>
              <w:t>Document Delivery from State Library Collections (for Public)</w:t>
            </w:r>
          </w:p>
        </w:tc>
        <w:tc>
          <w:tcPr>
            <w:tcW w:w="1276" w:type="dxa"/>
            <w:noWrap/>
            <w:hideMark/>
          </w:tcPr>
          <w:p w:rsidR="005C1E1D" w:rsidRPr="005C1E1D" w:rsidRDefault="005C1E1D" w:rsidP="005C1E1D">
            <w:pPr>
              <w:spacing w:after="0"/>
              <w:jc w:val="center"/>
              <w:rPr>
                <w:szCs w:val="17"/>
              </w:rPr>
            </w:pPr>
          </w:p>
        </w:tc>
        <w:tc>
          <w:tcPr>
            <w:tcW w:w="1276" w:type="dxa"/>
            <w:noWrap/>
            <w:hideMark/>
          </w:tcPr>
          <w:p w:rsidR="005C1E1D" w:rsidRPr="005C1E1D" w:rsidRDefault="005C1E1D" w:rsidP="005C1E1D">
            <w:pPr>
              <w:spacing w:after="0"/>
              <w:jc w:val="center"/>
              <w:rPr>
                <w:szCs w:val="17"/>
              </w:rPr>
            </w:pPr>
          </w:p>
        </w:tc>
        <w:tc>
          <w:tcPr>
            <w:tcW w:w="992" w:type="dxa"/>
            <w:noWrap/>
            <w:hideMark/>
          </w:tcPr>
          <w:p w:rsidR="005C1E1D" w:rsidRPr="005C1E1D" w:rsidRDefault="005C1E1D" w:rsidP="005C1E1D">
            <w:pPr>
              <w:spacing w:after="0"/>
              <w:jc w:val="center"/>
              <w:rPr>
                <w:szCs w:val="17"/>
              </w:rPr>
            </w:pP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 xml:space="preserve">Photocopying A4 </w:t>
            </w:r>
          </w:p>
        </w:tc>
        <w:tc>
          <w:tcPr>
            <w:tcW w:w="1276" w:type="dxa"/>
            <w:noWrap/>
            <w:hideMark/>
          </w:tcPr>
          <w:p w:rsidR="005C1E1D" w:rsidRPr="005C1E1D" w:rsidRDefault="005C1E1D" w:rsidP="005C1E1D">
            <w:pPr>
              <w:spacing w:after="0"/>
              <w:jc w:val="center"/>
              <w:rPr>
                <w:szCs w:val="17"/>
              </w:rPr>
            </w:pPr>
            <w:r w:rsidRPr="005C1E1D">
              <w:rPr>
                <w:szCs w:val="17"/>
              </w:rPr>
              <w:t>$0.30</w:t>
            </w:r>
          </w:p>
        </w:tc>
        <w:tc>
          <w:tcPr>
            <w:tcW w:w="1276" w:type="dxa"/>
            <w:noWrap/>
            <w:hideMark/>
          </w:tcPr>
          <w:p w:rsidR="005C1E1D" w:rsidRPr="005C1E1D" w:rsidRDefault="005C1E1D" w:rsidP="005C1E1D">
            <w:pPr>
              <w:spacing w:after="0"/>
              <w:jc w:val="center"/>
              <w:rPr>
                <w:szCs w:val="17"/>
              </w:rPr>
            </w:pPr>
            <w:r w:rsidRPr="005C1E1D">
              <w:rPr>
                <w:szCs w:val="17"/>
              </w:rPr>
              <w:t>$0.30</w:t>
            </w:r>
          </w:p>
        </w:tc>
        <w:tc>
          <w:tcPr>
            <w:tcW w:w="992" w:type="dxa"/>
            <w:noWrap/>
            <w:hideMark/>
          </w:tcPr>
          <w:p w:rsidR="005C1E1D" w:rsidRPr="005C1E1D" w:rsidRDefault="005C1E1D" w:rsidP="005C1E1D">
            <w:pPr>
              <w:spacing w:after="0"/>
              <w:jc w:val="center"/>
              <w:rPr>
                <w:szCs w:val="17"/>
              </w:rPr>
            </w:pPr>
            <w:r w:rsidRPr="005C1E1D">
              <w:rPr>
                <w:szCs w:val="17"/>
              </w:rPr>
              <w:t>1/7/03</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 xml:space="preserve">Photocopying A3 </w:t>
            </w:r>
          </w:p>
        </w:tc>
        <w:tc>
          <w:tcPr>
            <w:tcW w:w="1276" w:type="dxa"/>
            <w:noWrap/>
            <w:hideMark/>
          </w:tcPr>
          <w:p w:rsidR="005C1E1D" w:rsidRPr="005C1E1D" w:rsidRDefault="005C1E1D" w:rsidP="005C1E1D">
            <w:pPr>
              <w:spacing w:after="0"/>
              <w:jc w:val="center"/>
              <w:rPr>
                <w:szCs w:val="17"/>
              </w:rPr>
            </w:pPr>
            <w:r w:rsidRPr="005C1E1D">
              <w:rPr>
                <w:szCs w:val="17"/>
              </w:rPr>
              <w:t>$0.60</w:t>
            </w:r>
          </w:p>
        </w:tc>
        <w:tc>
          <w:tcPr>
            <w:tcW w:w="1276" w:type="dxa"/>
            <w:noWrap/>
            <w:hideMark/>
          </w:tcPr>
          <w:p w:rsidR="005C1E1D" w:rsidRPr="005C1E1D" w:rsidRDefault="005C1E1D" w:rsidP="005C1E1D">
            <w:pPr>
              <w:spacing w:after="0"/>
              <w:jc w:val="center"/>
              <w:rPr>
                <w:szCs w:val="17"/>
              </w:rPr>
            </w:pPr>
            <w:r w:rsidRPr="005C1E1D">
              <w:rPr>
                <w:szCs w:val="17"/>
              </w:rPr>
              <w:t>$0.60</w:t>
            </w:r>
          </w:p>
        </w:tc>
        <w:tc>
          <w:tcPr>
            <w:tcW w:w="992" w:type="dxa"/>
            <w:noWrap/>
            <w:hideMark/>
          </w:tcPr>
          <w:p w:rsidR="005C1E1D" w:rsidRPr="005C1E1D" w:rsidRDefault="005C1E1D" w:rsidP="005C1E1D">
            <w:pPr>
              <w:spacing w:after="0"/>
              <w:jc w:val="center"/>
              <w:rPr>
                <w:szCs w:val="17"/>
              </w:rPr>
            </w:pPr>
            <w:r w:rsidRPr="005C1E1D">
              <w:rPr>
                <w:szCs w:val="17"/>
              </w:rPr>
              <w:t>1/7/04</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Special loans overdue fine per day</w:t>
            </w:r>
          </w:p>
        </w:tc>
        <w:tc>
          <w:tcPr>
            <w:tcW w:w="1276" w:type="dxa"/>
            <w:noWrap/>
            <w:hideMark/>
          </w:tcPr>
          <w:p w:rsidR="005C1E1D" w:rsidRPr="005C1E1D" w:rsidRDefault="005C1E1D" w:rsidP="005C1E1D">
            <w:pPr>
              <w:spacing w:after="0"/>
              <w:jc w:val="center"/>
              <w:rPr>
                <w:szCs w:val="17"/>
              </w:rPr>
            </w:pPr>
            <w:r w:rsidRPr="005C1E1D">
              <w:rPr>
                <w:szCs w:val="17"/>
              </w:rPr>
              <w:t>$2.00</w:t>
            </w:r>
          </w:p>
        </w:tc>
        <w:tc>
          <w:tcPr>
            <w:tcW w:w="1276" w:type="dxa"/>
            <w:noWrap/>
            <w:hideMark/>
          </w:tcPr>
          <w:p w:rsidR="005C1E1D" w:rsidRPr="005C1E1D" w:rsidRDefault="005C1E1D" w:rsidP="005C1E1D">
            <w:pPr>
              <w:spacing w:after="0"/>
              <w:jc w:val="center"/>
              <w:rPr>
                <w:szCs w:val="17"/>
              </w:rPr>
            </w:pPr>
            <w:r w:rsidRPr="005C1E1D">
              <w:rPr>
                <w:szCs w:val="17"/>
              </w:rPr>
              <w:t>$2.00</w:t>
            </w:r>
          </w:p>
        </w:tc>
        <w:tc>
          <w:tcPr>
            <w:tcW w:w="992" w:type="dxa"/>
            <w:noWrap/>
            <w:hideMark/>
          </w:tcPr>
          <w:p w:rsidR="005C1E1D" w:rsidRPr="005C1E1D" w:rsidRDefault="005C1E1D" w:rsidP="005C1E1D">
            <w:pPr>
              <w:spacing w:after="0"/>
              <w:jc w:val="center"/>
              <w:rPr>
                <w:szCs w:val="17"/>
              </w:rPr>
            </w:pPr>
            <w:r w:rsidRPr="005C1E1D">
              <w:rPr>
                <w:szCs w:val="17"/>
              </w:rPr>
              <w:t>1/7/89</w:t>
            </w:r>
          </w:p>
        </w:tc>
      </w:tr>
      <w:tr w:rsidR="005C1E1D" w:rsidRPr="005C1E1D" w:rsidTr="005C1E1D">
        <w:trPr>
          <w:trHeight w:val="20"/>
        </w:trPr>
        <w:tc>
          <w:tcPr>
            <w:tcW w:w="5812" w:type="dxa"/>
            <w:noWrap/>
            <w:hideMark/>
          </w:tcPr>
          <w:p w:rsidR="005C1E1D" w:rsidRPr="008C3672" w:rsidRDefault="005C1E1D" w:rsidP="005C1E1D">
            <w:pPr>
              <w:spacing w:before="120" w:after="0"/>
              <w:jc w:val="left"/>
              <w:rPr>
                <w:b/>
                <w:szCs w:val="17"/>
              </w:rPr>
            </w:pPr>
            <w:r w:rsidRPr="008C3672">
              <w:rPr>
                <w:b/>
                <w:szCs w:val="17"/>
              </w:rPr>
              <w:t>Charges to public for items from other libraries *</w:t>
            </w:r>
          </w:p>
        </w:tc>
        <w:tc>
          <w:tcPr>
            <w:tcW w:w="1276" w:type="dxa"/>
            <w:noWrap/>
            <w:hideMark/>
          </w:tcPr>
          <w:p w:rsidR="005C1E1D" w:rsidRPr="005C1E1D" w:rsidRDefault="005C1E1D" w:rsidP="005C1E1D">
            <w:pPr>
              <w:spacing w:before="120" w:after="0"/>
              <w:jc w:val="center"/>
              <w:rPr>
                <w:szCs w:val="17"/>
              </w:rPr>
            </w:pPr>
          </w:p>
        </w:tc>
        <w:tc>
          <w:tcPr>
            <w:tcW w:w="1276" w:type="dxa"/>
            <w:noWrap/>
            <w:hideMark/>
          </w:tcPr>
          <w:p w:rsidR="005C1E1D" w:rsidRPr="005C1E1D" w:rsidRDefault="005C1E1D" w:rsidP="005C1E1D">
            <w:pPr>
              <w:spacing w:after="0"/>
              <w:jc w:val="center"/>
              <w:rPr>
                <w:szCs w:val="17"/>
              </w:rPr>
            </w:pPr>
          </w:p>
        </w:tc>
        <w:tc>
          <w:tcPr>
            <w:tcW w:w="992" w:type="dxa"/>
            <w:noWrap/>
            <w:hideMark/>
          </w:tcPr>
          <w:p w:rsidR="005C1E1D" w:rsidRPr="005C1E1D" w:rsidRDefault="005C1E1D" w:rsidP="005C1E1D">
            <w:pPr>
              <w:spacing w:after="0"/>
              <w:jc w:val="center"/>
              <w:rPr>
                <w:szCs w:val="17"/>
              </w:rPr>
            </w:pPr>
          </w:p>
        </w:tc>
      </w:tr>
      <w:tr w:rsidR="005C1E1D" w:rsidRPr="005C1E1D" w:rsidTr="005C1E1D">
        <w:trPr>
          <w:trHeight w:val="20"/>
        </w:trPr>
        <w:tc>
          <w:tcPr>
            <w:tcW w:w="5812" w:type="dxa"/>
            <w:noWrap/>
            <w:hideMark/>
          </w:tcPr>
          <w:p w:rsidR="005C1E1D" w:rsidRPr="005C1E1D" w:rsidRDefault="005C1E1D" w:rsidP="005C1E1D">
            <w:pPr>
              <w:spacing w:after="0"/>
              <w:jc w:val="left"/>
              <w:rPr>
                <w:i/>
                <w:szCs w:val="17"/>
              </w:rPr>
            </w:pPr>
            <w:r w:rsidRPr="005C1E1D">
              <w:rPr>
                <w:i/>
                <w:szCs w:val="17"/>
              </w:rPr>
              <w:t>Interlibrary photocopying per article (up to 25 pages)</w:t>
            </w:r>
          </w:p>
        </w:tc>
        <w:tc>
          <w:tcPr>
            <w:tcW w:w="1276" w:type="dxa"/>
            <w:noWrap/>
            <w:hideMark/>
          </w:tcPr>
          <w:p w:rsidR="005C1E1D" w:rsidRPr="005C1E1D" w:rsidRDefault="005C1E1D" w:rsidP="005C1E1D">
            <w:pPr>
              <w:spacing w:after="0"/>
              <w:jc w:val="center"/>
              <w:rPr>
                <w:szCs w:val="17"/>
              </w:rPr>
            </w:pPr>
          </w:p>
        </w:tc>
        <w:tc>
          <w:tcPr>
            <w:tcW w:w="1276" w:type="dxa"/>
            <w:noWrap/>
            <w:hideMark/>
          </w:tcPr>
          <w:p w:rsidR="005C1E1D" w:rsidRPr="005C1E1D" w:rsidRDefault="005C1E1D" w:rsidP="005C1E1D">
            <w:pPr>
              <w:spacing w:after="0"/>
              <w:jc w:val="center"/>
              <w:rPr>
                <w:szCs w:val="17"/>
              </w:rPr>
            </w:pPr>
          </w:p>
        </w:tc>
        <w:tc>
          <w:tcPr>
            <w:tcW w:w="992" w:type="dxa"/>
            <w:noWrap/>
            <w:hideMark/>
          </w:tcPr>
          <w:p w:rsidR="005C1E1D" w:rsidRPr="005C1E1D" w:rsidRDefault="005C1E1D" w:rsidP="005C1E1D">
            <w:pPr>
              <w:spacing w:after="0"/>
              <w:jc w:val="center"/>
              <w:rPr>
                <w:szCs w:val="17"/>
              </w:rPr>
            </w:pP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Core - 4 working days - electronic delivery</w:t>
            </w:r>
          </w:p>
        </w:tc>
        <w:tc>
          <w:tcPr>
            <w:tcW w:w="1276" w:type="dxa"/>
            <w:noWrap/>
            <w:hideMark/>
          </w:tcPr>
          <w:p w:rsidR="005C1E1D" w:rsidRPr="005C1E1D" w:rsidRDefault="005C1E1D" w:rsidP="005C1E1D">
            <w:pPr>
              <w:spacing w:after="0"/>
              <w:jc w:val="center"/>
              <w:rPr>
                <w:szCs w:val="17"/>
              </w:rPr>
            </w:pPr>
            <w:r w:rsidRPr="005C1E1D">
              <w:rPr>
                <w:szCs w:val="17"/>
              </w:rPr>
              <w:t>$16.50</w:t>
            </w:r>
          </w:p>
        </w:tc>
        <w:tc>
          <w:tcPr>
            <w:tcW w:w="1276" w:type="dxa"/>
            <w:noWrap/>
            <w:hideMark/>
          </w:tcPr>
          <w:p w:rsidR="005C1E1D" w:rsidRPr="005C1E1D" w:rsidRDefault="005C1E1D" w:rsidP="005C1E1D">
            <w:pPr>
              <w:spacing w:after="0"/>
              <w:jc w:val="center"/>
              <w:rPr>
                <w:szCs w:val="17"/>
              </w:rPr>
            </w:pPr>
            <w:r w:rsidRPr="005C1E1D">
              <w:rPr>
                <w:szCs w:val="17"/>
              </w:rPr>
              <w:t>$18.50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Rush - 24 Hours Mon to Fri - electronic delivery</w:t>
            </w:r>
          </w:p>
        </w:tc>
        <w:tc>
          <w:tcPr>
            <w:tcW w:w="1276" w:type="dxa"/>
            <w:noWrap/>
            <w:hideMark/>
          </w:tcPr>
          <w:p w:rsidR="005C1E1D" w:rsidRPr="005C1E1D" w:rsidRDefault="005C1E1D" w:rsidP="005C1E1D">
            <w:pPr>
              <w:spacing w:after="0"/>
              <w:jc w:val="center"/>
              <w:rPr>
                <w:szCs w:val="17"/>
              </w:rPr>
            </w:pPr>
            <w:r w:rsidRPr="005C1E1D">
              <w:rPr>
                <w:szCs w:val="17"/>
              </w:rPr>
              <w:t>$33.00</w:t>
            </w:r>
          </w:p>
        </w:tc>
        <w:tc>
          <w:tcPr>
            <w:tcW w:w="1276" w:type="dxa"/>
            <w:noWrap/>
            <w:hideMark/>
          </w:tcPr>
          <w:p w:rsidR="005C1E1D" w:rsidRPr="005C1E1D" w:rsidRDefault="005C1E1D" w:rsidP="005C1E1D">
            <w:pPr>
              <w:spacing w:after="0"/>
              <w:jc w:val="center"/>
              <w:rPr>
                <w:szCs w:val="17"/>
              </w:rPr>
            </w:pPr>
            <w:r w:rsidRPr="005C1E1D">
              <w:rPr>
                <w:szCs w:val="17"/>
              </w:rPr>
              <w:t>$37.00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Express - 2 working hours Mon to Fri - electronic delivery</w:t>
            </w:r>
          </w:p>
        </w:tc>
        <w:tc>
          <w:tcPr>
            <w:tcW w:w="1276" w:type="dxa"/>
            <w:noWrap/>
            <w:hideMark/>
          </w:tcPr>
          <w:p w:rsidR="005C1E1D" w:rsidRPr="005C1E1D" w:rsidRDefault="005C1E1D" w:rsidP="005C1E1D">
            <w:pPr>
              <w:spacing w:after="0"/>
              <w:jc w:val="center"/>
              <w:rPr>
                <w:szCs w:val="17"/>
              </w:rPr>
            </w:pPr>
            <w:r w:rsidRPr="005C1E1D">
              <w:rPr>
                <w:szCs w:val="17"/>
              </w:rPr>
              <w:t>$49.50</w:t>
            </w:r>
          </w:p>
        </w:tc>
        <w:tc>
          <w:tcPr>
            <w:tcW w:w="1276" w:type="dxa"/>
            <w:noWrap/>
            <w:hideMark/>
          </w:tcPr>
          <w:p w:rsidR="005C1E1D" w:rsidRPr="005C1E1D" w:rsidRDefault="005C1E1D" w:rsidP="005C1E1D">
            <w:pPr>
              <w:spacing w:after="0"/>
              <w:jc w:val="center"/>
              <w:rPr>
                <w:szCs w:val="17"/>
              </w:rPr>
            </w:pPr>
            <w:r w:rsidRPr="005C1E1D">
              <w:rPr>
                <w:szCs w:val="17"/>
              </w:rPr>
              <w:t>$55.50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Interlibrary photocopying each additional 25 pages</w:t>
            </w:r>
          </w:p>
        </w:tc>
        <w:tc>
          <w:tcPr>
            <w:tcW w:w="1276" w:type="dxa"/>
            <w:noWrap/>
            <w:hideMark/>
          </w:tcPr>
          <w:p w:rsidR="005C1E1D" w:rsidRPr="005C1E1D" w:rsidRDefault="005C1E1D" w:rsidP="005C1E1D">
            <w:pPr>
              <w:spacing w:after="0"/>
              <w:jc w:val="center"/>
              <w:rPr>
                <w:szCs w:val="17"/>
              </w:rPr>
            </w:pPr>
            <w:r w:rsidRPr="005C1E1D">
              <w:rPr>
                <w:szCs w:val="17"/>
              </w:rPr>
              <w:t>$4.00</w:t>
            </w:r>
          </w:p>
        </w:tc>
        <w:tc>
          <w:tcPr>
            <w:tcW w:w="1276" w:type="dxa"/>
            <w:noWrap/>
            <w:hideMark/>
          </w:tcPr>
          <w:p w:rsidR="005C1E1D" w:rsidRPr="005C1E1D" w:rsidRDefault="005C1E1D" w:rsidP="005C1E1D">
            <w:pPr>
              <w:spacing w:after="0"/>
              <w:jc w:val="center"/>
              <w:rPr>
                <w:szCs w:val="17"/>
              </w:rPr>
            </w:pPr>
            <w:r w:rsidRPr="005C1E1D">
              <w:rPr>
                <w:szCs w:val="17"/>
              </w:rPr>
              <w:t>$4.00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before="120" w:after="0"/>
              <w:jc w:val="left"/>
              <w:rPr>
                <w:i/>
                <w:szCs w:val="17"/>
              </w:rPr>
            </w:pPr>
            <w:r w:rsidRPr="005C1E1D">
              <w:rPr>
                <w:i/>
                <w:szCs w:val="17"/>
              </w:rPr>
              <w:t>Interlibrary Loans to Australian Libraries</w:t>
            </w:r>
          </w:p>
        </w:tc>
        <w:tc>
          <w:tcPr>
            <w:tcW w:w="1276" w:type="dxa"/>
            <w:noWrap/>
            <w:hideMark/>
          </w:tcPr>
          <w:p w:rsidR="005C1E1D" w:rsidRPr="005C1E1D" w:rsidRDefault="005C1E1D" w:rsidP="005C1E1D">
            <w:pPr>
              <w:spacing w:after="0"/>
              <w:jc w:val="center"/>
              <w:rPr>
                <w:szCs w:val="17"/>
              </w:rPr>
            </w:pPr>
          </w:p>
        </w:tc>
        <w:tc>
          <w:tcPr>
            <w:tcW w:w="1276" w:type="dxa"/>
            <w:noWrap/>
            <w:hideMark/>
          </w:tcPr>
          <w:p w:rsidR="005C1E1D" w:rsidRPr="005C1E1D" w:rsidRDefault="005C1E1D" w:rsidP="005C1E1D">
            <w:pPr>
              <w:spacing w:after="0"/>
              <w:jc w:val="center"/>
              <w:rPr>
                <w:szCs w:val="17"/>
              </w:rPr>
            </w:pPr>
          </w:p>
        </w:tc>
        <w:tc>
          <w:tcPr>
            <w:tcW w:w="992" w:type="dxa"/>
            <w:noWrap/>
            <w:hideMark/>
          </w:tcPr>
          <w:p w:rsidR="005C1E1D" w:rsidRPr="005C1E1D" w:rsidRDefault="005C1E1D" w:rsidP="005C1E1D">
            <w:pPr>
              <w:spacing w:after="0"/>
              <w:jc w:val="center"/>
              <w:rPr>
                <w:szCs w:val="17"/>
              </w:rPr>
            </w:pP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Core - 4 working days - including default delivery fees for normal delivery</w:t>
            </w:r>
          </w:p>
        </w:tc>
        <w:tc>
          <w:tcPr>
            <w:tcW w:w="1276" w:type="dxa"/>
            <w:noWrap/>
            <w:hideMark/>
          </w:tcPr>
          <w:p w:rsidR="005C1E1D" w:rsidRPr="005C1E1D" w:rsidRDefault="005C1E1D" w:rsidP="005C1E1D">
            <w:pPr>
              <w:spacing w:after="0"/>
              <w:jc w:val="center"/>
              <w:rPr>
                <w:szCs w:val="17"/>
              </w:rPr>
            </w:pPr>
            <w:r w:rsidRPr="005C1E1D">
              <w:rPr>
                <w:szCs w:val="17"/>
              </w:rPr>
              <w:t>$16.50</w:t>
            </w:r>
          </w:p>
        </w:tc>
        <w:tc>
          <w:tcPr>
            <w:tcW w:w="1276" w:type="dxa"/>
            <w:noWrap/>
            <w:hideMark/>
          </w:tcPr>
          <w:p w:rsidR="005C1E1D" w:rsidRPr="005C1E1D" w:rsidRDefault="005C1E1D" w:rsidP="005C1E1D">
            <w:pPr>
              <w:spacing w:after="0"/>
              <w:jc w:val="center"/>
              <w:rPr>
                <w:szCs w:val="17"/>
              </w:rPr>
            </w:pPr>
            <w:r w:rsidRPr="005C1E1D">
              <w:rPr>
                <w:szCs w:val="17"/>
              </w:rPr>
              <w:t>$28.50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Rush - 24 Hours Mon to Fri - including default delivery fees for express post</w:t>
            </w:r>
          </w:p>
        </w:tc>
        <w:tc>
          <w:tcPr>
            <w:tcW w:w="1276" w:type="dxa"/>
            <w:noWrap/>
            <w:hideMark/>
          </w:tcPr>
          <w:p w:rsidR="005C1E1D" w:rsidRPr="005C1E1D" w:rsidRDefault="005C1E1D" w:rsidP="005C1E1D">
            <w:pPr>
              <w:spacing w:after="0"/>
              <w:jc w:val="center"/>
              <w:rPr>
                <w:szCs w:val="17"/>
              </w:rPr>
            </w:pPr>
            <w:r w:rsidRPr="005C1E1D">
              <w:rPr>
                <w:szCs w:val="17"/>
              </w:rPr>
              <w:t>$33.00</w:t>
            </w:r>
          </w:p>
        </w:tc>
        <w:tc>
          <w:tcPr>
            <w:tcW w:w="1276" w:type="dxa"/>
            <w:noWrap/>
            <w:hideMark/>
          </w:tcPr>
          <w:p w:rsidR="005C1E1D" w:rsidRPr="005C1E1D" w:rsidRDefault="005C1E1D" w:rsidP="005C1E1D">
            <w:pPr>
              <w:spacing w:after="0"/>
              <w:jc w:val="center"/>
              <w:rPr>
                <w:szCs w:val="17"/>
              </w:rPr>
            </w:pPr>
            <w:r w:rsidRPr="005C1E1D">
              <w:rPr>
                <w:szCs w:val="17"/>
              </w:rPr>
              <w:t>$52.00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 xml:space="preserve">Express - 2 working hours Mon to Fri - including default delivery fees for </w:t>
            </w:r>
            <w:r w:rsidRPr="005C1E1D">
              <w:rPr>
                <w:szCs w:val="17"/>
              </w:rPr>
              <w:br/>
              <w:t>express post or courier</w:t>
            </w:r>
          </w:p>
        </w:tc>
        <w:tc>
          <w:tcPr>
            <w:tcW w:w="1276" w:type="dxa"/>
            <w:noWrap/>
            <w:hideMark/>
          </w:tcPr>
          <w:p w:rsidR="005C1E1D" w:rsidRPr="005C1E1D" w:rsidRDefault="005C1E1D" w:rsidP="005C1E1D">
            <w:pPr>
              <w:spacing w:after="0"/>
              <w:jc w:val="center"/>
              <w:rPr>
                <w:szCs w:val="17"/>
              </w:rPr>
            </w:pPr>
            <w:r w:rsidRPr="005C1E1D">
              <w:rPr>
                <w:szCs w:val="17"/>
              </w:rPr>
              <w:t>$49.50</w:t>
            </w:r>
          </w:p>
        </w:tc>
        <w:tc>
          <w:tcPr>
            <w:tcW w:w="1276" w:type="dxa"/>
            <w:noWrap/>
            <w:hideMark/>
          </w:tcPr>
          <w:p w:rsidR="005C1E1D" w:rsidRPr="005C1E1D" w:rsidRDefault="005C1E1D" w:rsidP="005C1E1D">
            <w:pPr>
              <w:spacing w:after="0"/>
              <w:jc w:val="center"/>
              <w:rPr>
                <w:szCs w:val="17"/>
              </w:rPr>
            </w:pPr>
            <w:r w:rsidRPr="005C1E1D">
              <w:rPr>
                <w:szCs w:val="17"/>
              </w:rPr>
              <w:t>$70.50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Interlibrary Loans from Overseas Libraries</w:t>
            </w:r>
          </w:p>
        </w:tc>
        <w:tc>
          <w:tcPr>
            <w:tcW w:w="1276" w:type="dxa"/>
            <w:hideMark/>
          </w:tcPr>
          <w:p w:rsidR="005C1E1D" w:rsidRPr="005C1E1D" w:rsidRDefault="005C1E1D" w:rsidP="005C1E1D">
            <w:pPr>
              <w:spacing w:after="0"/>
              <w:jc w:val="center"/>
              <w:rPr>
                <w:szCs w:val="17"/>
              </w:rPr>
            </w:pPr>
            <w:r w:rsidRPr="005C1E1D">
              <w:rPr>
                <w:szCs w:val="17"/>
              </w:rPr>
              <w:t>Cost Recovery</w:t>
            </w:r>
          </w:p>
        </w:tc>
        <w:tc>
          <w:tcPr>
            <w:tcW w:w="1276" w:type="dxa"/>
            <w:hideMark/>
          </w:tcPr>
          <w:p w:rsidR="005C1E1D" w:rsidRPr="005C1E1D" w:rsidRDefault="005C1E1D" w:rsidP="005C1E1D">
            <w:pPr>
              <w:spacing w:after="0"/>
              <w:jc w:val="center"/>
              <w:rPr>
                <w:szCs w:val="17"/>
              </w:rPr>
            </w:pPr>
            <w:r w:rsidRPr="005C1E1D">
              <w:rPr>
                <w:szCs w:val="17"/>
              </w:rPr>
              <w:t>Cost Recovery</w:t>
            </w:r>
          </w:p>
        </w:tc>
        <w:tc>
          <w:tcPr>
            <w:tcW w:w="992" w:type="dxa"/>
            <w:noWrap/>
            <w:hideMark/>
          </w:tcPr>
          <w:p w:rsidR="005C1E1D" w:rsidRPr="005C1E1D" w:rsidRDefault="005C1E1D" w:rsidP="005C1E1D">
            <w:pPr>
              <w:spacing w:after="0"/>
              <w:jc w:val="center"/>
              <w:rPr>
                <w:szCs w:val="17"/>
              </w:rPr>
            </w:pPr>
            <w:r w:rsidRPr="005C1E1D">
              <w:rPr>
                <w:szCs w:val="17"/>
              </w:rPr>
              <w:t>1/7/05</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Interlibrary Copies from Overseas Libraries</w:t>
            </w:r>
          </w:p>
        </w:tc>
        <w:tc>
          <w:tcPr>
            <w:tcW w:w="1276" w:type="dxa"/>
            <w:hideMark/>
          </w:tcPr>
          <w:p w:rsidR="005C1E1D" w:rsidRPr="005C1E1D" w:rsidRDefault="005C1E1D" w:rsidP="005C1E1D">
            <w:pPr>
              <w:spacing w:after="0"/>
              <w:jc w:val="center"/>
              <w:rPr>
                <w:szCs w:val="17"/>
              </w:rPr>
            </w:pPr>
            <w:r w:rsidRPr="005C1E1D">
              <w:rPr>
                <w:szCs w:val="17"/>
              </w:rPr>
              <w:t>Cost Recovery</w:t>
            </w:r>
          </w:p>
        </w:tc>
        <w:tc>
          <w:tcPr>
            <w:tcW w:w="1276" w:type="dxa"/>
            <w:hideMark/>
          </w:tcPr>
          <w:p w:rsidR="005C1E1D" w:rsidRPr="005C1E1D" w:rsidRDefault="005C1E1D" w:rsidP="005C1E1D">
            <w:pPr>
              <w:spacing w:after="0"/>
              <w:jc w:val="center"/>
              <w:rPr>
                <w:szCs w:val="17"/>
              </w:rPr>
            </w:pPr>
            <w:r w:rsidRPr="005C1E1D">
              <w:rPr>
                <w:szCs w:val="17"/>
              </w:rPr>
              <w:t>Cost Recovery</w:t>
            </w:r>
          </w:p>
        </w:tc>
        <w:tc>
          <w:tcPr>
            <w:tcW w:w="992" w:type="dxa"/>
            <w:noWrap/>
            <w:hideMark/>
          </w:tcPr>
          <w:p w:rsidR="005C1E1D" w:rsidRPr="005C1E1D" w:rsidRDefault="005C1E1D" w:rsidP="005C1E1D">
            <w:pPr>
              <w:spacing w:after="0"/>
              <w:jc w:val="center"/>
              <w:rPr>
                <w:szCs w:val="17"/>
              </w:rPr>
            </w:pPr>
            <w:r w:rsidRPr="005C1E1D">
              <w:rPr>
                <w:szCs w:val="17"/>
              </w:rPr>
              <w:t>1/7/05</w:t>
            </w:r>
          </w:p>
        </w:tc>
      </w:tr>
      <w:tr w:rsidR="005C1E1D" w:rsidRPr="005C1E1D" w:rsidTr="005C1E1D">
        <w:trPr>
          <w:trHeight w:val="20"/>
        </w:trPr>
        <w:tc>
          <w:tcPr>
            <w:tcW w:w="5812" w:type="dxa"/>
            <w:noWrap/>
            <w:hideMark/>
          </w:tcPr>
          <w:p w:rsidR="005C1E1D" w:rsidRPr="003B140D" w:rsidRDefault="005C1E1D" w:rsidP="005C1E1D">
            <w:pPr>
              <w:spacing w:before="120" w:after="0"/>
              <w:jc w:val="left"/>
              <w:rPr>
                <w:b/>
                <w:szCs w:val="17"/>
              </w:rPr>
            </w:pPr>
            <w:r w:rsidRPr="003B140D">
              <w:rPr>
                <w:b/>
                <w:szCs w:val="17"/>
              </w:rPr>
              <w:t>Charges to libraries for items from State Library Collections *</w:t>
            </w:r>
          </w:p>
        </w:tc>
        <w:tc>
          <w:tcPr>
            <w:tcW w:w="1276" w:type="dxa"/>
            <w:noWrap/>
            <w:hideMark/>
          </w:tcPr>
          <w:p w:rsidR="005C1E1D" w:rsidRPr="005C1E1D" w:rsidRDefault="005C1E1D" w:rsidP="005C1E1D">
            <w:pPr>
              <w:spacing w:after="0"/>
              <w:jc w:val="center"/>
              <w:rPr>
                <w:szCs w:val="17"/>
              </w:rPr>
            </w:pPr>
          </w:p>
        </w:tc>
        <w:tc>
          <w:tcPr>
            <w:tcW w:w="1276" w:type="dxa"/>
            <w:noWrap/>
            <w:hideMark/>
          </w:tcPr>
          <w:p w:rsidR="005C1E1D" w:rsidRPr="005C1E1D" w:rsidRDefault="005C1E1D" w:rsidP="005C1E1D">
            <w:pPr>
              <w:spacing w:after="0"/>
              <w:jc w:val="center"/>
              <w:rPr>
                <w:szCs w:val="17"/>
              </w:rPr>
            </w:pPr>
          </w:p>
        </w:tc>
        <w:tc>
          <w:tcPr>
            <w:tcW w:w="992" w:type="dxa"/>
            <w:noWrap/>
            <w:hideMark/>
          </w:tcPr>
          <w:p w:rsidR="005C1E1D" w:rsidRPr="005C1E1D" w:rsidRDefault="005C1E1D" w:rsidP="005C1E1D">
            <w:pPr>
              <w:spacing w:after="0"/>
              <w:jc w:val="center"/>
              <w:rPr>
                <w:szCs w:val="17"/>
              </w:rPr>
            </w:pPr>
          </w:p>
        </w:tc>
      </w:tr>
      <w:tr w:rsidR="005C1E1D" w:rsidRPr="005C1E1D" w:rsidTr="005C1E1D">
        <w:trPr>
          <w:trHeight w:val="20"/>
        </w:trPr>
        <w:tc>
          <w:tcPr>
            <w:tcW w:w="5812" w:type="dxa"/>
            <w:noWrap/>
            <w:hideMark/>
          </w:tcPr>
          <w:p w:rsidR="005C1E1D" w:rsidRPr="005C1E1D" w:rsidRDefault="005C1E1D" w:rsidP="005C1E1D">
            <w:pPr>
              <w:spacing w:after="0"/>
              <w:jc w:val="left"/>
              <w:rPr>
                <w:i/>
                <w:szCs w:val="17"/>
              </w:rPr>
            </w:pPr>
            <w:r w:rsidRPr="005C1E1D">
              <w:rPr>
                <w:i/>
                <w:szCs w:val="17"/>
              </w:rPr>
              <w:t>Interlibrary photocopying per article (up to 25 pages)</w:t>
            </w:r>
          </w:p>
        </w:tc>
        <w:tc>
          <w:tcPr>
            <w:tcW w:w="1276" w:type="dxa"/>
            <w:noWrap/>
            <w:hideMark/>
          </w:tcPr>
          <w:p w:rsidR="005C1E1D" w:rsidRPr="005C1E1D" w:rsidRDefault="005C1E1D" w:rsidP="005C1E1D">
            <w:pPr>
              <w:spacing w:after="0"/>
              <w:jc w:val="center"/>
              <w:rPr>
                <w:szCs w:val="17"/>
              </w:rPr>
            </w:pPr>
          </w:p>
        </w:tc>
        <w:tc>
          <w:tcPr>
            <w:tcW w:w="1276" w:type="dxa"/>
            <w:noWrap/>
            <w:hideMark/>
          </w:tcPr>
          <w:p w:rsidR="005C1E1D" w:rsidRPr="005C1E1D" w:rsidRDefault="005C1E1D" w:rsidP="005C1E1D">
            <w:pPr>
              <w:spacing w:after="0"/>
              <w:jc w:val="center"/>
              <w:rPr>
                <w:szCs w:val="17"/>
              </w:rPr>
            </w:pPr>
          </w:p>
        </w:tc>
        <w:tc>
          <w:tcPr>
            <w:tcW w:w="992" w:type="dxa"/>
            <w:noWrap/>
            <w:hideMark/>
          </w:tcPr>
          <w:p w:rsidR="005C1E1D" w:rsidRPr="005C1E1D" w:rsidRDefault="005C1E1D" w:rsidP="005C1E1D">
            <w:pPr>
              <w:spacing w:after="0"/>
              <w:jc w:val="center"/>
              <w:rPr>
                <w:szCs w:val="17"/>
              </w:rPr>
            </w:pP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Core - 5 working days</w:t>
            </w:r>
          </w:p>
        </w:tc>
        <w:tc>
          <w:tcPr>
            <w:tcW w:w="1276" w:type="dxa"/>
            <w:noWrap/>
            <w:hideMark/>
          </w:tcPr>
          <w:p w:rsidR="005C1E1D" w:rsidRPr="005C1E1D" w:rsidRDefault="005C1E1D" w:rsidP="005C1E1D">
            <w:pPr>
              <w:spacing w:after="0"/>
              <w:jc w:val="center"/>
              <w:rPr>
                <w:szCs w:val="17"/>
              </w:rPr>
            </w:pPr>
            <w:r w:rsidRPr="005C1E1D">
              <w:rPr>
                <w:szCs w:val="17"/>
              </w:rPr>
              <w:t>$16.50</w:t>
            </w:r>
          </w:p>
        </w:tc>
        <w:tc>
          <w:tcPr>
            <w:tcW w:w="1276" w:type="dxa"/>
            <w:noWrap/>
            <w:hideMark/>
          </w:tcPr>
          <w:p w:rsidR="005C1E1D" w:rsidRPr="005C1E1D" w:rsidRDefault="005C1E1D" w:rsidP="005C1E1D">
            <w:pPr>
              <w:spacing w:after="0"/>
              <w:jc w:val="center"/>
              <w:rPr>
                <w:szCs w:val="17"/>
              </w:rPr>
            </w:pPr>
            <w:r w:rsidRPr="005C1E1D">
              <w:rPr>
                <w:szCs w:val="17"/>
              </w:rPr>
              <w:t>$28.50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Rush - AM/PM Mon to Fri</w:t>
            </w:r>
          </w:p>
        </w:tc>
        <w:tc>
          <w:tcPr>
            <w:tcW w:w="1276" w:type="dxa"/>
            <w:noWrap/>
            <w:hideMark/>
          </w:tcPr>
          <w:p w:rsidR="005C1E1D" w:rsidRPr="005C1E1D" w:rsidRDefault="005C1E1D" w:rsidP="005C1E1D">
            <w:pPr>
              <w:spacing w:after="0"/>
              <w:jc w:val="center"/>
              <w:rPr>
                <w:szCs w:val="17"/>
              </w:rPr>
            </w:pPr>
            <w:r w:rsidRPr="005C1E1D">
              <w:rPr>
                <w:szCs w:val="17"/>
              </w:rPr>
              <w:t>$33.00</w:t>
            </w:r>
          </w:p>
        </w:tc>
        <w:tc>
          <w:tcPr>
            <w:tcW w:w="1276" w:type="dxa"/>
            <w:noWrap/>
            <w:hideMark/>
          </w:tcPr>
          <w:p w:rsidR="005C1E1D" w:rsidRPr="005C1E1D" w:rsidRDefault="005C1E1D" w:rsidP="005C1E1D">
            <w:pPr>
              <w:spacing w:after="0"/>
              <w:jc w:val="center"/>
              <w:rPr>
                <w:szCs w:val="17"/>
              </w:rPr>
            </w:pPr>
            <w:r w:rsidRPr="005C1E1D">
              <w:rPr>
                <w:szCs w:val="17"/>
              </w:rPr>
              <w:t>$52.00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Express - 2 working hours Mon to Fri</w:t>
            </w:r>
          </w:p>
        </w:tc>
        <w:tc>
          <w:tcPr>
            <w:tcW w:w="1276" w:type="dxa"/>
            <w:noWrap/>
            <w:hideMark/>
          </w:tcPr>
          <w:p w:rsidR="005C1E1D" w:rsidRPr="005C1E1D" w:rsidRDefault="005C1E1D" w:rsidP="005C1E1D">
            <w:pPr>
              <w:spacing w:after="0"/>
              <w:jc w:val="center"/>
              <w:rPr>
                <w:szCs w:val="17"/>
              </w:rPr>
            </w:pPr>
            <w:r w:rsidRPr="005C1E1D">
              <w:rPr>
                <w:szCs w:val="17"/>
              </w:rPr>
              <w:t>$49.50</w:t>
            </w:r>
          </w:p>
        </w:tc>
        <w:tc>
          <w:tcPr>
            <w:tcW w:w="1276" w:type="dxa"/>
            <w:noWrap/>
            <w:hideMark/>
          </w:tcPr>
          <w:p w:rsidR="005C1E1D" w:rsidRPr="005C1E1D" w:rsidRDefault="005C1E1D" w:rsidP="005C1E1D">
            <w:pPr>
              <w:spacing w:after="0"/>
              <w:jc w:val="center"/>
              <w:rPr>
                <w:szCs w:val="17"/>
              </w:rPr>
            </w:pPr>
            <w:r w:rsidRPr="005C1E1D">
              <w:rPr>
                <w:szCs w:val="17"/>
              </w:rPr>
              <w:t>$70.50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Interlibrary photocopying each additional 25 pages</w:t>
            </w:r>
          </w:p>
        </w:tc>
        <w:tc>
          <w:tcPr>
            <w:tcW w:w="1276" w:type="dxa"/>
            <w:noWrap/>
            <w:hideMark/>
          </w:tcPr>
          <w:p w:rsidR="005C1E1D" w:rsidRPr="005C1E1D" w:rsidRDefault="005C1E1D" w:rsidP="005C1E1D">
            <w:pPr>
              <w:spacing w:after="0"/>
              <w:jc w:val="center"/>
              <w:rPr>
                <w:szCs w:val="17"/>
              </w:rPr>
            </w:pPr>
            <w:r w:rsidRPr="005C1E1D">
              <w:rPr>
                <w:szCs w:val="17"/>
              </w:rPr>
              <w:t>$4.00</w:t>
            </w:r>
          </w:p>
        </w:tc>
        <w:tc>
          <w:tcPr>
            <w:tcW w:w="1276" w:type="dxa"/>
            <w:noWrap/>
            <w:hideMark/>
          </w:tcPr>
          <w:p w:rsidR="005C1E1D" w:rsidRPr="005C1E1D" w:rsidRDefault="005C1E1D" w:rsidP="005C1E1D">
            <w:pPr>
              <w:spacing w:after="0"/>
              <w:jc w:val="center"/>
              <w:rPr>
                <w:szCs w:val="17"/>
              </w:rPr>
            </w:pPr>
            <w:r w:rsidRPr="005C1E1D">
              <w:rPr>
                <w:szCs w:val="17"/>
              </w:rPr>
              <w:t>$4.00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Photocopying A4 &amp; A3 for SA Public Libraries - PLASA levy (staff operated) - Maximum of $5.00 per request</w:t>
            </w:r>
          </w:p>
        </w:tc>
        <w:tc>
          <w:tcPr>
            <w:tcW w:w="1276" w:type="dxa"/>
            <w:noWrap/>
            <w:hideMark/>
          </w:tcPr>
          <w:p w:rsidR="005C1E1D" w:rsidRPr="005C1E1D" w:rsidRDefault="005C1E1D" w:rsidP="005C1E1D">
            <w:pPr>
              <w:spacing w:after="0"/>
              <w:jc w:val="center"/>
              <w:rPr>
                <w:szCs w:val="17"/>
              </w:rPr>
            </w:pPr>
            <w:r w:rsidRPr="005C1E1D">
              <w:rPr>
                <w:szCs w:val="17"/>
              </w:rPr>
              <w:t>$0.30</w:t>
            </w:r>
          </w:p>
        </w:tc>
        <w:tc>
          <w:tcPr>
            <w:tcW w:w="1276" w:type="dxa"/>
            <w:noWrap/>
            <w:hideMark/>
          </w:tcPr>
          <w:p w:rsidR="005C1E1D" w:rsidRPr="005C1E1D" w:rsidRDefault="005C1E1D" w:rsidP="005C1E1D">
            <w:pPr>
              <w:spacing w:after="0"/>
              <w:jc w:val="center"/>
              <w:rPr>
                <w:szCs w:val="17"/>
              </w:rPr>
            </w:pPr>
            <w:r w:rsidRPr="005C1E1D">
              <w:rPr>
                <w:szCs w:val="17"/>
              </w:rPr>
              <w:t>$0.30</w:t>
            </w:r>
          </w:p>
        </w:tc>
        <w:tc>
          <w:tcPr>
            <w:tcW w:w="992" w:type="dxa"/>
            <w:noWrap/>
            <w:hideMark/>
          </w:tcPr>
          <w:p w:rsidR="005C1E1D" w:rsidRPr="005C1E1D" w:rsidRDefault="005C1E1D" w:rsidP="005C1E1D">
            <w:pPr>
              <w:spacing w:after="0"/>
              <w:jc w:val="center"/>
              <w:rPr>
                <w:szCs w:val="17"/>
              </w:rPr>
            </w:pPr>
            <w:r w:rsidRPr="005C1E1D">
              <w:rPr>
                <w:szCs w:val="17"/>
              </w:rPr>
              <w:t>1/7/97</w:t>
            </w:r>
          </w:p>
        </w:tc>
      </w:tr>
      <w:tr w:rsidR="005C1E1D" w:rsidRPr="005C1E1D" w:rsidTr="005C1E1D">
        <w:trPr>
          <w:trHeight w:val="20"/>
        </w:trPr>
        <w:tc>
          <w:tcPr>
            <w:tcW w:w="5812" w:type="dxa"/>
            <w:noWrap/>
            <w:hideMark/>
          </w:tcPr>
          <w:p w:rsidR="005C1E1D" w:rsidRPr="005C1E1D" w:rsidRDefault="005C1E1D" w:rsidP="005C1E1D">
            <w:pPr>
              <w:spacing w:before="120" w:after="0"/>
              <w:jc w:val="left"/>
              <w:rPr>
                <w:i/>
                <w:szCs w:val="17"/>
              </w:rPr>
            </w:pPr>
            <w:r w:rsidRPr="005C1E1D">
              <w:rPr>
                <w:i/>
                <w:szCs w:val="17"/>
              </w:rPr>
              <w:t>Interlibrary Loans to Australian Libraries</w:t>
            </w:r>
          </w:p>
        </w:tc>
        <w:tc>
          <w:tcPr>
            <w:tcW w:w="1276" w:type="dxa"/>
            <w:noWrap/>
            <w:hideMark/>
          </w:tcPr>
          <w:p w:rsidR="005C1E1D" w:rsidRPr="005C1E1D" w:rsidRDefault="005C1E1D" w:rsidP="005C1E1D">
            <w:pPr>
              <w:spacing w:after="0"/>
              <w:jc w:val="center"/>
              <w:rPr>
                <w:szCs w:val="17"/>
              </w:rPr>
            </w:pPr>
          </w:p>
        </w:tc>
        <w:tc>
          <w:tcPr>
            <w:tcW w:w="1276" w:type="dxa"/>
            <w:noWrap/>
            <w:hideMark/>
          </w:tcPr>
          <w:p w:rsidR="005C1E1D" w:rsidRPr="005C1E1D" w:rsidRDefault="005C1E1D" w:rsidP="005C1E1D">
            <w:pPr>
              <w:spacing w:after="0"/>
              <w:jc w:val="center"/>
              <w:rPr>
                <w:szCs w:val="17"/>
              </w:rPr>
            </w:pPr>
          </w:p>
        </w:tc>
        <w:tc>
          <w:tcPr>
            <w:tcW w:w="992" w:type="dxa"/>
            <w:noWrap/>
            <w:hideMark/>
          </w:tcPr>
          <w:p w:rsidR="005C1E1D" w:rsidRPr="005C1E1D" w:rsidRDefault="005C1E1D" w:rsidP="005C1E1D">
            <w:pPr>
              <w:spacing w:after="0"/>
              <w:jc w:val="center"/>
              <w:rPr>
                <w:szCs w:val="17"/>
              </w:rPr>
            </w:pP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Core - 4 working days</w:t>
            </w:r>
          </w:p>
        </w:tc>
        <w:tc>
          <w:tcPr>
            <w:tcW w:w="1276" w:type="dxa"/>
            <w:noWrap/>
            <w:hideMark/>
          </w:tcPr>
          <w:p w:rsidR="005C1E1D" w:rsidRPr="005C1E1D" w:rsidRDefault="005C1E1D" w:rsidP="005C1E1D">
            <w:pPr>
              <w:spacing w:after="0"/>
              <w:jc w:val="center"/>
              <w:rPr>
                <w:szCs w:val="17"/>
              </w:rPr>
            </w:pPr>
            <w:r w:rsidRPr="005C1E1D">
              <w:rPr>
                <w:szCs w:val="17"/>
              </w:rPr>
              <w:t>$16.50</w:t>
            </w:r>
          </w:p>
        </w:tc>
        <w:tc>
          <w:tcPr>
            <w:tcW w:w="1276" w:type="dxa"/>
            <w:noWrap/>
            <w:hideMark/>
          </w:tcPr>
          <w:p w:rsidR="005C1E1D" w:rsidRPr="005C1E1D" w:rsidRDefault="005C1E1D" w:rsidP="005C1E1D">
            <w:pPr>
              <w:spacing w:after="0"/>
              <w:jc w:val="center"/>
              <w:rPr>
                <w:szCs w:val="17"/>
              </w:rPr>
            </w:pPr>
            <w:r w:rsidRPr="005C1E1D">
              <w:rPr>
                <w:szCs w:val="17"/>
              </w:rPr>
              <w:t>$28.50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Rush - 24 Hours Mon to Fri</w:t>
            </w:r>
          </w:p>
        </w:tc>
        <w:tc>
          <w:tcPr>
            <w:tcW w:w="1276" w:type="dxa"/>
            <w:noWrap/>
            <w:hideMark/>
          </w:tcPr>
          <w:p w:rsidR="005C1E1D" w:rsidRPr="005C1E1D" w:rsidRDefault="005C1E1D" w:rsidP="005C1E1D">
            <w:pPr>
              <w:spacing w:after="0"/>
              <w:jc w:val="center"/>
              <w:rPr>
                <w:szCs w:val="17"/>
              </w:rPr>
            </w:pPr>
            <w:r w:rsidRPr="005C1E1D">
              <w:rPr>
                <w:szCs w:val="17"/>
              </w:rPr>
              <w:t>$33.00</w:t>
            </w:r>
          </w:p>
        </w:tc>
        <w:tc>
          <w:tcPr>
            <w:tcW w:w="1276" w:type="dxa"/>
            <w:noWrap/>
            <w:hideMark/>
          </w:tcPr>
          <w:p w:rsidR="005C1E1D" w:rsidRPr="005C1E1D" w:rsidRDefault="005C1E1D" w:rsidP="005C1E1D">
            <w:pPr>
              <w:spacing w:after="0"/>
              <w:jc w:val="center"/>
              <w:rPr>
                <w:szCs w:val="17"/>
              </w:rPr>
            </w:pPr>
            <w:r w:rsidRPr="005C1E1D">
              <w:rPr>
                <w:szCs w:val="17"/>
              </w:rPr>
              <w:t>$52.00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noWrap/>
            <w:hideMark/>
          </w:tcPr>
          <w:p w:rsidR="005C1E1D" w:rsidRPr="005C1E1D" w:rsidRDefault="005C1E1D" w:rsidP="005C1E1D">
            <w:pPr>
              <w:spacing w:after="0"/>
              <w:jc w:val="left"/>
              <w:rPr>
                <w:szCs w:val="17"/>
              </w:rPr>
            </w:pPr>
            <w:r w:rsidRPr="005C1E1D">
              <w:rPr>
                <w:szCs w:val="17"/>
              </w:rPr>
              <w:t>Express - 2 working hours Mon to Fri</w:t>
            </w:r>
          </w:p>
        </w:tc>
        <w:tc>
          <w:tcPr>
            <w:tcW w:w="1276" w:type="dxa"/>
            <w:noWrap/>
            <w:hideMark/>
          </w:tcPr>
          <w:p w:rsidR="005C1E1D" w:rsidRPr="005C1E1D" w:rsidRDefault="005C1E1D" w:rsidP="005C1E1D">
            <w:pPr>
              <w:spacing w:after="0"/>
              <w:jc w:val="center"/>
              <w:rPr>
                <w:szCs w:val="17"/>
              </w:rPr>
            </w:pPr>
            <w:r w:rsidRPr="005C1E1D">
              <w:rPr>
                <w:szCs w:val="17"/>
              </w:rPr>
              <w:t>$49.50</w:t>
            </w:r>
          </w:p>
        </w:tc>
        <w:tc>
          <w:tcPr>
            <w:tcW w:w="1276" w:type="dxa"/>
            <w:noWrap/>
            <w:hideMark/>
          </w:tcPr>
          <w:p w:rsidR="005C1E1D" w:rsidRPr="005C1E1D" w:rsidRDefault="005C1E1D" w:rsidP="005C1E1D">
            <w:pPr>
              <w:spacing w:after="0"/>
              <w:jc w:val="center"/>
              <w:rPr>
                <w:szCs w:val="17"/>
              </w:rPr>
            </w:pPr>
            <w:r w:rsidRPr="005C1E1D">
              <w:rPr>
                <w:szCs w:val="17"/>
              </w:rPr>
              <w:t>$70.50</w:t>
            </w:r>
          </w:p>
        </w:tc>
        <w:tc>
          <w:tcPr>
            <w:tcW w:w="992" w:type="dxa"/>
            <w:noWrap/>
            <w:hideMark/>
          </w:tcPr>
          <w:p w:rsidR="005C1E1D" w:rsidRPr="005C1E1D" w:rsidRDefault="005C1E1D" w:rsidP="005C1E1D">
            <w:pPr>
              <w:spacing w:after="0"/>
              <w:jc w:val="center"/>
              <w:rPr>
                <w:szCs w:val="17"/>
              </w:rPr>
            </w:pPr>
            <w:r w:rsidRPr="005C1E1D">
              <w:rPr>
                <w:szCs w:val="17"/>
              </w:rPr>
              <w:t>1/7/20</w:t>
            </w:r>
          </w:p>
        </w:tc>
      </w:tr>
      <w:tr w:rsidR="005C1E1D" w:rsidRPr="005C1E1D" w:rsidTr="005C1E1D">
        <w:trPr>
          <w:trHeight w:val="20"/>
        </w:trPr>
        <w:tc>
          <w:tcPr>
            <w:tcW w:w="5812" w:type="dxa"/>
            <w:tcBorders>
              <w:bottom w:val="single" w:sz="4" w:space="0" w:color="auto"/>
            </w:tcBorders>
            <w:noWrap/>
            <w:hideMark/>
          </w:tcPr>
          <w:p w:rsidR="005C1E1D" w:rsidRPr="005C1E1D" w:rsidRDefault="005C1E1D" w:rsidP="005C1E1D">
            <w:pPr>
              <w:jc w:val="left"/>
              <w:rPr>
                <w:szCs w:val="17"/>
              </w:rPr>
            </w:pPr>
            <w:r w:rsidRPr="005C1E1D">
              <w:rPr>
                <w:szCs w:val="17"/>
              </w:rPr>
              <w:t>Interlibrary Loans to Overseas Libraries</w:t>
            </w:r>
          </w:p>
        </w:tc>
        <w:tc>
          <w:tcPr>
            <w:tcW w:w="1276" w:type="dxa"/>
            <w:tcBorders>
              <w:bottom w:val="single" w:sz="4" w:space="0" w:color="auto"/>
            </w:tcBorders>
            <w:hideMark/>
          </w:tcPr>
          <w:p w:rsidR="005C1E1D" w:rsidRPr="005C1E1D" w:rsidRDefault="005C1E1D" w:rsidP="005C1E1D">
            <w:pPr>
              <w:jc w:val="center"/>
              <w:rPr>
                <w:szCs w:val="17"/>
              </w:rPr>
            </w:pPr>
            <w:r w:rsidRPr="005C1E1D">
              <w:rPr>
                <w:szCs w:val="17"/>
              </w:rPr>
              <w:t>Cost Recovery</w:t>
            </w:r>
          </w:p>
        </w:tc>
        <w:tc>
          <w:tcPr>
            <w:tcW w:w="1276" w:type="dxa"/>
            <w:tcBorders>
              <w:bottom w:val="single" w:sz="4" w:space="0" w:color="auto"/>
            </w:tcBorders>
            <w:hideMark/>
          </w:tcPr>
          <w:p w:rsidR="005C1E1D" w:rsidRPr="005C1E1D" w:rsidRDefault="005C1E1D" w:rsidP="005C1E1D">
            <w:pPr>
              <w:jc w:val="center"/>
              <w:rPr>
                <w:szCs w:val="17"/>
              </w:rPr>
            </w:pPr>
            <w:r w:rsidRPr="005C1E1D">
              <w:rPr>
                <w:szCs w:val="17"/>
              </w:rPr>
              <w:t>Cost Recovery</w:t>
            </w:r>
          </w:p>
        </w:tc>
        <w:tc>
          <w:tcPr>
            <w:tcW w:w="992" w:type="dxa"/>
            <w:tcBorders>
              <w:bottom w:val="single" w:sz="4" w:space="0" w:color="auto"/>
            </w:tcBorders>
            <w:noWrap/>
            <w:hideMark/>
          </w:tcPr>
          <w:p w:rsidR="005C1E1D" w:rsidRPr="005C1E1D" w:rsidRDefault="005C1E1D" w:rsidP="005C1E1D">
            <w:pPr>
              <w:jc w:val="center"/>
              <w:rPr>
                <w:szCs w:val="17"/>
              </w:rPr>
            </w:pPr>
            <w:r w:rsidRPr="005C1E1D">
              <w:rPr>
                <w:szCs w:val="17"/>
              </w:rPr>
              <w:t>1/7/05</w:t>
            </w:r>
          </w:p>
        </w:tc>
      </w:tr>
    </w:tbl>
    <w:p w:rsidR="005C1E1D" w:rsidRPr="005C1E1D" w:rsidRDefault="005C1E1D" w:rsidP="005C1E1D">
      <w:pPr>
        <w:spacing w:before="120" w:after="0"/>
        <w:ind w:left="482" w:hanging="482"/>
        <w:rPr>
          <w:rFonts w:eastAsia="Times New Roman"/>
          <w:szCs w:val="17"/>
        </w:rPr>
      </w:pPr>
      <w:r w:rsidRPr="005C1E1D">
        <w:rPr>
          <w:rFonts w:eastAsia="Times New Roman"/>
          <w:b/>
          <w:szCs w:val="17"/>
        </w:rPr>
        <w:t>Note</w:t>
      </w:r>
      <w:r w:rsidRPr="005C1E1D">
        <w:rPr>
          <w:rFonts w:eastAsia="Times New Roman"/>
          <w:szCs w:val="17"/>
        </w:rPr>
        <w:t>:</w:t>
      </w:r>
      <w:r w:rsidRPr="005C1E1D">
        <w:rPr>
          <w:rFonts w:eastAsia="Times New Roman"/>
          <w:szCs w:val="17"/>
        </w:rPr>
        <w:tab/>
        <w:t>In accordance with a GST Ruling received from the Australian Taxation Office, any supply made by the State Library, being a gift deductible entity, will be GST free where the revenue received recovers less than 75% of the cost of the service provided. Fees for services that include GST are denoted by an asterisk (*) next to the charge.</w:t>
      </w:r>
    </w:p>
    <w:p w:rsidR="005C1E1D" w:rsidRPr="005C1E1D" w:rsidRDefault="005C1E1D" w:rsidP="005C1E1D">
      <w:pPr>
        <w:spacing w:before="80" w:after="0"/>
        <w:rPr>
          <w:rFonts w:eastAsia="Times New Roman"/>
          <w:szCs w:val="17"/>
        </w:rPr>
      </w:pPr>
      <w:r w:rsidRPr="005C1E1D">
        <w:rPr>
          <w:rFonts w:eastAsia="Times New Roman"/>
          <w:szCs w:val="17"/>
        </w:rPr>
        <w:t>Dated: 23 July 2019</w:t>
      </w:r>
    </w:p>
    <w:p w:rsidR="005C1E1D" w:rsidRPr="005C1E1D" w:rsidRDefault="005C1E1D" w:rsidP="005C1E1D">
      <w:pPr>
        <w:spacing w:after="0"/>
        <w:jc w:val="right"/>
        <w:rPr>
          <w:rFonts w:eastAsia="Times New Roman"/>
          <w:smallCaps/>
          <w:szCs w:val="20"/>
        </w:rPr>
      </w:pPr>
      <w:r w:rsidRPr="005C1E1D">
        <w:rPr>
          <w:rFonts w:eastAsia="Times New Roman"/>
          <w:smallCaps/>
          <w:szCs w:val="20"/>
        </w:rPr>
        <w:t>Geoff Strempel</w:t>
      </w:r>
    </w:p>
    <w:p w:rsidR="005C1E1D" w:rsidRPr="005C1E1D" w:rsidRDefault="005C1E1D" w:rsidP="005C1E1D">
      <w:pPr>
        <w:spacing w:after="0"/>
        <w:jc w:val="right"/>
        <w:rPr>
          <w:rFonts w:eastAsia="Times New Roman"/>
          <w:szCs w:val="17"/>
        </w:rPr>
      </w:pPr>
      <w:r w:rsidRPr="005C1E1D">
        <w:rPr>
          <w:rFonts w:eastAsia="Times New Roman"/>
          <w:szCs w:val="17"/>
        </w:rPr>
        <w:t>Director</w:t>
      </w:r>
    </w:p>
    <w:p w:rsidR="005C1E1D" w:rsidRPr="005C1E1D" w:rsidRDefault="005C1E1D" w:rsidP="005C1E1D">
      <w:pPr>
        <w:spacing w:after="0"/>
        <w:jc w:val="right"/>
        <w:rPr>
          <w:rFonts w:eastAsia="Times New Roman"/>
          <w:szCs w:val="17"/>
        </w:rPr>
      </w:pPr>
      <w:r w:rsidRPr="005C1E1D">
        <w:rPr>
          <w:rFonts w:eastAsia="Times New Roman"/>
          <w:szCs w:val="17"/>
        </w:rPr>
        <w:t>State Library of South Australia</w:t>
      </w:r>
    </w:p>
    <w:p w:rsidR="005C1E1D" w:rsidRPr="005C1E1D" w:rsidRDefault="005C1E1D" w:rsidP="005C1E1D">
      <w:pPr>
        <w:pBdr>
          <w:bottom w:val="single" w:sz="4" w:space="1" w:color="auto"/>
        </w:pBdr>
        <w:spacing w:after="0" w:line="52" w:lineRule="exact"/>
        <w:jc w:val="center"/>
        <w:rPr>
          <w:rFonts w:eastAsia="Times New Roman"/>
          <w:szCs w:val="17"/>
        </w:rPr>
      </w:pPr>
    </w:p>
    <w:p w:rsidR="005C1E1D" w:rsidRPr="005C1E1D" w:rsidRDefault="005C1E1D" w:rsidP="005C1E1D">
      <w:pPr>
        <w:pBdr>
          <w:top w:val="single" w:sz="4" w:space="1" w:color="auto"/>
        </w:pBdr>
        <w:spacing w:before="34" w:after="0" w:line="14" w:lineRule="exact"/>
        <w:jc w:val="center"/>
        <w:rPr>
          <w:rFonts w:eastAsia="Times New Roman"/>
          <w:szCs w:val="17"/>
        </w:rPr>
      </w:pPr>
    </w:p>
    <w:p w:rsidR="005C1E1D" w:rsidRPr="005C1E1D" w:rsidRDefault="005C1E1D" w:rsidP="005C1E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701F87" w:rsidRPr="00701F87" w:rsidRDefault="001D31F5" w:rsidP="001D31F5">
      <w:pPr>
        <w:pStyle w:val="Heading2"/>
      </w:pPr>
      <w:bookmarkStart w:id="757" w:name="_Toc46398099"/>
      <w:r w:rsidRPr="00701F87">
        <w:t>Livestock Act 1997</w:t>
      </w:r>
      <w:bookmarkEnd w:id="757"/>
    </w:p>
    <w:p w:rsidR="00701F87" w:rsidRPr="00701F87" w:rsidRDefault="00701F87" w:rsidP="00701F87">
      <w:pPr>
        <w:jc w:val="center"/>
        <w:rPr>
          <w:smallCaps/>
          <w:szCs w:val="17"/>
        </w:rPr>
      </w:pPr>
      <w:r w:rsidRPr="00701F87">
        <w:rPr>
          <w:smallCaps/>
          <w:szCs w:val="17"/>
        </w:rPr>
        <w:t>Section 33</w:t>
      </w:r>
    </w:p>
    <w:p w:rsidR="00701F87" w:rsidRPr="00701F87" w:rsidRDefault="00701F87" w:rsidP="00701F87">
      <w:pPr>
        <w:jc w:val="center"/>
        <w:rPr>
          <w:i/>
          <w:szCs w:val="17"/>
        </w:rPr>
      </w:pPr>
      <w:r w:rsidRPr="00701F87">
        <w:rPr>
          <w:i/>
          <w:szCs w:val="17"/>
        </w:rPr>
        <w:t>Prohibition of Entry into and Movement within South Australia of Aquaculture Stock</w:t>
      </w:r>
    </w:p>
    <w:p w:rsidR="00701F87" w:rsidRPr="00701F87" w:rsidRDefault="00701F87" w:rsidP="00701F87">
      <w:pPr>
        <w:rPr>
          <w:rFonts w:eastAsia="Times New Roman"/>
          <w:szCs w:val="17"/>
        </w:rPr>
      </w:pPr>
      <w:r w:rsidRPr="00701F87">
        <w:rPr>
          <w:rFonts w:eastAsia="Times New Roman"/>
          <w:szCs w:val="17"/>
        </w:rPr>
        <w:t xml:space="preserve">PURSUANT to Section 87 of the </w:t>
      </w:r>
      <w:r w:rsidRPr="00701F87">
        <w:rPr>
          <w:rFonts w:eastAsia="Times New Roman"/>
          <w:i/>
          <w:szCs w:val="17"/>
        </w:rPr>
        <w:t>Livestock Act 1997</w:t>
      </w:r>
      <w:r w:rsidRPr="00701F87">
        <w:rPr>
          <w:rFonts w:eastAsia="Times New Roman"/>
          <w:szCs w:val="17"/>
        </w:rPr>
        <w:t xml:space="preserve">, I, Mary Ruth Carr, Chief Inspector of Stock, delegate of the Minister for Primary Industries and Regional Development, revoke the notice made by the Minister for Agriculture, Food and Fisheries pursuant to section 33 of the </w:t>
      </w:r>
      <w:r w:rsidRPr="00701F87">
        <w:rPr>
          <w:rFonts w:eastAsia="Times New Roman"/>
          <w:i/>
          <w:szCs w:val="17"/>
        </w:rPr>
        <w:t>Livestock Act 1997</w:t>
      </w:r>
      <w:r w:rsidRPr="00701F87">
        <w:rPr>
          <w:rFonts w:eastAsia="Times New Roman"/>
          <w:szCs w:val="17"/>
        </w:rPr>
        <w:t xml:space="preserve"> on 19 December 2013, published on 9 January 2014.</w:t>
      </w:r>
    </w:p>
    <w:p w:rsidR="00701F87" w:rsidRPr="00701F87" w:rsidRDefault="00701F87" w:rsidP="00701F87">
      <w:pPr>
        <w:rPr>
          <w:rFonts w:eastAsia="Times New Roman"/>
          <w:szCs w:val="17"/>
        </w:rPr>
      </w:pPr>
      <w:r w:rsidRPr="00701F87">
        <w:rPr>
          <w:rFonts w:eastAsia="Times New Roman"/>
          <w:szCs w:val="17"/>
        </w:rPr>
        <w:t>Pursuant to Section 33 of the Livestock Act 1997, and for the purposes of controlling or eradicating disease or contamination, I prohibit:</w:t>
      </w:r>
    </w:p>
    <w:p w:rsidR="00701F87" w:rsidRPr="00701F87" w:rsidRDefault="00701F87" w:rsidP="00701F87">
      <w:pPr>
        <w:ind w:left="284" w:hanging="284"/>
        <w:rPr>
          <w:rFonts w:eastAsia="Times New Roman"/>
          <w:szCs w:val="17"/>
        </w:rPr>
      </w:pPr>
      <w:r w:rsidRPr="00701F87">
        <w:rPr>
          <w:rFonts w:eastAsia="Times New Roman"/>
          <w:szCs w:val="17"/>
        </w:rPr>
        <w:t>(1)</w:t>
      </w:r>
      <w:r w:rsidRPr="00701F87">
        <w:rPr>
          <w:rFonts w:eastAsia="Times New Roman"/>
          <w:szCs w:val="17"/>
        </w:rPr>
        <w:tab/>
        <w:t>the movement of the aquaculture stock described in Part A of this notice, within the State or specified parts of the State, unless:</w:t>
      </w:r>
    </w:p>
    <w:p w:rsidR="00701F87" w:rsidRPr="00701F87" w:rsidRDefault="00701F87" w:rsidP="00701F87">
      <w:pPr>
        <w:ind w:left="567" w:hanging="283"/>
        <w:rPr>
          <w:rFonts w:eastAsia="Times New Roman"/>
          <w:szCs w:val="17"/>
        </w:rPr>
      </w:pPr>
      <w:r w:rsidRPr="00701F87">
        <w:rPr>
          <w:rFonts w:eastAsia="Times New Roman"/>
          <w:szCs w:val="17"/>
        </w:rPr>
        <w:t>(a)</w:t>
      </w:r>
      <w:r w:rsidRPr="00701F87">
        <w:rPr>
          <w:rFonts w:eastAsia="Times New Roman"/>
          <w:szCs w:val="17"/>
        </w:rPr>
        <w:tab/>
        <w:t>the movement of the aquaculture stock is undertaken in accordance with the conditions specified in Part A of this notice relating to the species of aquaculture stock; and</w:t>
      </w:r>
    </w:p>
    <w:p w:rsidR="00701F87" w:rsidRPr="00701F87" w:rsidRDefault="00701F87" w:rsidP="00701F87">
      <w:pPr>
        <w:ind w:left="567" w:hanging="283"/>
        <w:rPr>
          <w:rFonts w:eastAsia="Times New Roman"/>
          <w:szCs w:val="17"/>
        </w:rPr>
      </w:pPr>
      <w:r w:rsidRPr="00701F87">
        <w:rPr>
          <w:rFonts w:eastAsia="Times New Roman"/>
          <w:szCs w:val="17"/>
        </w:rPr>
        <w:t>(b)</w:t>
      </w:r>
      <w:r w:rsidRPr="00701F87">
        <w:rPr>
          <w:rFonts w:eastAsia="Times New Roman"/>
          <w:szCs w:val="17"/>
        </w:rPr>
        <w:tab/>
        <w:t>the aquaculture stock is accompanied by the documentation specified in Part C of this notice;</w:t>
      </w:r>
    </w:p>
    <w:p w:rsidR="00701F87" w:rsidRPr="00701F87" w:rsidRDefault="00701F87" w:rsidP="00701F87">
      <w:pPr>
        <w:ind w:left="284" w:hanging="284"/>
        <w:rPr>
          <w:rFonts w:eastAsia="Times New Roman"/>
          <w:szCs w:val="17"/>
        </w:rPr>
      </w:pPr>
      <w:r w:rsidRPr="00701F87">
        <w:rPr>
          <w:rFonts w:eastAsia="Times New Roman"/>
          <w:szCs w:val="17"/>
        </w:rPr>
        <w:t>(2)</w:t>
      </w:r>
      <w:r w:rsidRPr="00701F87">
        <w:rPr>
          <w:rFonts w:eastAsia="Times New Roman"/>
          <w:szCs w:val="17"/>
        </w:rPr>
        <w:tab/>
        <w:t>the entry of all aquaculture stock into the State unless:</w:t>
      </w:r>
    </w:p>
    <w:p w:rsidR="00701F87" w:rsidRPr="00701F87" w:rsidRDefault="00701F87" w:rsidP="00701F87">
      <w:pPr>
        <w:ind w:left="567" w:hanging="283"/>
        <w:rPr>
          <w:rFonts w:eastAsia="Times New Roman"/>
          <w:szCs w:val="17"/>
        </w:rPr>
      </w:pPr>
      <w:r w:rsidRPr="00701F87">
        <w:rPr>
          <w:rFonts w:eastAsia="Times New Roman"/>
          <w:szCs w:val="17"/>
        </w:rPr>
        <w:t>(a)</w:t>
      </w:r>
      <w:r w:rsidRPr="00701F87">
        <w:rPr>
          <w:rFonts w:eastAsia="Times New Roman"/>
          <w:szCs w:val="17"/>
        </w:rPr>
        <w:tab/>
        <w:t xml:space="preserve">the entry of the aquaculture stock into the State is undertaken in accordance with the conditions specified in Part B of this notice; and </w:t>
      </w:r>
    </w:p>
    <w:p w:rsidR="00701F87" w:rsidRPr="00701F87" w:rsidRDefault="00701F87" w:rsidP="00701F87">
      <w:pPr>
        <w:ind w:left="567" w:hanging="283"/>
        <w:rPr>
          <w:rFonts w:eastAsia="Times New Roman"/>
          <w:szCs w:val="17"/>
        </w:rPr>
      </w:pPr>
      <w:r w:rsidRPr="00701F87">
        <w:rPr>
          <w:rFonts w:eastAsia="Times New Roman"/>
          <w:szCs w:val="17"/>
        </w:rPr>
        <w:t>(b)</w:t>
      </w:r>
      <w:r w:rsidRPr="00701F87">
        <w:rPr>
          <w:rFonts w:eastAsia="Times New Roman"/>
          <w:szCs w:val="17"/>
        </w:rPr>
        <w:tab/>
        <w:t>the aquaculture stock is accompanied by the documentation specified in Part C of this notice.</w:t>
      </w:r>
    </w:p>
    <w:p w:rsidR="00701F87" w:rsidRPr="00701F87" w:rsidRDefault="00701F87" w:rsidP="00701F87">
      <w:pPr>
        <w:jc w:val="center"/>
        <w:rPr>
          <w:smallCaps/>
          <w:szCs w:val="17"/>
        </w:rPr>
      </w:pPr>
      <w:r w:rsidRPr="00701F87">
        <w:rPr>
          <w:smallCaps/>
          <w:szCs w:val="17"/>
        </w:rPr>
        <w:t>Part A—Movement of Aquaculture Stock Hatchery Reared or Taken in the State</w:t>
      </w:r>
    </w:p>
    <w:p w:rsidR="00701F87" w:rsidRPr="00701F87" w:rsidRDefault="00701F87" w:rsidP="00701F87">
      <w:pPr>
        <w:ind w:left="284" w:hanging="284"/>
        <w:rPr>
          <w:rFonts w:eastAsia="Times New Roman"/>
          <w:szCs w:val="17"/>
        </w:rPr>
      </w:pPr>
      <w:r w:rsidRPr="00701F87">
        <w:rPr>
          <w:rFonts w:eastAsia="Times New Roman"/>
          <w:szCs w:val="17"/>
        </w:rPr>
        <w:t>(1)</w:t>
      </w:r>
      <w:r w:rsidRPr="00701F87">
        <w:rPr>
          <w:rFonts w:eastAsia="Times New Roman"/>
          <w:szCs w:val="17"/>
        </w:rPr>
        <w:tab/>
        <w:t>Aquaculture stock comprised of abalone that have been hatchery reared in the State or taken from waters of the State must not enter a licence area, unless:</w:t>
      </w:r>
    </w:p>
    <w:p w:rsidR="00701F87" w:rsidRPr="00701F87" w:rsidRDefault="00701F87" w:rsidP="00701F87">
      <w:pPr>
        <w:ind w:left="567" w:hanging="283"/>
        <w:rPr>
          <w:rFonts w:eastAsia="Times New Roman"/>
          <w:szCs w:val="17"/>
        </w:rPr>
      </w:pPr>
      <w:r w:rsidRPr="00701F87">
        <w:rPr>
          <w:rFonts w:eastAsia="Times New Roman"/>
          <w:szCs w:val="17"/>
        </w:rPr>
        <w:t>(a)</w:t>
      </w:r>
      <w:r w:rsidRPr="00701F87">
        <w:rPr>
          <w:rFonts w:eastAsia="Times New Roman"/>
          <w:szCs w:val="17"/>
        </w:rPr>
        <w:tab/>
        <w:t>the abalone are moved directly from a licence area in which aquaculture is carried out by means of a semi-closed system to another licence area in which aquaculture is carried out by means of a semi-closed system; or</w:t>
      </w:r>
    </w:p>
    <w:p w:rsidR="00701F87" w:rsidRPr="00701F87" w:rsidRDefault="00701F87" w:rsidP="00701F87">
      <w:pPr>
        <w:ind w:left="567" w:hanging="283"/>
        <w:rPr>
          <w:rFonts w:eastAsia="Times New Roman"/>
          <w:szCs w:val="17"/>
        </w:rPr>
      </w:pPr>
      <w:r w:rsidRPr="00701F87">
        <w:rPr>
          <w:rFonts w:eastAsia="Times New Roman"/>
          <w:szCs w:val="17"/>
        </w:rPr>
        <w:t>(b)</w:t>
      </w:r>
      <w:r w:rsidRPr="00701F87">
        <w:rPr>
          <w:rFonts w:eastAsia="Times New Roman"/>
          <w:szCs w:val="17"/>
        </w:rPr>
        <w:tab/>
        <w:t>for a licence area that is wholly below the low water mark, if there is a population of wild abalone within an area surrounding the licence area and extending out 1 kilometre from the boundary of the licence area, the abalone are descendants of broodstock abalone collected from within that area surrounding the licence area; and</w:t>
      </w:r>
    </w:p>
    <w:p w:rsidR="00701F87" w:rsidRPr="00701F87" w:rsidRDefault="00701F87" w:rsidP="00701F87">
      <w:pPr>
        <w:ind w:left="567" w:hanging="283"/>
        <w:rPr>
          <w:rFonts w:eastAsia="Times New Roman"/>
          <w:szCs w:val="17"/>
        </w:rPr>
      </w:pPr>
      <w:r w:rsidRPr="00701F87">
        <w:rPr>
          <w:rFonts w:eastAsia="Times New Roman"/>
          <w:szCs w:val="17"/>
        </w:rPr>
        <w:t>(c)</w:t>
      </w:r>
      <w:r w:rsidRPr="00701F87">
        <w:rPr>
          <w:rFonts w:eastAsia="Times New Roman"/>
          <w:szCs w:val="17"/>
        </w:rPr>
        <w:tab/>
        <w:t>the prior written approval of the Chief Inspector of Stock has been obtained and all conditions of the approval are complied with; and</w:t>
      </w:r>
    </w:p>
    <w:p w:rsidR="00701F87" w:rsidRPr="00701F87" w:rsidRDefault="00701F87" w:rsidP="00701F87">
      <w:pPr>
        <w:ind w:left="567" w:hanging="283"/>
        <w:rPr>
          <w:rFonts w:eastAsia="Times New Roman"/>
          <w:szCs w:val="17"/>
        </w:rPr>
      </w:pPr>
      <w:r w:rsidRPr="00701F87">
        <w:rPr>
          <w:rFonts w:eastAsia="Times New Roman"/>
          <w:szCs w:val="17"/>
        </w:rPr>
        <w:t>(d)</w:t>
      </w:r>
      <w:r w:rsidRPr="00701F87">
        <w:rPr>
          <w:rFonts w:eastAsia="Times New Roman"/>
          <w:szCs w:val="17"/>
        </w:rPr>
        <w:tab/>
        <w:t>all requirements in the Translocation Protocol relating to the movement of abalone are complied with.</w:t>
      </w:r>
    </w:p>
    <w:p w:rsidR="00701F87" w:rsidRPr="00701F87" w:rsidRDefault="00701F87" w:rsidP="00701F87">
      <w:pPr>
        <w:ind w:left="284" w:hanging="284"/>
        <w:rPr>
          <w:rFonts w:eastAsia="Times New Roman"/>
          <w:szCs w:val="17"/>
        </w:rPr>
      </w:pPr>
      <w:r w:rsidRPr="00701F87">
        <w:rPr>
          <w:rFonts w:eastAsia="Times New Roman"/>
          <w:szCs w:val="17"/>
        </w:rPr>
        <w:t>(2)</w:t>
      </w:r>
      <w:r w:rsidRPr="00701F87">
        <w:rPr>
          <w:rFonts w:eastAsia="Times New Roman"/>
          <w:szCs w:val="17"/>
        </w:rPr>
        <w:tab/>
        <w:t>Aquaculture stock comprised of protected finfish, or native freshwater finfish, that have been hatchery reared in the State must not enter a licence area that is in a flood plain or in which aquaculture is carried on by means of a semi-closed or semi-open system unless:</w:t>
      </w:r>
    </w:p>
    <w:p w:rsidR="00701F87" w:rsidRPr="00701F87" w:rsidRDefault="00701F87" w:rsidP="00701F87">
      <w:pPr>
        <w:ind w:left="567" w:hanging="283"/>
        <w:rPr>
          <w:rFonts w:eastAsia="Times New Roman"/>
          <w:szCs w:val="17"/>
        </w:rPr>
      </w:pPr>
      <w:r w:rsidRPr="00701F87">
        <w:rPr>
          <w:rFonts w:eastAsia="Times New Roman"/>
          <w:szCs w:val="17"/>
        </w:rPr>
        <w:t>(a)</w:t>
      </w:r>
      <w:r w:rsidRPr="00701F87">
        <w:rPr>
          <w:rFonts w:eastAsia="Times New Roman"/>
          <w:szCs w:val="17"/>
        </w:rPr>
        <w:tab/>
        <w:t>the finfish are the descendants of broodstock from the water catchment areas for the licence area;</w:t>
      </w:r>
    </w:p>
    <w:p w:rsidR="00701F87" w:rsidRPr="00701F87" w:rsidRDefault="00701F87" w:rsidP="00701F87">
      <w:pPr>
        <w:ind w:left="567" w:hanging="283"/>
        <w:rPr>
          <w:rFonts w:eastAsia="Times New Roman"/>
          <w:szCs w:val="17"/>
        </w:rPr>
      </w:pPr>
      <w:r w:rsidRPr="00701F87">
        <w:rPr>
          <w:rFonts w:eastAsia="Times New Roman"/>
          <w:szCs w:val="17"/>
        </w:rPr>
        <w:t>(b)</w:t>
      </w:r>
      <w:r w:rsidRPr="00701F87">
        <w:rPr>
          <w:rFonts w:eastAsia="Times New Roman"/>
          <w:szCs w:val="17"/>
        </w:rPr>
        <w:tab/>
        <w:t>the Chief Inspector of Stock has been given at least 2 days written notice of the proposed entry of the finfish; and</w:t>
      </w:r>
    </w:p>
    <w:p w:rsidR="004E0218" w:rsidRDefault="004E0218">
      <w:pPr>
        <w:spacing w:after="0" w:line="240" w:lineRule="auto"/>
        <w:jc w:val="left"/>
        <w:rPr>
          <w:rFonts w:eastAsia="Times New Roman"/>
          <w:szCs w:val="17"/>
        </w:rPr>
      </w:pPr>
      <w:r>
        <w:rPr>
          <w:rFonts w:eastAsia="Times New Roman"/>
          <w:szCs w:val="17"/>
        </w:rPr>
        <w:br w:type="page"/>
      </w:r>
    </w:p>
    <w:p w:rsidR="00701F87" w:rsidRPr="00701F87" w:rsidRDefault="00701F87" w:rsidP="00701F87">
      <w:pPr>
        <w:ind w:left="567" w:hanging="283"/>
        <w:rPr>
          <w:rFonts w:eastAsia="Times New Roman"/>
          <w:szCs w:val="17"/>
        </w:rPr>
      </w:pPr>
      <w:r w:rsidRPr="00701F87">
        <w:rPr>
          <w:rFonts w:eastAsia="Times New Roman"/>
          <w:szCs w:val="17"/>
        </w:rPr>
        <w:t>(c)</w:t>
      </w:r>
      <w:r w:rsidRPr="00701F87">
        <w:rPr>
          <w:rFonts w:eastAsia="Times New Roman"/>
          <w:szCs w:val="17"/>
        </w:rPr>
        <w:tab/>
        <w:t>in the case of a licence area in the Murray­Darling basin – the aquaculture stock are Murray-Darling species and strains of native freshwater finfish; or</w:t>
      </w:r>
    </w:p>
    <w:p w:rsidR="00701F87" w:rsidRPr="00701F87" w:rsidRDefault="00701F87" w:rsidP="00701F87">
      <w:pPr>
        <w:ind w:left="567" w:hanging="283"/>
        <w:rPr>
          <w:rFonts w:eastAsia="Times New Roman"/>
          <w:szCs w:val="17"/>
        </w:rPr>
      </w:pPr>
      <w:r w:rsidRPr="00701F87">
        <w:rPr>
          <w:rFonts w:eastAsia="Times New Roman"/>
          <w:szCs w:val="17"/>
        </w:rPr>
        <w:t>(d)</w:t>
      </w:r>
      <w:r w:rsidRPr="00701F87">
        <w:rPr>
          <w:rFonts w:eastAsia="Times New Roman"/>
          <w:szCs w:val="17"/>
        </w:rPr>
        <w:tab/>
        <w:t>in the case of a licence area in the Lake Eyre Agreement Area - the aquaculture stock are Cooper Creek species and strains of native freshwater finfish.</w:t>
      </w:r>
    </w:p>
    <w:p w:rsidR="00701F87" w:rsidRPr="00701F87" w:rsidRDefault="00701F87" w:rsidP="00701F87">
      <w:pPr>
        <w:ind w:left="284" w:hanging="284"/>
        <w:rPr>
          <w:rFonts w:eastAsia="Times New Roman"/>
          <w:szCs w:val="17"/>
        </w:rPr>
      </w:pPr>
      <w:r w:rsidRPr="00701F87">
        <w:rPr>
          <w:rFonts w:eastAsia="Times New Roman"/>
          <w:szCs w:val="17"/>
        </w:rPr>
        <w:t>(3)</w:t>
      </w:r>
      <w:r w:rsidRPr="00701F87">
        <w:rPr>
          <w:rFonts w:eastAsia="Times New Roman"/>
          <w:szCs w:val="17"/>
        </w:rPr>
        <w:tab/>
        <w:t>Aquaculture stock comprised of protected finfish, or native freshwater finfish, that have been taken from the waters of the State (and not hatchery reared) must not enter a licence area that is in a flood plain or in which aquaculture is carried on by means of a semi-closed or semi-open system unless:</w:t>
      </w:r>
    </w:p>
    <w:p w:rsidR="00701F87" w:rsidRPr="00701F87" w:rsidRDefault="00701F87" w:rsidP="00701F87">
      <w:pPr>
        <w:ind w:left="567" w:hanging="283"/>
        <w:rPr>
          <w:rFonts w:eastAsia="Times New Roman"/>
          <w:szCs w:val="17"/>
        </w:rPr>
      </w:pPr>
      <w:r w:rsidRPr="00701F87">
        <w:rPr>
          <w:rFonts w:eastAsia="Times New Roman"/>
          <w:szCs w:val="17"/>
        </w:rPr>
        <w:t>(a)</w:t>
      </w:r>
      <w:r w:rsidRPr="00701F87">
        <w:rPr>
          <w:rFonts w:eastAsia="Times New Roman"/>
          <w:szCs w:val="17"/>
        </w:rPr>
        <w:tab/>
        <w:t>the prior written approval of the Chief Inspector of Stock has been obtained and all conditions of the approval are complied with; and</w:t>
      </w:r>
    </w:p>
    <w:p w:rsidR="00701F87" w:rsidRPr="00701F87" w:rsidRDefault="00701F87" w:rsidP="00701F87">
      <w:pPr>
        <w:ind w:left="567" w:hanging="283"/>
        <w:rPr>
          <w:rFonts w:eastAsia="Times New Roman"/>
          <w:szCs w:val="17"/>
        </w:rPr>
      </w:pPr>
      <w:r w:rsidRPr="00701F87">
        <w:rPr>
          <w:rFonts w:eastAsia="Times New Roman"/>
          <w:szCs w:val="17"/>
        </w:rPr>
        <w:t>(b)</w:t>
      </w:r>
      <w:r w:rsidRPr="00701F87">
        <w:rPr>
          <w:rFonts w:eastAsia="Times New Roman"/>
          <w:szCs w:val="17"/>
        </w:rPr>
        <w:tab/>
        <w:t>all requirements in the Translocation Protocol relating to the movement of protected finfish, or native freshwater finfish are complied with.</w:t>
      </w:r>
    </w:p>
    <w:p w:rsidR="00701F87" w:rsidRPr="00701F87" w:rsidRDefault="00701F87" w:rsidP="00701F87">
      <w:pPr>
        <w:ind w:left="284" w:hanging="284"/>
        <w:rPr>
          <w:rFonts w:eastAsia="Times New Roman"/>
          <w:szCs w:val="17"/>
        </w:rPr>
      </w:pPr>
      <w:r w:rsidRPr="00701F87">
        <w:rPr>
          <w:rFonts w:eastAsia="Times New Roman"/>
          <w:szCs w:val="17"/>
        </w:rPr>
        <w:t>(4)</w:t>
      </w:r>
      <w:r w:rsidRPr="00701F87">
        <w:rPr>
          <w:rFonts w:eastAsia="Times New Roman"/>
          <w:szCs w:val="17"/>
        </w:rPr>
        <w:tab/>
        <w:t>Aquaculture stock comprised of prescribed marine or freshwater finfish, salmonids, or exotic finfish, that have been hatchery reared in the State or taken from the waters of the State, must not enter a licence area in which aquaculture is carried out by means of a semi-closed or semi-open system unless:</w:t>
      </w:r>
    </w:p>
    <w:p w:rsidR="00701F87" w:rsidRPr="00701F87" w:rsidRDefault="00701F87" w:rsidP="00701F87">
      <w:pPr>
        <w:ind w:left="567" w:hanging="283"/>
        <w:rPr>
          <w:rFonts w:eastAsia="Times New Roman"/>
          <w:szCs w:val="17"/>
        </w:rPr>
      </w:pPr>
      <w:r w:rsidRPr="00701F87">
        <w:rPr>
          <w:rFonts w:eastAsia="Times New Roman"/>
          <w:szCs w:val="17"/>
        </w:rPr>
        <w:t>(a)</w:t>
      </w:r>
      <w:r w:rsidRPr="00701F87">
        <w:rPr>
          <w:rFonts w:eastAsia="Times New Roman"/>
          <w:szCs w:val="17"/>
        </w:rPr>
        <w:tab/>
        <w:t>the prior written approval of the Chief Inspector of Stock has been obtained and all conditions of the approval are complied with; and</w:t>
      </w:r>
    </w:p>
    <w:p w:rsidR="00701F87" w:rsidRPr="00701F87" w:rsidRDefault="00701F87" w:rsidP="00701F87">
      <w:pPr>
        <w:ind w:left="567" w:hanging="283"/>
        <w:rPr>
          <w:rFonts w:eastAsia="Times New Roman"/>
          <w:szCs w:val="17"/>
        </w:rPr>
      </w:pPr>
      <w:r w:rsidRPr="00701F87">
        <w:rPr>
          <w:rFonts w:eastAsia="Times New Roman"/>
          <w:szCs w:val="17"/>
        </w:rPr>
        <w:t>(b)</w:t>
      </w:r>
      <w:r w:rsidRPr="00701F87">
        <w:rPr>
          <w:rFonts w:eastAsia="Times New Roman"/>
          <w:szCs w:val="17"/>
        </w:rPr>
        <w:tab/>
        <w:t>all requirements in the Translocation Protocol relating to the movement of prescribed marine or freshwater finfish, salmonids, or exotic finfish are complied with.</w:t>
      </w:r>
    </w:p>
    <w:p w:rsidR="00701F87" w:rsidRPr="00701F87" w:rsidRDefault="00701F87" w:rsidP="00701F87">
      <w:pPr>
        <w:jc w:val="center"/>
        <w:rPr>
          <w:smallCaps/>
          <w:szCs w:val="17"/>
        </w:rPr>
      </w:pPr>
      <w:r w:rsidRPr="00701F87">
        <w:rPr>
          <w:smallCaps/>
          <w:szCs w:val="17"/>
        </w:rPr>
        <w:t>Part B—Entry of Aquaculture into the State</w:t>
      </w:r>
    </w:p>
    <w:p w:rsidR="00701F87" w:rsidRPr="00701F87" w:rsidRDefault="00701F87" w:rsidP="00701F87">
      <w:pPr>
        <w:ind w:left="284" w:hanging="284"/>
        <w:rPr>
          <w:rFonts w:eastAsia="Times New Roman"/>
          <w:szCs w:val="17"/>
        </w:rPr>
      </w:pPr>
      <w:r w:rsidRPr="00701F87">
        <w:rPr>
          <w:rFonts w:eastAsia="Times New Roman"/>
          <w:szCs w:val="17"/>
        </w:rPr>
        <w:t>(1)</w:t>
      </w:r>
      <w:r w:rsidRPr="00701F87">
        <w:rPr>
          <w:rFonts w:eastAsia="Times New Roman"/>
          <w:szCs w:val="17"/>
        </w:rPr>
        <w:tab/>
        <w:t>Aquaculture stock that has been hatchery reared outside of the State or taken in waters other than waters of the State must not enter the State unless:</w:t>
      </w:r>
    </w:p>
    <w:p w:rsidR="00701F87" w:rsidRPr="00701F87" w:rsidRDefault="00701F87" w:rsidP="00701F87">
      <w:pPr>
        <w:ind w:left="567" w:hanging="283"/>
        <w:rPr>
          <w:rFonts w:eastAsia="Times New Roman"/>
          <w:szCs w:val="17"/>
        </w:rPr>
      </w:pPr>
      <w:r w:rsidRPr="00701F87">
        <w:rPr>
          <w:rFonts w:eastAsia="Times New Roman"/>
          <w:szCs w:val="17"/>
        </w:rPr>
        <w:t>(a)</w:t>
      </w:r>
      <w:r w:rsidRPr="00701F87">
        <w:rPr>
          <w:rFonts w:eastAsia="Times New Roman"/>
          <w:szCs w:val="17"/>
        </w:rPr>
        <w:tab/>
        <w:t>the aquaculture stock is supplied by a designated aquaculture supplier;</w:t>
      </w:r>
    </w:p>
    <w:p w:rsidR="00701F87" w:rsidRPr="00701F87" w:rsidRDefault="00701F87" w:rsidP="00701F87">
      <w:pPr>
        <w:ind w:left="567" w:hanging="283"/>
        <w:rPr>
          <w:rFonts w:eastAsia="Times New Roman"/>
          <w:szCs w:val="17"/>
        </w:rPr>
      </w:pPr>
      <w:r w:rsidRPr="00701F87">
        <w:rPr>
          <w:rFonts w:eastAsia="Times New Roman"/>
          <w:szCs w:val="17"/>
        </w:rPr>
        <w:t>(b)</w:t>
      </w:r>
      <w:r w:rsidRPr="00701F87">
        <w:rPr>
          <w:rFonts w:eastAsia="Times New Roman"/>
          <w:szCs w:val="17"/>
        </w:rPr>
        <w:tab/>
        <w:t>the prior written approval of the Chief Inspector of Stock has been obtained and all conditions of the approval are complied with; and;</w:t>
      </w:r>
    </w:p>
    <w:p w:rsidR="00701F87" w:rsidRPr="00701F87" w:rsidRDefault="00701F87" w:rsidP="00701F87">
      <w:pPr>
        <w:ind w:left="567" w:hanging="283"/>
        <w:rPr>
          <w:rFonts w:eastAsia="Times New Roman"/>
          <w:szCs w:val="17"/>
        </w:rPr>
      </w:pPr>
      <w:r w:rsidRPr="00701F87">
        <w:rPr>
          <w:rFonts w:eastAsia="Times New Roman"/>
          <w:szCs w:val="17"/>
        </w:rPr>
        <w:t>(c)</w:t>
      </w:r>
      <w:r w:rsidRPr="00701F87">
        <w:rPr>
          <w:rFonts w:eastAsia="Times New Roman"/>
          <w:szCs w:val="17"/>
        </w:rPr>
        <w:tab/>
        <w:t>all requirements in the Translocation Protocol relating to the entry of the species of aquaculture stock into the State are complied with.</w:t>
      </w:r>
    </w:p>
    <w:p w:rsidR="00701F87" w:rsidRPr="00701F87" w:rsidRDefault="00701F87" w:rsidP="00701F87">
      <w:pPr>
        <w:ind w:left="284" w:hanging="284"/>
        <w:rPr>
          <w:rFonts w:eastAsia="Times New Roman"/>
          <w:szCs w:val="17"/>
        </w:rPr>
      </w:pPr>
      <w:r w:rsidRPr="00701F87">
        <w:rPr>
          <w:rFonts w:eastAsia="Times New Roman"/>
          <w:szCs w:val="17"/>
        </w:rPr>
        <w:t>(2)</w:t>
      </w:r>
      <w:r w:rsidRPr="00701F87">
        <w:rPr>
          <w:rFonts w:eastAsia="Times New Roman"/>
          <w:szCs w:val="17"/>
        </w:rPr>
        <w:tab/>
        <w:t>Aquaculture stock that have been taken from the State and moved out of the State, may not re-enter the State unless:</w:t>
      </w:r>
    </w:p>
    <w:p w:rsidR="00701F87" w:rsidRPr="00701F87" w:rsidRDefault="00701F87" w:rsidP="00701F87">
      <w:pPr>
        <w:ind w:left="567" w:hanging="283"/>
        <w:rPr>
          <w:rFonts w:eastAsia="Times New Roman"/>
          <w:szCs w:val="17"/>
        </w:rPr>
      </w:pPr>
      <w:r w:rsidRPr="00701F87">
        <w:rPr>
          <w:rFonts w:eastAsia="Times New Roman"/>
          <w:szCs w:val="17"/>
        </w:rPr>
        <w:t>(a)</w:t>
      </w:r>
      <w:r w:rsidRPr="00701F87">
        <w:rPr>
          <w:rFonts w:eastAsia="Times New Roman"/>
          <w:szCs w:val="17"/>
        </w:rPr>
        <w:tab/>
        <w:t>the prior written approval of the Chief Inspector of Stock has been obtained and all conditions of the approval are complied with; and</w:t>
      </w:r>
    </w:p>
    <w:p w:rsidR="00701F87" w:rsidRPr="00701F87" w:rsidRDefault="00701F87" w:rsidP="00701F87">
      <w:pPr>
        <w:ind w:left="567" w:hanging="283"/>
        <w:rPr>
          <w:rFonts w:eastAsia="Times New Roman"/>
          <w:szCs w:val="17"/>
        </w:rPr>
      </w:pPr>
      <w:r w:rsidRPr="00701F87">
        <w:rPr>
          <w:rFonts w:eastAsia="Times New Roman"/>
          <w:szCs w:val="17"/>
        </w:rPr>
        <w:t>(b)</w:t>
      </w:r>
      <w:r w:rsidRPr="00701F87">
        <w:rPr>
          <w:rFonts w:eastAsia="Times New Roman"/>
          <w:szCs w:val="17"/>
        </w:rPr>
        <w:tab/>
        <w:t>all requirements in the Translocation Protocol relating to the entry of the species of aquaculture stock into the State are complied with.</w:t>
      </w:r>
    </w:p>
    <w:p w:rsidR="00701F87" w:rsidRPr="00701F87" w:rsidRDefault="00701F87" w:rsidP="00701F87">
      <w:pPr>
        <w:jc w:val="center"/>
        <w:rPr>
          <w:smallCaps/>
          <w:szCs w:val="17"/>
        </w:rPr>
      </w:pPr>
      <w:r w:rsidRPr="00701F87">
        <w:rPr>
          <w:smallCaps/>
          <w:szCs w:val="17"/>
        </w:rPr>
        <w:t>Part C—Documentation for Tracing Aquaculture Stock</w:t>
      </w:r>
    </w:p>
    <w:p w:rsidR="00701F87" w:rsidRPr="00701F87" w:rsidRDefault="00701F87" w:rsidP="00701F87">
      <w:pPr>
        <w:rPr>
          <w:rFonts w:eastAsia="Times New Roman"/>
          <w:szCs w:val="17"/>
        </w:rPr>
      </w:pPr>
      <w:r w:rsidRPr="00701F87">
        <w:rPr>
          <w:rFonts w:eastAsia="Times New Roman"/>
          <w:szCs w:val="17"/>
        </w:rPr>
        <w:t>All aquaculture stock permitted to enter into, or move within the State or a part of the State in accordance with Part A or Part B of this notice must be accompanied by documentation issued by the supplier of the aquaculture stock. The documentation must include the following information:</w:t>
      </w:r>
    </w:p>
    <w:p w:rsidR="00701F87" w:rsidRPr="00701F87" w:rsidRDefault="00701F87" w:rsidP="00701F87">
      <w:pPr>
        <w:ind w:left="567" w:hanging="283"/>
        <w:rPr>
          <w:rFonts w:eastAsia="Times New Roman"/>
          <w:szCs w:val="17"/>
        </w:rPr>
      </w:pPr>
      <w:r w:rsidRPr="00701F87">
        <w:rPr>
          <w:rFonts w:eastAsia="Times New Roman"/>
          <w:szCs w:val="17"/>
        </w:rPr>
        <w:t>(a)</w:t>
      </w:r>
      <w:r w:rsidRPr="00701F87">
        <w:rPr>
          <w:rFonts w:eastAsia="Times New Roman"/>
          <w:szCs w:val="17"/>
        </w:rPr>
        <w:tab/>
        <w:t>the name and address of the supplier of the aquaculture stock;</w:t>
      </w:r>
    </w:p>
    <w:p w:rsidR="00701F87" w:rsidRPr="00701F87" w:rsidRDefault="00701F87" w:rsidP="00701F87">
      <w:pPr>
        <w:ind w:left="567" w:hanging="283"/>
        <w:rPr>
          <w:rFonts w:eastAsia="Times New Roman"/>
          <w:szCs w:val="17"/>
        </w:rPr>
      </w:pPr>
      <w:r w:rsidRPr="00701F87">
        <w:rPr>
          <w:rFonts w:eastAsia="Times New Roman"/>
          <w:szCs w:val="17"/>
        </w:rPr>
        <w:t>(b)</w:t>
      </w:r>
      <w:r w:rsidRPr="00701F87">
        <w:rPr>
          <w:rFonts w:eastAsia="Times New Roman"/>
          <w:szCs w:val="17"/>
        </w:rPr>
        <w:tab/>
        <w:t>the species of aquaculture stock;</w:t>
      </w:r>
    </w:p>
    <w:p w:rsidR="00701F87" w:rsidRPr="00701F87" w:rsidRDefault="00701F87" w:rsidP="00701F87">
      <w:pPr>
        <w:ind w:left="567" w:hanging="283"/>
        <w:rPr>
          <w:rFonts w:eastAsia="Times New Roman"/>
          <w:szCs w:val="17"/>
        </w:rPr>
      </w:pPr>
      <w:r w:rsidRPr="00701F87">
        <w:rPr>
          <w:rFonts w:eastAsia="Times New Roman"/>
          <w:szCs w:val="17"/>
        </w:rPr>
        <w:t>(c)</w:t>
      </w:r>
      <w:r w:rsidRPr="00701F87">
        <w:rPr>
          <w:rFonts w:eastAsia="Times New Roman"/>
          <w:szCs w:val="17"/>
        </w:rPr>
        <w:tab/>
        <w:t>the number or biomass of the aquaculture stock;</w:t>
      </w:r>
    </w:p>
    <w:p w:rsidR="00701F87" w:rsidRPr="00701F87" w:rsidRDefault="00701F87" w:rsidP="00701F87">
      <w:pPr>
        <w:ind w:left="567" w:hanging="283"/>
        <w:rPr>
          <w:rFonts w:eastAsia="Times New Roman"/>
          <w:szCs w:val="17"/>
        </w:rPr>
      </w:pPr>
      <w:r w:rsidRPr="00701F87">
        <w:rPr>
          <w:rFonts w:eastAsia="Times New Roman"/>
          <w:szCs w:val="17"/>
        </w:rPr>
        <w:t>(d)</w:t>
      </w:r>
      <w:r w:rsidRPr="00701F87">
        <w:rPr>
          <w:rFonts w:eastAsia="Times New Roman"/>
          <w:szCs w:val="17"/>
        </w:rPr>
        <w:tab/>
        <w:t>the age or developmental stage of the aquaculture stock;</w:t>
      </w:r>
    </w:p>
    <w:p w:rsidR="00701F87" w:rsidRPr="00701F87" w:rsidRDefault="00701F87" w:rsidP="00701F87">
      <w:pPr>
        <w:ind w:left="567" w:hanging="283"/>
        <w:rPr>
          <w:rFonts w:eastAsia="Times New Roman"/>
          <w:szCs w:val="17"/>
        </w:rPr>
      </w:pPr>
      <w:r w:rsidRPr="00701F87">
        <w:rPr>
          <w:rFonts w:eastAsia="Times New Roman"/>
          <w:szCs w:val="17"/>
        </w:rPr>
        <w:t>(e)</w:t>
      </w:r>
      <w:r w:rsidRPr="00701F87">
        <w:rPr>
          <w:rFonts w:eastAsia="Times New Roman"/>
          <w:szCs w:val="17"/>
        </w:rPr>
        <w:tab/>
        <w:t>if the aquaculture stock have been hatchery reared – the last location at which the aquaculture stock were reared before consignment to the intended destination;</w:t>
      </w:r>
    </w:p>
    <w:p w:rsidR="00701F87" w:rsidRPr="00701F87" w:rsidRDefault="00701F87" w:rsidP="00701F87">
      <w:pPr>
        <w:ind w:left="567" w:hanging="283"/>
        <w:rPr>
          <w:rFonts w:eastAsia="Times New Roman"/>
          <w:szCs w:val="17"/>
        </w:rPr>
      </w:pPr>
      <w:r w:rsidRPr="00701F87">
        <w:rPr>
          <w:rFonts w:eastAsia="Times New Roman"/>
          <w:szCs w:val="17"/>
        </w:rPr>
        <w:t>(f)</w:t>
      </w:r>
      <w:r w:rsidRPr="00701F87">
        <w:rPr>
          <w:rFonts w:eastAsia="Times New Roman"/>
          <w:szCs w:val="17"/>
        </w:rPr>
        <w:tab/>
        <w:t>if the aquaculture stock have been taken from the wild - the location from which the aquaculture stock were taken and each location at which the aquaculture stock were reared or held before consignment to the intended destination; and</w:t>
      </w:r>
    </w:p>
    <w:p w:rsidR="00701F87" w:rsidRPr="00701F87" w:rsidRDefault="00701F87" w:rsidP="00701F87">
      <w:pPr>
        <w:ind w:left="567" w:hanging="283"/>
        <w:rPr>
          <w:rFonts w:eastAsia="Times New Roman"/>
          <w:szCs w:val="17"/>
        </w:rPr>
      </w:pPr>
      <w:r w:rsidRPr="00701F87">
        <w:rPr>
          <w:rFonts w:eastAsia="Times New Roman"/>
          <w:szCs w:val="17"/>
        </w:rPr>
        <w:t>(g)</w:t>
      </w:r>
      <w:r w:rsidRPr="00701F87">
        <w:rPr>
          <w:rFonts w:eastAsia="Times New Roman"/>
          <w:szCs w:val="17"/>
        </w:rPr>
        <w:tab/>
        <w:t>the intended destination of the aquaculture stock.</w:t>
      </w:r>
    </w:p>
    <w:p w:rsidR="00701F87" w:rsidRPr="00701F87" w:rsidRDefault="00701F87" w:rsidP="00701F87">
      <w:pPr>
        <w:rPr>
          <w:rFonts w:eastAsia="Times New Roman"/>
          <w:szCs w:val="17"/>
        </w:rPr>
      </w:pPr>
      <w:r w:rsidRPr="00701F87">
        <w:rPr>
          <w:rFonts w:eastAsia="Times New Roman"/>
          <w:szCs w:val="17"/>
        </w:rPr>
        <w:t>This Notice shall remain in force until amended or revoked by subsequent Notice.</w:t>
      </w:r>
    </w:p>
    <w:p w:rsidR="00701F87" w:rsidRPr="00701F87" w:rsidRDefault="00701F87" w:rsidP="00701F87">
      <w:pPr>
        <w:spacing w:after="0"/>
        <w:rPr>
          <w:rFonts w:eastAsia="Times New Roman"/>
          <w:szCs w:val="17"/>
        </w:rPr>
      </w:pPr>
      <w:r w:rsidRPr="00701F87">
        <w:rPr>
          <w:rFonts w:eastAsia="Times New Roman"/>
          <w:szCs w:val="17"/>
        </w:rPr>
        <w:t>Dated: 20 July 2020</w:t>
      </w:r>
    </w:p>
    <w:p w:rsidR="00701F87" w:rsidRPr="00701F87" w:rsidRDefault="00701F87" w:rsidP="00701F87">
      <w:pPr>
        <w:spacing w:after="0"/>
        <w:jc w:val="right"/>
        <w:rPr>
          <w:rFonts w:eastAsia="Times New Roman"/>
          <w:smallCaps/>
          <w:szCs w:val="17"/>
        </w:rPr>
      </w:pPr>
      <w:r w:rsidRPr="00701F87">
        <w:rPr>
          <w:rFonts w:eastAsia="Times New Roman"/>
          <w:smallCaps/>
          <w:szCs w:val="20"/>
        </w:rPr>
        <w:t>Mary Ruth Carr</w:t>
      </w:r>
    </w:p>
    <w:p w:rsidR="00701F87" w:rsidRPr="00701F87" w:rsidRDefault="00701F87" w:rsidP="00701F87">
      <w:pPr>
        <w:spacing w:after="0"/>
        <w:jc w:val="right"/>
        <w:rPr>
          <w:rFonts w:eastAsia="Times New Roman"/>
          <w:szCs w:val="17"/>
        </w:rPr>
      </w:pPr>
      <w:r w:rsidRPr="00701F87">
        <w:rPr>
          <w:rFonts w:eastAsia="Times New Roman"/>
          <w:szCs w:val="17"/>
        </w:rPr>
        <w:t>Chief Inspector of Stock</w:t>
      </w:r>
    </w:p>
    <w:p w:rsidR="00701F87" w:rsidRPr="00701F87" w:rsidRDefault="00701F87" w:rsidP="00701F87">
      <w:pPr>
        <w:spacing w:after="0"/>
        <w:jc w:val="right"/>
        <w:rPr>
          <w:rFonts w:eastAsia="Times New Roman"/>
          <w:szCs w:val="17"/>
        </w:rPr>
      </w:pPr>
      <w:r w:rsidRPr="00701F87">
        <w:rPr>
          <w:rFonts w:eastAsia="Times New Roman"/>
          <w:szCs w:val="17"/>
        </w:rPr>
        <w:t>Delegate of the Minister for Primary Industries and Regional Development</w:t>
      </w:r>
    </w:p>
    <w:p w:rsidR="00701F87" w:rsidRPr="00701F87" w:rsidRDefault="00701F87" w:rsidP="00701F87">
      <w:pPr>
        <w:pBdr>
          <w:top w:val="single" w:sz="4" w:space="1" w:color="auto"/>
        </w:pBdr>
        <w:spacing w:before="100" w:line="14" w:lineRule="exact"/>
        <w:ind w:left="1080" w:right="1080"/>
        <w:jc w:val="center"/>
        <w:rPr>
          <w:rFonts w:eastAsia="Times New Roman"/>
          <w:szCs w:val="17"/>
        </w:rPr>
      </w:pPr>
    </w:p>
    <w:p w:rsidR="00701F87" w:rsidRPr="00701F87" w:rsidRDefault="00701F87" w:rsidP="00701F87">
      <w:pPr>
        <w:rPr>
          <w:rFonts w:eastAsia="Times New Roman"/>
          <w:i/>
          <w:szCs w:val="17"/>
        </w:rPr>
      </w:pPr>
      <w:r w:rsidRPr="00701F87">
        <w:rPr>
          <w:rFonts w:eastAsia="Times New Roman"/>
          <w:i/>
          <w:szCs w:val="17"/>
        </w:rPr>
        <w:t>Definitions</w:t>
      </w:r>
    </w:p>
    <w:p w:rsidR="00701F87" w:rsidRPr="00701F87" w:rsidRDefault="00701F87" w:rsidP="00701F87">
      <w:pPr>
        <w:rPr>
          <w:rFonts w:eastAsia="Times New Roman"/>
          <w:szCs w:val="17"/>
        </w:rPr>
      </w:pPr>
      <w:r w:rsidRPr="00701F87">
        <w:rPr>
          <w:rFonts w:eastAsia="Times New Roman"/>
          <w:szCs w:val="17"/>
        </w:rPr>
        <w:t>In this notice:</w:t>
      </w:r>
    </w:p>
    <w:p w:rsidR="00701F87" w:rsidRPr="00701F87" w:rsidRDefault="00701F87" w:rsidP="00701F87">
      <w:pPr>
        <w:ind w:left="142"/>
        <w:rPr>
          <w:rFonts w:eastAsia="Times New Roman"/>
          <w:szCs w:val="17"/>
        </w:rPr>
      </w:pPr>
      <w:r w:rsidRPr="00701F87">
        <w:rPr>
          <w:rFonts w:eastAsia="Times New Roman"/>
          <w:szCs w:val="17"/>
        </w:rPr>
        <w:t>‘abalone’ means abalone (</w:t>
      </w:r>
      <w:r w:rsidRPr="00701F87">
        <w:rPr>
          <w:rFonts w:eastAsia="Times New Roman"/>
          <w:i/>
          <w:szCs w:val="17"/>
        </w:rPr>
        <w:t>Haliotis</w:t>
      </w:r>
      <w:r w:rsidRPr="00701F87">
        <w:rPr>
          <w:rFonts w:eastAsia="Times New Roman"/>
          <w:szCs w:val="17"/>
        </w:rPr>
        <w:t xml:space="preserve"> spp.) of all species;</w:t>
      </w:r>
    </w:p>
    <w:p w:rsidR="00701F87" w:rsidRPr="00701F87" w:rsidRDefault="00701F87" w:rsidP="00701F87">
      <w:pPr>
        <w:ind w:left="142"/>
        <w:rPr>
          <w:rFonts w:eastAsia="Times New Roman"/>
          <w:szCs w:val="17"/>
        </w:rPr>
      </w:pPr>
      <w:r w:rsidRPr="00701F87">
        <w:rPr>
          <w:rFonts w:eastAsia="Times New Roman"/>
          <w:szCs w:val="17"/>
        </w:rPr>
        <w:t>‘aquaculture’</w:t>
      </w:r>
      <w:r w:rsidRPr="00701F87">
        <w:rPr>
          <w:rFonts w:eastAsia="Times New Roman"/>
          <w:b/>
          <w:szCs w:val="17"/>
        </w:rPr>
        <w:t xml:space="preserve"> </w:t>
      </w:r>
      <w:r w:rsidRPr="00701F87">
        <w:rPr>
          <w:rFonts w:eastAsia="Times New Roman"/>
          <w:szCs w:val="17"/>
        </w:rPr>
        <w:t xml:space="preserve">has the same meaning as in the </w:t>
      </w:r>
      <w:r w:rsidRPr="00701F87">
        <w:rPr>
          <w:rFonts w:eastAsia="Times New Roman"/>
          <w:i/>
          <w:szCs w:val="17"/>
        </w:rPr>
        <w:t>Aquaculture Act 2001</w:t>
      </w:r>
      <w:r w:rsidRPr="00701F87">
        <w:rPr>
          <w:rFonts w:eastAsia="Times New Roman"/>
          <w:szCs w:val="17"/>
        </w:rPr>
        <w:t>;</w:t>
      </w:r>
    </w:p>
    <w:p w:rsidR="00701F87" w:rsidRPr="00701F87" w:rsidRDefault="00701F87" w:rsidP="00701F87">
      <w:pPr>
        <w:ind w:left="142"/>
        <w:rPr>
          <w:rFonts w:eastAsia="Times New Roman"/>
          <w:szCs w:val="17"/>
        </w:rPr>
      </w:pPr>
      <w:r w:rsidRPr="00701F87">
        <w:rPr>
          <w:rFonts w:eastAsia="Times New Roman"/>
          <w:szCs w:val="17"/>
        </w:rPr>
        <w:t>‘aquaculture’</w:t>
      </w:r>
      <w:r w:rsidRPr="00701F87">
        <w:rPr>
          <w:rFonts w:eastAsia="Times New Roman"/>
          <w:i/>
          <w:szCs w:val="17"/>
        </w:rPr>
        <w:t xml:space="preserve"> stock</w:t>
      </w:r>
      <w:r w:rsidRPr="00701F87">
        <w:rPr>
          <w:rFonts w:eastAsia="Times New Roman"/>
          <w:szCs w:val="17"/>
        </w:rPr>
        <w:t xml:space="preserve"> means livestock that are aquatic animals farmed or intended to be farmed pursuant to an aquaculture licence under the </w:t>
      </w:r>
      <w:r w:rsidRPr="00701F87">
        <w:rPr>
          <w:rFonts w:eastAsia="Times New Roman"/>
          <w:i/>
          <w:szCs w:val="17"/>
        </w:rPr>
        <w:t>Aquaculture Act 2001</w:t>
      </w:r>
      <w:r w:rsidRPr="00701F87">
        <w:rPr>
          <w:rFonts w:eastAsia="Times New Roman"/>
          <w:szCs w:val="17"/>
        </w:rPr>
        <w:t>;</w:t>
      </w:r>
    </w:p>
    <w:p w:rsidR="00701F87" w:rsidRPr="00701F87" w:rsidRDefault="00701F87" w:rsidP="00701F87">
      <w:pPr>
        <w:ind w:left="142"/>
        <w:rPr>
          <w:rFonts w:eastAsia="Times New Roman"/>
          <w:szCs w:val="17"/>
        </w:rPr>
      </w:pPr>
      <w:r w:rsidRPr="00701F87">
        <w:rPr>
          <w:rFonts w:eastAsia="Times New Roman"/>
          <w:szCs w:val="17"/>
        </w:rPr>
        <w:t xml:space="preserve">‘designated aquaculture supplier’ means any person who holds a current authority to engage in aquaculture issued under the law of another State or a Territory of the Commonwealth; </w:t>
      </w:r>
    </w:p>
    <w:p w:rsidR="00701F87" w:rsidRPr="00701F87" w:rsidRDefault="00701F87" w:rsidP="00701F87">
      <w:pPr>
        <w:ind w:left="142"/>
        <w:rPr>
          <w:rFonts w:eastAsia="Times New Roman"/>
          <w:szCs w:val="17"/>
        </w:rPr>
      </w:pPr>
      <w:r w:rsidRPr="00701F87">
        <w:rPr>
          <w:rFonts w:eastAsia="Times New Roman"/>
          <w:szCs w:val="17"/>
        </w:rPr>
        <w:t>‘exotic finfish’ means finfish that are not native to the waters of the State;</w:t>
      </w:r>
    </w:p>
    <w:p w:rsidR="00701F87" w:rsidRPr="00701F87" w:rsidRDefault="00701F87" w:rsidP="00701F87">
      <w:pPr>
        <w:ind w:left="142"/>
        <w:rPr>
          <w:rFonts w:eastAsia="Times New Roman"/>
          <w:szCs w:val="17"/>
        </w:rPr>
      </w:pPr>
      <w:r w:rsidRPr="00701F87">
        <w:rPr>
          <w:rFonts w:eastAsia="Times New Roman"/>
          <w:szCs w:val="17"/>
        </w:rPr>
        <w:t xml:space="preserve">‘finfish’ means all members of the classes </w:t>
      </w:r>
      <w:r w:rsidRPr="00701F87">
        <w:rPr>
          <w:rFonts w:eastAsia="Times New Roman"/>
          <w:i/>
          <w:szCs w:val="17"/>
        </w:rPr>
        <w:t>Myxini</w:t>
      </w:r>
      <w:r w:rsidRPr="00701F87">
        <w:rPr>
          <w:rFonts w:eastAsia="Times New Roman"/>
          <w:szCs w:val="17"/>
        </w:rPr>
        <w:t xml:space="preserve">, </w:t>
      </w:r>
      <w:r w:rsidRPr="00701F87">
        <w:rPr>
          <w:rFonts w:eastAsia="Times New Roman"/>
          <w:i/>
          <w:szCs w:val="17"/>
        </w:rPr>
        <w:t>Actinopterygii</w:t>
      </w:r>
      <w:r w:rsidRPr="00701F87">
        <w:rPr>
          <w:rFonts w:eastAsia="Times New Roman"/>
          <w:szCs w:val="17"/>
        </w:rPr>
        <w:t xml:space="preserve"> and </w:t>
      </w:r>
      <w:r w:rsidRPr="00701F87">
        <w:rPr>
          <w:rFonts w:eastAsia="Times New Roman"/>
          <w:i/>
          <w:szCs w:val="17"/>
        </w:rPr>
        <w:t>Elasmobranchii</w:t>
      </w:r>
      <w:r w:rsidRPr="00701F87">
        <w:rPr>
          <w:rFonts w:eastAsia="Times New Roman"/>
          <w:szCs w:val="17"/>
        </w:rPr>
        <w:t xml:space="preserve">; </w:t>
      </w:r>
    </w:p>
    <w:p w:rsidR="00701F87" w:rsidRPr="00701F87" w:rsidRDefault="00701F87" w:rsidP="00701F87">
      <w:pPr>
        <w:ind w:left="142"/>
        <w:rPr>
          <w:rFonts w:eastAsia="Times New Roman"/>
          <w:szCs w:val="17"/>
        </w:rPr>
      </w:pPr>
      <w:r w:rsidRPr="00701F87">
        <w:rPr>
          <w:rFonts w:eastAsia="Times New Roman"/>
          <w:szCs w:val="17"/>
        </w:rPr>
        <w:t xml:space="preserve">‘flood plain’ means the area known as the 1956 River Murray Flood Plain or a Flood Zone, Flood Plain or other zone or area identified as subject to flooding in a planning instrument under the </w:t>
      </w:r>
      <w:r w:rsidRPr="00701F87">
        <w:rPr>
          <w:rFonts w:eastAsia="Times New Roman"/>
          <w:i/>
          <w:szCs w:val="17"/>
        </w:rPr>
        <w:t>Planning, Development and Infrastructure Act 2016</w:t>
      </w:r>
      <w:r w:rsidRPr="00701F87">
        <w:rPr>
          <w:rFonts w:eastAsia="Times New Roman"/>
          <w:szCs w:val="17"/>
        </w:rPr>
        <w:t>;</w:t>
      </w:r>
    </w:p>
    <w:p w:rsidR="00701F87" w:rsidRPr="00701F87" w:rsidRDefault="00701F87" w:rsidP="00701F87">
      <w:pPr>
        <w:ind w:left="142"/>
        <w:rPr>
          <w:rFonts w:eastAsia="Times New Roman"/>
          <w:szCs w:val="17"/>
        </w:rPr>
      </w:pPr>
      <w:r w:rsidRPr="00701F87">
        <w:rPr>
          <w:rFonts w:eastAsia="Times New Roman"/>
          <w:szCs w:val="17"/>
        </w:rPr>
        <w:t>‘hatchery’</w:t>
      </w:r>
      <w:r w:rsidRPr="00701F87">
        <w:rPr>
          <w:rFonts w:eastAsia="Times New Roman"/>
          <w:b/>
          <w:szCs w:val="17"/>
        </w:rPr>
        <w:t xml:space="preserve"> </w:t>
      </w:r>
      <w:r w:rsidRPr="00701F87">
        <w:rPr>
          <w:rFonts w:eastAsia="Times New Roman"/>
          <w:szCs w:val="17"/>
        </w:rPr>
        <w:t xml:space="preserve">means a licenced aquaculture operation, or production area within a licenced aquaculture facility, which produces gametes or immature aquaculture stock; </w:t>
      </w:r>
    </w:p>
    <w:p w:rsidR="00701F87" w:rsidRPr="00701F87" w:rsidRDefault="00701F87" w:rsidP="00701F87">
      <w:pPr>
        <w:ind w:left="142"/>
        <w:rPr>
          <w:rFonts w:eastAsia="Times New Roman"/>
          <w:szCs w:val="17"/>
        </w:rPr>
      </w:pPr>
      <w:r w:rsidRPr="00701F87">
        <w:rPr>
          <w:rFonts w:eastAsia="Times New Roman"/>
          <w:szCs w:val="17"/>
        </w:rPr>
        <w:t>‘Lake Eyre Basin Agreement Area’ has the same meaning as in the Agreement in the</w:t>
      </w:r>
      <w:r w:rsidRPr="00701F87">
        <w:rPr>
          <w:rFonts w:eastAsia="Times New Roman"/>
          <w:i/>
          <w:szCs w:val="17"/>
        </w:rPr>
        <w:t xml:space="preserve"> Lake Eyre Basin (Intergovernmental Agreement) Act 2001</w:t>
      </w:r>
      <w:r w:rsidRPr="00701F87">
        <w:rPr>
          <w:rFonts w:eastAsia="Times New Roman"/>
          <w:szCs w:val="17"/>
        </w:rPr>
        <w:t>;</w:t>
      </w:r>
    </w:p>
    <w:p w:rsidR="00701F87" w:rsidRPr="00701F87" w:rsidRDefault="00701F87" w:rsidP="00701F87">
      <w:pPr>
        <w:ind w:left="142"/>
        <w:rPr>
          <w:rFonts w:eastAsia="Times New Roman"/>
          <w:szCs w:val="17"/>
        </w:rPr>
      </w:pPr>
      <w:r w:rsidRPr="00701F87">
        <w:rPr>
          <w:rFonts w:eastAsia="Times New Roman"/>
          <w:szCs w:val="17"/>
        </w:rPr>
        <w:t xml:space="preserve">‘licence area’ means the area of an aquaculture licence issued under the </w:t>
      </w:r>
      <w:r w:rsidRPr="00701F87">
        <w:rPr>
          <w:rFonts w:eastAsia="Times New Roman"/>
          <w:i/>
          <w:szCs w:val="17"/>
        </w:rPr>
        <w:t>Aquaculture Act 2001</w:t>
      </w:r>
      <w:r w:rsidRPr="00701F87">
        <w:rPr>
          <w:rFonts w:eastAsia="Times New Roman"/>
          <w:szCs w:val="17"/>
        </w:rPr>
        <w:t xml:space="preserve"> (as described on the public register kept under that Act);</w:t>
      </w:r>
    </w:p>
    <w:p w:rsidR="00701F87" w:rsidRPr="00701F87" w:rsidRDefault="00701F87" w:rsidP="00701F87">
      <w:pPr>
        <w:ind w:left="142"/>
        <w:rPr>
          <w:rFonts w:eastAsia="Times New Roman"/>
          <w:szCs w:val="17"/>
        </w:rPr>
      </w:pPr>
      <w:r w:rsidRPr="00701F87">
        <w:rPr>
          <w:rFonts w:eastAsia="Times New Roman"/>
          <w:szCs w:val="17"/>
        </w:rPr>
        <w:t xml:space="preserve">‘Murray-Darling basin’ has the same meaning as in the Agreement in the </w:t>
      </w:r>
      <w:r w:rsidRPr="00701F87">
        <w:rPr>
          <w:rFonts w:eastAsia="Times New Roman"/>
          <w:i/>
          <w:szCs w:val="17"/>
        </w:rPr>
        <w:t>Murray-Darling Basin Act 1993</w:t>
      </w:r>
      <w:r w:rsidRPr="00701F87">
        <w:rPr>
          <w:rFonts w:eastAsia="Times New Roman"/>
          <w:szCs w:val="17"/>
        </w:rPr>
        <w:t>;</w:t>
      </w:r>
    </w:p>
    <w:p w:rsidR="00701F87" w:rsidRPr="00701F87" w:rsidRDefault="00701F87" w:rsidP="00701F87">
      <w:pPr>
        <w:ind w:left="142"/>
        <w:rPr>
          <w:rFonts w:eastAsia="Times New Roman"/>
          <w:szCs w:val="17"/>
        </w:rPr>
      </w:pPr>
      <w:r w:rsidRPr="00701F87">
        <w:rPr>
          <w:rFonts w:eastAsia="Times New Roman"/>
          <w:szCs w:val="17"/>
        </w:rPr>
        <w:t>‘native freshwater finfish’</w:t>
      </w:r>
      <w:r w:rsidRPr="00701F87">
        <w:rPr>
          <w:rFonts w:eastAsia="Times New Roman"/>
          <w:b/>
          <w:szCs w:val="17"/>
        </w:rPr>
        <w:t xml:space="preserve"> </w:t>
      </w:r>
      <w:r w:rsidRPr="00701F87">
        <w:rPr>
          <w:rFonts w:eastAsia="Times New Roman"/>
          <w:szCs w:val="17"/>
        </w:rPr>
        <w:t>means freshwater finfish native to the waters of the State;</w:t>
      </w:r>
    </w:p>
    <w:p w:rsidR="00701F87" w:rsidRPr="00701F87" w:rsidRDefault="00701F87" w:rsidP="00701F87">
      <w:pPr>
        <w:spacing w:after="0"/>
        <w:ind w:left="284"/>
        <w:rPr>
          <w:rFonts w:eastAsia="Times New Roman"/>
          <w:szCs w:val="17"/>
        </w:rPr>
      </w:pPr>
      <w:r w:rsidRPr="00701F87">
        <w:rPr>
          <w:rFonts w:eastAsia="Times New Roman"/>
          <w:szCs w:val="17"/>
        </w:rPr>
        <w:t>Note-</w:t>
      </w:r>
    </w:p>
    <w:p w:rsidR="00701F87" w:rsidRPr="00701F87" w:rsidRDefault="00701F87" w:rsidP="00701F87">
      <w:pPr>
        <w:ind w:left="709"/>
        <w:rPr>
          <w:rFonts w:eastAsia="Times New Roman"/>
          <w:szCs w:val="17"/>
        </w:rPr>
      </w:pPr>
      <w:r w:rsidRPr="00701F87">
        <w:rPr>
          <w:rFonts w:eastAsia="Times New Roman"/>
          <w:szCs w:val="17"/>
        </w:rPr>
        <w:t xml:space="preserve">See Robinson, AC, Casperson KD and Hutchinson, MN, </w:t>
      </w:r>
      <w:r w:rsidRPr="00701F87">
        <w:rPr>
          <w:rFonts w:eastAsia="Times New Roman"/>
          <w:i/>
          <w:szCs w:val="17"/>
        </w:rPr>
        <w:t>A list of the Vertebrates of South Australia</w:t>
      </w:r>
      <w:r w:rsidRPr="00701F87">
        <w:rPr>
          <w:rFonts w:eastAsia="Times New Roman"/>
          <w:szCs w:val="17"/>
        </w:rPr>
        <w:t xml:space="preserve"> published by the Department for Environment and Heritage, South Australia (2000)</w:t>
      </w:r>
    </w:p>
    <w:p w:rsidR="00701F87" w:rsidRPr="00701F87" w:rsidRDefault="00701F87" w:rsidP="00701F87">
      <w:pPr>
        <w:ind w:left="142"/>
        <w:rPr>
          <w:rFonts w:eastAsia="Times New Roman"/>
          <w:szCs w:val="17"/>
        </w:rPr>
      </w:pPr>
      <w:r w:rsidRPr="00701F87">
        <w:rPr>
          <w:rFonts w:eastAsia="Times New Roman"/>
          <w:szCs w:val="17"/>
        </w:rPr>
        <w:t>‘prescribed marine or freshwater finfish’ means fish of any of the following species:</w:t>
      </w:r>
    </w:p>
    <w:p w:rsidR="00701F87" w:rsidRPr="00701F87" w:rsidRDefault="00701F87" w:rsidP="00701F87">
      <w:pPr>
        <w:ind w:left="284"/>
        <w:rPr>
          <w:rFonts w:eastAsia="Times New Roman"/>
          <w:szCs w:val="17"/>
        </w:rPr>
      </w:pPr>
      <w:r w:rsidRPr="00701F87">
        <w:rPr>
          <w:rFonts w:eastAsia="Times New Roman"/>
          <w:i/>
          <w:szCs w:val="17"/>
        </w:rPr>
        <w:t xml:space="preserve">Lates calcarifer </w:t>
      </w:r>
      <w:r w:rsidRPr="00701F87">
        <w:rPr>
          <w:rFonts w:eastAsia="Times New Roman"/>
          <w:szCs w:val="17"/>
        </w:rPr>
        <w:t>(barramundi)</w:t>
      </w:r>
    </w:p>
    <w:p w:rsidR="00701F87" w:rsidRPr="00701F87" w:rsidRDefault="00701F87" w:rsidP="00701F87">
      <w:pPr>
        <w:ind w:left="284"/>
        <w:rPr>
          <w:rFonts w:eastAsia="Times New Roman"/>
          <w:szCs w:val="17"/>
        </w:rPr>
      </w:pPr>
      <w:r w:rsidRPr="00701F87">
        <w:rPr>
          <w:rFonts w:eastAsia="Times New Roman"/>
          <w:i/>
          <w:szCs w:val="17"/>
        </w:rPr>
        <w:t>Macquaria colonorum</w:t>
      </w:r>
      <w:r w:rsidRPr="00701F87">
        <w:rPr>
          <w:rFonts w:eastAsia="Times New Roman"/>
          <w:szCs w:val="17"/>
        </w:rPr>
        <w:t xml:space="preserve"> (estuary perch)</w:t>
      </w:r>
    </w:p>
    <w:p w:rsidR="00701F87" w:rsidRPr="00701F87" w:rsidRDefault="00701F87" w:rsidP="00701F87">
      <w:pPr>
        <w:ind w:left="284"/>
        <w:rPr>
          <w:rFonts w:eastAsia="Times New Roman"/>
          <w:szCs w:val="17"/>
        </w:rPr>
      </w:pPr>
      <w:r w:rsidRPr="00701F87">
        <w:rPr>
          <w:rFonts w:eastAsia="Times New Roman"/>
          <w:i/>
          <w:szCs w:val="17"/>
        </w:rPr>
        <w:t>Macquaria novemaculeata</w:t>
      </w:r>
      <w:r w:rsidRPr="00701F87">
        <w:rPr>
          <w:rFonts w:eastAsia="Times New Roman"/>
          <w:szCs w:val="17"/>
        </w:rPr>
        <w:t xml:space="preserve"> (Australian bass) </w:t>
      </w:r>
    </w:p>
    <w:p w:rsidR="00701F87" w:rsidRPr="00701F87" w:rsidRDefault="00701F87" w:rsidP="00701F87">
      <w:pPr>
        <w:ind w:left="284"/>
        <w:rPr>
          <w:rFonts w:eastAsia="Times New Roman"/>
          <w:szCs w:val="17"/>
        </w:rPr>
      </w:pPr>
      <w:r w:rsidRPr="00701F87">
        <w:rPr>
          <w:rFonts w:eastAsia="Times New Roman"/>
          <w:i/>
          <w:szCs w:val="17"/>
        </w:rPr>
        <w:t>Oxye/eotris lineo/atus</w:t>
      </w:r>
      <w:r w:rsidRPr="00701F87">
        <w:rPr>
          <w:rFonts w:eastAsia="Times New Roman"/>
          <w:szCs w:val="17"/>
        </w:rPr>
        <w:t xml:space="preserve"> (sleepy cod)</w:t>
      </w:r>
    </w:p>
    <w:p w:rsidR="00701F87" w:rsidRPr="00701F87" w:rsidRDefault="00701F87" w:rsidP="00701F87">
      <w:pPr>
        <w:ind w:left="284"/>
        <w:rPr>
          <w:rFonts w:eastAsia="Times New Roman"/>
          <w:szCs w:val="17"/>
        </w:rPr>
      </w:pPr>
      <w:r w:rsidRPr="00701F87">
        <w:rPr>
          <w:rFonts w:eastAsia="Times New Roman"/>
          <w:i/>
          <w:szCs w:val="17"/>
        </w:rPr>
        <w:t>Tandanus tandanus</w:t>
      </w:r>
      <w:r w:rsidRPr="00701F87">
        <w:rPr>
          <w:rFonts w:eastAsia="Times New Roman"/>
          <w:szCs w:val="17"/>
        </w:rPr>
        <w:t xml:space="preserve"> (eel tailed catfish)</w:t>
      </w:r>
    </w:p>
    <w:p w:rsidR="00701F87" w:rsidRPr="00701F87" w:rsidRDefault="00701F87" w:rsidP="00701F87">
      <w:pPr>
        <w:ind w:left="142"/>
        <w:rPr>
          <w:rFonts w:eastAsia="Times New Roman"/>
          <w:szCs w:val="17"/>
        </w:rPr>
      </w:pPr>
      <w:r w:rsidRPr="00701F87">
        <w:rPr>
          <w:rFonts w:eastAsia="Times New Roman"/>
          <w:szCs w:val="17"/>
        </w:rPr>
        <w:t>or any other fish known to be susceptible to betanodovirus (viral encephalopathy and retinopathy);</w:t>
      </w:r>
    </w:p>
    <w:p w:rsidR="00701F87" w:rsidRPr="00701F87" w:rsidRDefault="00701F87" w:rsidP="00701F87">
      <w:pPr>
        <w:ind w:left="142"/>
        <w:rPr>
          <w:rFonts w:eastAsia="Times New Roman"/>
          <w:szCs w:val="17"/>
        </w:rPr>
      </w:pPr>
      <w:r w:rsidRPr="00701F87">
        <w:rPr>
          <w:rFonts w:eastAsia="Times New Roman"/>
          <w:szCs w:val="17"/>
        </w:rPr>
        <w:t>‘protected finfish’ means:</w:t>
      </w:r>
    </w:p>
    <w:p w:rsidR="00701F87" w:rsidRPr="00701F87" w:rsidRDefault="00701F87" w:rsidP="00701F87">
      <w:pPr>
        <w:ind w:left="567" w:hanging="283"/>
        <w:rPr>
          <w:rFonts w:eastAsia="Times New Roman"/>
          <w:szCs w:val="17"/>
        </w:rPr>
      </w:pPr>
      <w:r w:rsidRPr="00701F87">
        <w:rPr>
          <w:rFonts w:eastAsia="Times New Roman"/>
          <w:szCs w:val="17"/>
        </w:rPr>
        <w:t>(a)</w:t>
      </w:r>
      <w:r w:rsidRPr="00701F87">
        <w:rPr>
          <w:rFonts w:eastAsia="Times New Roman"/>
          <w:szCs w:val="17"/>
        </w:rPr>
        <w:tab/>
        <w:t xml:space="preserve">finfish that are a protected species under the </w:t>
      </w:r>
      <w:r w:rsidRPr="00701F87">
        <w:rPr>
          <w:rFonts w:eastAsia="Times New Roman"/>
          <w:i/>
          <w:szCs w:val="17"/>
        </w:rPr>
        <w:t>Fisheries Management Act 2007</w:t>
      </w:r>
      <w:r w:rsidRPr="00701F87">
        <w:rPr>
          <w:rFonts w:eastAsia="Times New Roman"/>
          <w:szCs w:val="17"/>
        </w:rPr>
        <w:t>;</w:t>
      </w:r>
    </w:p>
    <w:p w:rsidR="00701F87" w:rsidRPr="00701F87" w:rsidRDefault="00701F87" w:rsidP="00701F87">
      <w:pPr>
        <w:ind w:left="567" w:hanging="283"/>
        <w:rPr>
          <w:rFonts w:eastAsia="Times New Roman"/>
          <w:szCs w:val="17"/>
        </w:rPr>
      </w:pPr>
      <w:r w:rsidRPr="00701F87">
        <w:rPr>
          <w:rFonts w:eastAsia="Times New Roman"/>
          <w:szCs w:val="17"/>
        </w:rPr>
        <w:t>(b)</w:t>
      </w:r>
      <w:r w:rsidRPr="00701F87">
        <w:rPr>
          <w:rFonts w:eastAsia="Times New Roman"/>
          <w:szCs w:val="17"/>
        </w:rPr>
        <w:tab/>
        <w:t xml:space="preserve">finfish that are an endangered species or vulnerable species under the </w:t>
      </w:r>
      <w:r w:rsidRPr="00701F87">
        <w:rPr>
          <w:rFonts w:eastAsia="Times New Roman"/>
          <w:i/>
          <w:szCs w:val="17"/>
        </w:rPr>
        <w:t>National Parks and Wildlife Act 1972</w:t>
      </w:r>
      <w:r w:rsidRPr="00701F87">
        <w:rPr>
          <w:rFonts w:eastAsia="Times New Roman"/>
          <w:szCs w:val="17"/>
        </w:rPr>
        <w:t>;</w:t>
      </w:r>
    </w:p>
    <w:p w:rsidR="00701F87" w:rsidRPr="00701F87" w:rsidRDefault="00701F87" w:rsidP="00701F87">
      <w:pPr>
        <w:ind w:left="142"/>
        <w:rPr>
          <w:rFonts w:eastAsia="Times New Roman"/>
          <w:szCs w:val="17"/>
        </w:rPr>
      </w:pPr>
      <w:r w:rsidRPr="00701F87">
        <w:rPr>
          <w:rFonts w:eastAsia="Times New Roman"/>
          <w:szCs w:val="17"/>
        </w:rPr>
        <w:t>‘salmonids’</w:t>
      </w:r>
      <w:r w:rsidRPr="00701F87">
        <w:rPr>
          <w:rFonts w:eastAsia="Times New Roman"/>
          <w:i/>
          <w:szCs w:val="17"/>
        </w:rPr>
        <w:t xml:space="preserve"> </w:t>
      </w:r>
      <w:r w:rsidRPr="00701F87">
        <w:rPr>
          <w:rFonts w:eastAsia="Times New Roman"/>
          <w:szCs w:val="17"/>
        </w:rPr>
        <w:t>means all species within the family Salmonidae;</w:t>
      </w:r>
    </w:p>
    <w:p w:rsidR="00701F87" w:rsidRPr="00701F87" w:rsidRDefault="00701F87" w:rsidP="00701F87">
      <w:pPr>
        <w:ind w:left="142"/>
        <w:rPr>
          <w:rFonts w:eastAsia="Times New Roman"/>
          <w:szCs w:val="17"/>
        </w:rPr>
      </w:pPr>
      <w:r w:rsidRPr="00701F87">
        <w:rPr>
          <w:rFonts w:eastAsia="Times New Roman"/>
          <w:szCs w:val="17"/>
        </w:rPr>
        <w:t>‘semi-closed system’ means a system of aquaculture involving control of the movement of aquaculture stock and incomplete control of water used for aquaculture (for example, ponds or races);</w:t>
      </w:r>
    </w:p>
    <w:p w:rsidR="00701F87" w:rsidRPr="00701F87" w:rsidRDefault="00701F87" w:rsidP="00701F87">
      <w:pPr>
        <w:ind w:left="142"/>
        <w:rPr>
          <w:rFonts w:eastAsia="Times New Roman"/>
          <w:szCs w:val="17"/>
        </w:rPr>
      </w:pPr>
      <w:r w:rsidRPr="00701F87">
        <w:rPr>
          <w:rFonts w:eastAsia="Times New Roman"/>
          <w:szCs w:val="17"/>
        </w:rPr>
        <w:t>‘semi-open system’</w:t>
      </w:r>
      <w:r w:rsidRPr="00701F87">
        <w:rPr>
          <w:rFonts w:eastAsia="Times New Roman"/>
          <w:b/>
          <w:szCs w:val="17"/>
        </w:rPr>
        <w:t xml:space="preserve"> </w:t>
      </w:r>
      <w:r w:rsidRPr="00701F87">
        <w:rPr>
          <w:rFonts w:eastAsia="Times New Roman"/>
          <w:szCs w:val="17"/>
        </w:rPr>
        <w:t>means a system of aquaculture involving control of the movement of aquaculture stock but no control over the flow of water used for aquaculture (for example, nets or pens in the sea, contained shellfish growout);</w:t>
      </w:r>
    </w:p>
    <w:p w:rsidR="00701F87" w:rsidRPr="00701F87" w:rsidRDefault="00701F87" w:rsidP="00701F87">
      <w:pPr>
        <w:ind w:left="142"/>
        <w:rPr>
          <w:rFonts w:eastAsia="Times New Roman"/>
          <w:szCs w:val="17"/>
        </w:rPr>
      </w:pPr>
      <w:r w:rsidRPr="00701F87">
        <w:rPr>
          <w:rFonts w:eastAsia="Times New Roman"/>
          <w:szCs w:val="17"/>
        </w:rPr>
        <w:t>‘State’ means the State of South Australia;</w:t>
      </w:r>
    </w:p>
    <w:p w:rsidR="00701F87" w:rsidRPr="00701F87" w:rsidRDefault="00701F87" w:rsidP="00701F87">
      <w:pPr>
        <w:ind w:left="142"/>
        <w:rPr>
          <w:rFonts w:eastAsia="Times New Roman"/>
          <w:szCs w:val="17"/>
        </w:rPr>
      </w:pPr>
      <w:r w:rsidRPr="00701F87">
        <w:rPr>
          <w:rFonts w:eastAsia="Times New Roman"/>
          <w:szCs w:val="17"/>
        </w:rPr>
        <w:t>‘translocation protocol’ means the South Australian Translocation Protocol for Aquaculture Stock approved by, and available from, the Chief Inspector of Stock, 33 Flemington Street, Glenside, S.A. 5065, or GPO Box 1671, Adelaide S.A. 5001 or by telephone (08) 8207 7900;</w:t>
      </w:r>
    </w:p>
    <w:p w:rsidR="00E42680" w:rsidRDefault="00701F87" w:rsidP="00701F87">
      <w:pPr>
        <w:ind w:left="142"/>
        <w:rPr>
          <w:rFonts w:eastAsia="Times New Roman"/>
          <w:szCs w:val="17"/>
        </w:rPr>
      </w:pPr>
      <w:r w:rsidRPr="00701F87">
        <w:rPr>
          <w:rFonts w:eastAsia="Times New Roman"/>
          <w:szCs w:val="17"/>
        </w:rPr>
        <w:t>‘waters of the State’ means waters that are within the limits of the State.</w:t>
      </w:r>
    </w:p>
    <w:p w:rsidR="00701F87" w:rsidRDefault="00701F87" w:rsidP="00701F87">
      <w:pPr>
        <w:pBdr>
          <w:bottom w:val="single" w:sz="4" w:space="1" w:color="auto"/>
        </w:pBdr>
        <w:spacing w:after="0" w:line="52" w:lineRule="exact"/>
        <w:jc w:val="center"/>
        <w:rPr>
          <w:lang w:val="en-US"/>
        </w:rPr>
      </w:pPr>
    </w:p>
    <w:p w:rsidR="00701F87" w:rsidRDefault="00701F87" w:rsidP="00701F87">
      <w:pPr>
        <w:pBdr>
          <w:top w:val="single" w:sz="4" w:space="1" w:color="auto"/>
        </w:pBdr>
        <w:spacing w:before="34" w:after="0" w:line="14" w:lineRule="exact"/>
        <w:jc w:val="center"/>
        <w:rPr>
          <w:lang w:val="en-US"/>
        </w:rPr>
      </w:pPr>
    </w:p>
    <w:p w:rsidR="00701F87" w:rsidRDefault="00701F87" w:rsidP="00396D3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BF398D" w:rsidRPr="00BF398D" w:rsidRDefault="001D31F5" w:rsidP="001D31F5">
      <w:pPr>
        <w:pStyle w:val="Heading2"/>
      </w:pPr>
      <w:bookmarkStart w:id="758" w:name="_Toc46398100"/>
      <w:r w:rsidRPr="00BF398D">
        <w:t>Mental Health Act 2009</w:t>
      </w:r>
      <w:bookmarkEnd w:id="758"/>
    </w:p>
    <w:p w:rsidR="00BF398D" w:rsidRPr="00BF398D" w:rsidRDefault="00BF398D" w:rsidP="00BF398D">
      <w:pPr>
        <w:jc w:val="center"/>
        <w:rPr>
          <w:i/>
          <w:szCs w:val="17"/>
        </w:rPr>
      </w:pPr>
      <w:r w:rsidRPr="00BF398D">
        <w:rPr>
          <w:i/>
          <w:szCs w:val="17"/>
        </w:rPr>
        <w:t>Authorised Mental Health Professional</w:t>
      </w:r>
    </w:p>
    <w:p w:rsidR="00BF398D" w:rsidRPr="00BF398D" w:rsidRDefault="00BF398D" w:rsidP="00BF398D">
      <w:pPr>
        <w:rPr>
          <w:rFonts w:eastAsia="Times New Roman"/>
          <w:szCs w:val="17"/>
        </w:rPr>
      </w:pPr>
      <w:r w:rsidRPr="00BF398D">
        <w:rPr>
          <w:rFonts w:eastAsia="Times New Roman"/>
          <w:szCs w:val="17"/>
        </w:rPr>
        <w:t xml:space="preserve">NOTICE is hereby given in accordance with Section 94(1) of the </w:t>
      </w:r>
      <w:r w:rsidRPr="00BF398D">
        <w:rPr>
          <w:rFonts w:eastAsia="Times New Roman"/>
          <w:i/>
          <w:szCs w:val="17"/>
        </w:rPr>
        <w:t>Mental Health Act 2009</w:t>
      </w:r>
      <w:r w:rsidRPr="00BF398D">
        <w:rPr>
          <w:rFonts w:eastAsia="Times New Roman"/>
          <w:szCs w:val="17"/>
        </w:rPr>
        <w:t>, that the Chief Psychiatrist has determined the following persons as an Authorised Mental Health Professional</w:t>
      </w:r>
    </w:p>
    <w:p w:rsidR="00BF398D" w:rsidRPr="00BF398D" w:rsidRDefault="00BF398D" w:rsidP="00BF398D">
      <w:pPr>
        <w:spacing w:after="0"/>
        <w:ind w:left="142"/>
        <w:rPr>
          <w:rFonts w:eastAsia="Times New Roman"/>
          <w:szCs w:val="17"/>
        </w:rPr>
      </w:pPr>
      <w:r w:rsidRPr="00BF398D">
        <w:rPr>
          <w:rFonts w:eastAsia="Times New Roman"/>
          <w:szCs w:val="17"/>
        </w:rPr>
        <w:t>Marcus Grimshaw</w:t>
      </w:r>
    </w:p>
    <w:p w:rsidR="00BF398D" w:rsidRPr="00BF398D" w:rsidRDefault="00BF398D" w:rsidP="00BF398D">
      <w:pPr>
        <w:spacing w:after="0"/>
        <w:ind w:left="142"/>
        <w:rPr>
          <w:rFonts w:eastAsia="Times New Roman"/>
          <w:szCs w:val="17"/>
        </w:rPr>
      </w:pPr>
      <w:r w:rsidRPr="00BF398D">
        <w:rPr>
          <w:rFonts w:eastAsia="Times New Roman"/>
          <w:szCs w:val="17"/>
        </w:rPr>
        <w:t>Devina Boston</w:t>
      </w:r>
    </w:p>
    <w:p w:rsidR="00BF398D" w:rsidRPr="00BF398D" w:rsidRDefault="00BF398D" w:rsidP="00BF398D">
      <w:pPr>
        <w:spacing w:after="0"/>
        <w:ind w:left="142"/>
        <w:rPr>
          <w:rFonts w:eastAsia="Times New Roman"/>
          <w:szCs w:val="17"/>
        </w:rPr>
      </w:pPr>
      <w:r w:rsidRPr="00BF398D">
        <w:rPr>
          <w:rFonts w:eastAsia="Times New Roman"/>
          <w:szCs w:val="17"/>
        </w:rPr>
        <w:t>Joanne Drummond</w:t>
      </w:r>
    </w:p>
    <w:p w:rsidR="00BF398D" w:rsidRPr="00BF398D" w:rsidRDefault="00BF398D" w:rsidP="00BF398D">
      <w:pPr>
        <w:spacing w:after="0"/>
        <w:ind w:left="142"/>
        <w:rPr>
          <w:rFonts w:eastAsia="Times New Roman"/>
          <w:szCs w:val="17"/>
        </w:rPr>
      </w:pPr>
      <w:r w:rsidRPr="00BF398D">
        <w:rPr>
          <w:rFonts w:eastAsia="Times New Roman"/>
          <w:szCs w:val="17"/>
        </w:rPr>
        <w:t>Rowena Kidd</w:t>
      </w:r>
    </w:p>
    <w:p w:rsidR="00BF398D" w:rsidRPr="00BF398D" w:rsidRDefault="00BF398D" w:rsidP="00BF398D">
      <w:pPr>
        <w:ind w:left="142"/>
        <w:rPr>
          <w:rFonts w:eastAsia="Times New Roman"/>
          <w:szCs w:val="17"/>
        </w:rPr>
      </w:pPr>
      <w:r w:rsidRPr="00BF398D">
        <w:rPr>
          <w:rFonts w:eastAsia="Times New Roman"/>
          <w:szCs w:val="17"/>
        </w:rPr>
        <w:t>Robyn Nelson</w:t>
      </w:r>
    </w:p>
    <w:p w:rsidR="00BF398D" w:rsidRPr="00BF398D" w:rsidRDefault="00BF398D" w:rsidP="00BF398D">
      <w:pPr>
        <w:rPr>
          <w:rFonts w:eastAsia="Times New Roman"/>
          <w:szCs w:val="17"/>
        </w:rPr>
      </w:pPr>
      <w:r w:rsidRPr="00BF398D">
        <w:rPr>
          <w:rFonts w:eastAsia="Times New Roman"/>
          <w:szCs w:val="17"/>
        </w:rPr>
        <w:t>A person’s determination as an Authorised Mental Health Professional expires three years after the commencement date.</w:t>
      </w:r>
    </w:p>
    <w:p w:rsidR="00BF398D" w:rsidRPr="00BF398D" w:rsidRDefault="00BF398D" w:rsidP="00BF398D">
      <w:pPr>
        <w:spacing w:after="0"/>
        <w:rPr>
          <w:rFonts w:eastAsia="Times New Roman"/>
          <w:szCs w:val="17"/>
        </w:rPr>
      </w:pPr>
      <w:r w:rsidRPr="00BF398D">
        <w:rPr>
          <w:rFonts w:eastAsia="Times New Roman"/>
          <w:szCs w:val="17"/>
        </w:rPr>
        <w:t>Dated: 23 July 2020</w:t>
      </w:r>
    </w:p>
    <w:p w:rsidR="00BF398D" w:rsidRPr="00BF398D" w:rsidRDefault="00BF398D" w:rsidP="00BF398D">
      <w:pPr>
        <w:spacing w:after="0"/>
        <w:jc w:val="right"/>
        <w:rPr>
          <w:rFonts w:eastAsia="Times New Roman"/>
          <w:smallCaps/>
          <w:szCs w:val="20"/>
        </w:rPr>
      </w:pPr>
      <w:r w:rsidRPr="00BF398D">
        <w:rPr>
          <w:rFonts w:eastAsia="Times New Roman"/>
          <w:smallCaps/>
          <w:szCs w:val="20"/>
        </w:rPr>
        <w:t>Dr J. Brayley</w:t>
      </w:r>
    </w:p>
    <w:p w:rsidR="00AF2E20" w:rsidRDefault="00BF398D" w:rsidP="00AF2E20">
      <w:pPr>
        <w:spacing w:after="0"/>
        <w:jc w:val="right"/>
        <w:rPr>
          <w:rFonts w:eastAsia="Times New Roman"/>
          <w:szCs w:val="17"/>
        </w:rPr>
      </w:pPr>
      <w:r w:rsidRPr="00BF398D">
        <w:rPr>
          <w:rFonts w:eastAsia="Times New Roman"/>
          <w:szCs w:val="17"/>
        </w:rPr>
        <w:t>Chief Psychiatrist</w:t>
      </w:r>
    </w:p>
    <w:p w:rsidR="00AF2E20" w:rsidRDefault="00AF2E20" w:rsidP="00AF2E20">
      <w:pPr>
        <w:pBdr>
          <w:bottom w:val="single" w:sz="4" w:space="1" w:color="auto"/>
        </w:pBdr>
        <w:spacing w:after="0" w:line="52" w:lineRule="exact"/>
        <w:jc w:val="center"/>
        <w:rPr>
          <w:lang w:val="en-US"/>
        </w:rPr>
      </w:pPr>
    </w:p>
    <w:p w:rsidR="00AF2E20" w:rsidRDefault="00AF2E20" w:rsidP="00AF2E20">
      <w:pPr>
        <w:pBdr>
          <w:top w:val="single" w:sz="4" w:space="1" w:color="auto"/>
        </w:pBdr>
        <w:spacing w:before="34" w:after="0" w:line="14" w:lineRule="exact"/>
        <w:jc w:val="center"/>
        <w:rPr>
          <w:lang w:val="en-US"/>
        </w:rPr>
      </w:pPr>
    </w:p>
    <w:p w:rsidR="00AF2E20" w:rsidRDefault="00AF2E20" w:rsidP="00AF2E2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0B4330" w:rsidRPr="000B4330" w:rsidRDefault="001D31F5" w:rsidP="001D31F5">
      <w:pPr>
        <w:pStyle w:val="Heading2"/>
      </w:pPr>
      <w:bookmarkStart w:id="759" w:name="_Toc46398101"/>
      <w:r w:rsidRPr="000B4330">
        <w:t xml:space="preserve">Petroleum </w:t>
      </w:r>
      <w:r>
        <w:t>a</w:t>
      </w:r>
      <w:r w:rsidRPr="000B4330">
        <w:t>nd Geothermal Energy Act 2000</w:t>
      </w:r>
      <w:bookmarkEnd w:id="759"/>
    </w:p>
    <w:p w:rsidR="000B4330" w:rsidRPr="000B4330" w:rsidRDefault="000B4330" w:rsidP="000B4330">
      <w:pPr>
        <w:jc w:val="center"/>
        <w:rPr>
          <w:i/>
          <w:szCs w:val="17"/>
        </w:rPr>
      </w:pPr>
      <w:r w:rsidRPr="000B4330">
        <w:rPr>
          <w:i/>
          <w:szCs w:val="17"/>
        </w:rPr>
        <w:t>Suspension of Petroleum Retention Licences—PRLs 14, 17, 18, 180, 181 and 182</w:t>
      </w:r>
    </w:p>
    <w:p w:rsidR="000B4330" w:rsidRPr="000B4330" w:rsidRDefault="000B4330" w:rsidP="000B4330">
      <w:pPr>
        <w:rPr>
          <w:rFonts w:eastAsia="Times New Roman"/>
          <w:szCs w:val="17"/>
        </w:rPr>
      </w:pPr>
      <w:r w:rsidRPr="000B4330">
        <w:rPr>
          <w:rFonts w:eastAsia="Times New Roman"/>
          <w:szCs w:val="17"/>
        </w:rPr>
        <w:t>Pursuant to section 90 of the Petroleum and Geothermal Energy Act 2000, notice is hereby given that the abovementioned Licences have been suspended for the period 19 May 2020 to 18 May 2021 inclusive, pursuant to delegated powers dated 29 June 2018.</w:t>
      </w:r>
    </w:p>
    <w:p w:rsidR="000B4330" w:rsidRPr="000B4330" w:rsidRDefault="000B4330" w:rsidP="000B4330">
      <w:pPr>
        <w:ind w:left="426" w:hanging="210"/>
        <w:contextualSpacing/>
        <w:jc w:val="left"/>
        <w:rPr>
          <w:rFonts w:eastAsia="Times New Roman"/>
          <w:szCs w:val="17"/>
        </w:rPr>
      </w:pPr>
      <w:r w:rsidRPr="000B4330">
        <w:rPr>
          <w:rFonts w:eastAsia="Times New Roman"/>
          <w:szCs w:val="17"/>
        </w:rPr>
        <w:t>PRL 14 is now due to expire on 12 November 2023.</w:t>
      </w:r>
    </w:p>
    <w:p w:rsidR="000B4330" w:rsidRPr="000B4330" w:rsidRDefault="000B4330" w:rsidP="000B4330">
      <w:pPr>
        <w:ind w:left="426" w:hanging="210"/>
        <w:contextualSpacing/>
        <w:jc w:val="left"/>
        <w:rPr>
          <w:rFonts w:eastAsia="Times New Roman"/>
          <w:szCs w:val="17"/>
        </w:rPr>
      </w:pPr>
      <w:r w:rsidRPr="000B4330">
        <w:rPr>
          <w:rFonts w:eastAsia="Times New Roman"/>
          <w:szCs w:val="17"/>
        </w:rPr>
        <w:t>PRLs 17 and 18 are now due to expire on 28 April 2022.</w:t>
      </w:r>
    </w:p>
    <w:p w:rsidR="000B4330" w:rsidRPr="000B4330" w:rsidRDefault="000B4330" w:rsidP="000B4330">
      <w:pPr>
        <w:ind w:left="426" w:hanging="210"/>
        <w:contextualSpacing/>
        <w:jc w:val="left"/>
        <w:rPr>
          <w:rFonts w:eastAsia="Times New Roman"/>
          <w:szCs w:val="17"/>
        </w:rPr>
      </w:pPr>
      <w:r w:rsidRPr="000B4330">
        <w:rPr>
          <w:rFonts w:eastAsia="Times New Roman"/>
          <w:szCs w:val="17"/>
        </w:rPr>
        <w:t>PRLs 180, 181 and 182 are now due to expire on 21 May 2022.</w:t>
      </w:r>
    </w:p>
    <w:p w:rsidR="000B4330" w:rsidRPr="000B4330" w:rsidRDefault="000B4330" w:rsidP="000B4330">
      <w:pPr>
        <w:spacing w:after="0"/>
        <w:rPr>
          <w:rFonts w:eastAsia="Times New Roman"/>
          <w:szCs w:val="17"/>
        </w:rPr>
      </w:pPr>
      <w:r w:rsidRPr="000B4330">
        <w:rPr>
          <w:rFonts w:eastAsia="Times New Roman"/>
          <w:szCs w:val="17"/>
        </w:rPr>
        <w:t>Dated: 14 July 2020</w:t>
      </w:r>
    </w:p>
    <w:p w:rsidR="000B4330" w:rsidRPr="000B4330" w:rsidRDefault="000B4330" w:rsidP="000B4330">
      <w:pPr>
        <w:spacing w:after="0"/>
        <w:jc w:val="right"/>
        <w:rPr>
          <w:rFonts w:eastAsia="Times New Roman"/>
          <w:smallCaps/>
          <w:szCs w:val="20"/>
        </w:rPr>
      </w:pPr>
      <w:r w:rsidRPr="000B4330">
        <w:rPr>
          <w:rFonts w:eastAsia="Times New Roman"/>
          <w:smallCaps/>
          <w:szCs w:val="20"/>
        </w:rPr>
        <w:t>Barry A. Goldstein</w:t>
      </w:r>
    </w:p>
    <w:p w:rsidR="000B4330" w:rsidRPr="000B4330" w:rsidRDefault="000B4330" w:rsidP="000B4330">
      <w:pPr>
        <w:spacing w:after="0"/>
        <w:jc w:val="right"/>
        <w:rPr>
          <w:rFonts w:eastAsia="Times New Roman"/>
          <w:szCs w:val="17"/>
        </w:rPr>
      </w:pPr>
      <w:r w:rsidRPr="000B4330">
        <w:rPr>
          <w:rFonts w:eastAsia="Times New Roman"/>
          <w:szCs w:val="17"/>
        </w:rPr>
        <w:t>Executive Director</w:t>
      </w:r>
    </w:p>
    <w:p w:rsidR="000B4330" w:rsidRPr="000B4330" w:rsidRDefault="000B4330" w:rsidP="000B4330">
      <w:pPr>
        <w:spacing w:after="0"/>
        <w:jc w:val="right"/>
        <w:rPr>
          <w:rFonts w:eastAsia="Times New Roman"/>
          <w:szCs w:val="17"/>
        </w:rPr>
      </w:pPr>
      <w:r w:rsidRPr="000B4330">
        <w:rPr>
          <w:rFonts w:eastAsia="Times New Roman"/>
          <w:szCs w:val="17"/>
        </w:rPr>
        <w:t>Energy Resources Division</w:t>
      </w:r>
    </w:p>
    <w:p w:rsidR="000B4330" w:rsidRPr="000B4330" w:rsidRDefault="000B4330" w:rsidP="000B4330">
      <w:pPr>
        <w:spacing w:after="0"/>
        <w:jc w:val="right"/>
        <w:rPr>
          <w:rFonts w:eastAsia="Times New Roman"/>
          <w:szCs w:val="17"/>
        </w:rPr>
      </w:pPr>
      <w:r w:rsidRPr="000B4330">
        <w:rPr>
          <w:rFonts w:eastAsia="Times New Roman"/>
          <w:szCs w:val="17"/>
        </w:rPr>
        <w:t>Department for Energy and Mining</w:t>
      </w:r>
    </w:p>
    <w:p w:rsidR="004B7E4D" w:rsidRDefault="000B4330" w:rsidP="004B7E4D">
      <w:pPr>
        <w:spacing w:after="0"/>
        <w:jc w:val="right"/>
        <w:rPr>
          <w:rFonts w:eastAsia="Times New Roman"/>
          <w:szCs w:val="17"/>
        </w:rPr>
      </w:pPr>
      <w:r w:rsidRPr="000B4330">
        <w:rPr>
          <w:rFonts w:eastAsia="Times New Roman"/>
          <w:szCs w:val="17"/>
        </w:rPr>
        <w:t>Delegate of the Minister for Energy and Mining</w:t>
      </w:r>
    </w:p>
    <w:p w:rsidR="004B7E4D" w:rsidRDefault="004B7E4D" w:rsidP="004B7E4D">
      <w:pPr>
        <w:pBdr>
          <w:top w:val="single" w:sz="4" w:space="1" w:color="auto"/>
        </w:pBdr>
        <w:spacing w:before="100" w:after="0" w:line="14" w:lineRule="exact"/>
        <w:jc w:val="center"/>
        <w:rPr>
          <w:lang w:val="en-US"/>
        </w:rPr>
      </w:pPr>
    </w:p>
    <w:p w:rsidR="004B7E4D" w:rsidRDefault="004B7E4D" w:rsidP="004B7E4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6C7B7D" w:rsidRDefault="006C7B7D" w:rsidP="004B7E4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r>
        <w:rPr>
          <w:lang w:val="en-US"/>
        </w:rPr>
        <w:br w:type="page"/>
      </w:r>
    </w:p>
    <w:p w:rsidR="00664C8C" w:rsidRPr="00664C8C" w:rsidRDefault="00664C8C" w:rsidP="00664C8C">
      <w:pPr>
        <w:jc w:val="center"/>
        <w:rPr>
          <w:caps/>
          <w:szCs w:val="17"/>
        </w:rPr>
      </w:pPr>
      <w:r w:rsidRPr="00664C8C">
        <w:rPr>
          <w:caps/>
          <w:szCs w:val="17"/>
        </w:rPr>
        <w:t>Petroleum and Geothermal Energy Act 2000</w:t>
      </w:r>
    </w:p>
    <w:p w:rsidR="00664C8C" w:rsidRPr="00664C8C" w:rsidRDefault="00664C8C" w:rsidP="00664C8C">
      <w:pPr>
        <w:spacing w:after="0"/>
        <w:jc w:val="center"/>
        <w:rPr>
          <w:rFonts w:eastAsia="Times New Roman"/>
          <w:i/>
          <w:szCs w:val="20"/>
        </w:rPr>
      </w:pPr>
      <w:r w:rsidRPr="00664C8C">
        <w:rPr>
          <w:rFonts w:eastAsia="Times New Roman"/>
          <w:i/>
          <w:szCs w:val="20"/>
        </w:rPr>
        <w:t>Grant of Associated Activities Licence—AAL 287</w:t>
      </w:r>
    </w:p>
    <w:p w:rsidR="00664C8C" w:rsidRPr="00664C8C" w:rsidRDefault="00664C8C" w:rsidP="00664C8C">
      <w:pPr>
        <w:jc w:val="center"/>
        <w:rPr>
          <w:rFonts w:eastAsia="Times New Roman"/>
          <w:i/>
          <w:szCs w:val="20"/>
        </w:rPr>
      </w:pPr>
      <w:r w:rsidRPr="00664C8C">
        <w:rPr>
          <w:rFonts w:eastAsia="Times New Roman"/>
          <w:i/>
          <w:szCs w:val="20"/>
        </w:rPr>
        <w:t>(Adjunct to Petroleum Production Licence PPL 253)</w:t>
      </w:r>
    </w:p>
    <w:p w:rsidR="00664C8C" w:rsidRPr="00664C8C" w:rsidRDefault="00664C8C" w:rsidP="00664C8C">
      <w:pPr>
        <w:rPr>
          <w:rFonts w:eastAsia="Times New Roman"/>
          <w:szCs w:val="17"/>
        </w:rPr>
      </w:pPr>
      <w:r w:rsidRPr="00664C8C">
        <w:rPr>
          <w:rFonts w:eastAsia="Times New Roman"/>
          <w:szCs w:val="17"/>
        </w:rPr>
        <w:t>Notice is hereby given that the undermentioned Associated Activities Licence has been granted with effect from 16 July 2020, under the provisions of the Petroleum and Geothermal Energy Act 2000, pursuant to delegated powers dated 29 June 2018.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3233"/>
        <w:gridCol w:w="1560"/>
        <w:gridCol w:w="1275"/>
        <w:gridCol w:w="1412"/>
      </w:tblGrid>
      <w:tr w:rsidR="00664C8C" w:rsidRPr="00664C8C" w:rsidTr="00E51E17">
        <w:tc>
          <w:tcPr>
            <w:tcW w:w="1870" w:type="dxa"/>
            <w:tcBorders>
              <w:top w:val="single" w:sz="4" w:space="0" w:color="auto"/>
              <w:bottom w:val="single" w:sz="4" w:space="0" w:color="auto"/>
            </w:tcBorders>
            <w:vAlign w:val="center"/>
          </w:tcPr>
          <w:p w:rsidR="00664C8C" w:rsidRPr="00664C8C" w:rsidRDefault="00664C8C" w:rsidP="00664C8C">
            <w:pPr>
              <w:spacing w:before="40" w:after="40"/>
              <w:jc w:val="center"/>
              <w:rPr>
                <w:szCs w:val="17"/>
              </w:rPr>
            </w:pPr>
            <w:r w:rsidRPr="00664C8C">
              <w:rPr>
                <w:szCs w:val="17"/>
              </w:rPr>
              <w:t>No of Licence</w:t>
            </w:r>
          </w:p>
        </w:tc>
        <w:tc>
          <w:tcPr>
            <w:tcW w:w="3233" w:type="dxa"/>
            <w:tcBorders>
              <w:top w:val="single" w:sz="4" w:space="0" w:color="auto"/>
              <w:bottom w:val="single" w:sz="4" w:space="0" w:color="auto"/>
            </w:tcBorders>
            <w:vAlign w:val="center"/>
          </w:tcPr>
          <w:p w:rsidR="00664C8C" w:rsidRPr="00664C8C" w:rsidRDefault="00664C8C" w:rsidP="00664C8C">
            <w:pPr>
              <w:spacing w:before="40" w:after="40"/>
              <w:jc w:val="center"/>
              <w:rPr>
                <w:szCs w:val="17"/>
              </w:rPr>
            </w:pPr>
            <w:r w:rsidRPr="00664C8C">
              <w:rPr>
                <w:szCs w:val="17"/>
              </w:rPr>
              <w:t>Licensees</w:t>
            </w:r>
          </w:p>
        </w:tc>
        <w:tc>
          <w:tcPr>
            <w:tcW w:w="1560" w:type="dxa"/>
            <w:tcBorders>
              <w:top w:val="single" w:sz="4" w:space="0" w:color="auto"/>
              <w:bottom w:val="single" w:sz="4" w:space="0" w:color="auto"/>
            </w:tcBorders>
            <w:vAlign w:val="center"/>
          </w:tcPr>
          <w:p w:rsidR="00664C8C" w:rsidRPr="00664C8C" w:rsidRDefault="00664C8C" w:rsidP="00664C8C">
            <w:pPr>
              <w:spacing w:before="40" w:after="40"/>
              <w:jc w:val="center"/>
              <w:rPr>
                <w:szCs w:val="17"/>
              </w:rPr>
            </w:pPr>
            <w:r w:rsidRPr="00664C8C">
              <w:rPr>
                <w:szCs w:val="17"/>
              </w:rPr>
              <w:t>Locality</w:t>
            </w:r>
          </w:p>
        </w:tc>
        <w:tc>
          <w:tcPr>
            <w:tcW w:w="1275" w:type="dxa"/>
            <w:tcBorders>
              <w:top w:val="single" w:sz="4" w:space="0" w:color="auto"/>
              <w:bottom w:val="single" w:sz="4" w:space="0" w:color="auto"/>
            </w:tcBorders>
            <w:vAlign w:val="center"/>
          </w:tcPr>
          <w:p w:rsidR="00664C8C" w:rsidRPr="00664C8C" w:rsidRDefault="00664C8C" w:rsidP="00664C8C">
            <w:pPr>
              <w:spacing w:before="40" w:after="40"/>
              <w:jc w:val="center"/>
              <w:rPr>
                <w:szCs w:val="17"/>
              </w:rPr>
            </w:pPr>
            <w:r w:rsidRPr="00664C8C">
              <w:rPr>
                <w:szCs w:val="17"/>
              </w:rPr>
              <w:t>Area in km2</w:t>
            </w:r>
          </w:p>
        </w:tc>
        <w:tc>
          <w:tcPr>
            <w:tcW w:w="1412" w:type="dxa"/>
            <w:tcBorders>
              <w:top w:val="single" w:sz="4" w:space="0" w:color="auto"/>
              <w:bottom w:val="single" w:sz="4" w:space="0" w:color="auto"/>
            </w:tcBorders>
            <w:vAlign w:val="center"/>
          </w:tcPr>
          <w:p w:rsidR="00664C8C" w:rsidRPr="00664C8C" w:rsidRDefault="00664C8C" w:rsidP="00664C8C">
            <w:pPr>
              <w:spacing w:before="40" w:after="40"/>
              <w:jc w:val="center"/>
              <w:rPr>
                <w:szCs w:val="17"/>
              </w:rPr>
            </w:pPr>
            <w:r w:rsidRPr="00664C8C">
              <w:rPr>
                <w:szCs w:val="17"/>
              </w:rPr>
              <w:t>Reference</w:t>
            </w:r>
          </w:p>
        </w:tc>
      </w:tr>
      <w:tr w:rsidR="00664C8C" w:rsidRPr="00664C8C" w:rsidTr="00E51E17">
        <w:tc>
          <w:tcPr>
            <w:tcW w:w="1870" w:type="dxa"/>
            <w:tcBorders>
              <w:top w:val="single" w:sz="4" w:space="0" w:color="auto"/>
              <w:bottom w:val="single" w:sz="4" w:space="0" w:color="auto"/>
            </w:tcBorders>
            <w:vAlign w:val="center"/>
          </w:tcPr>
          <w:p w:rsidR="00664C8C" w:rsidRPr="00664C8C" w:rsidRDefault="00664C8C" w:rsidP="00664C8C">
            <w:pPr>
              <w:spacing w:before="40" w:after="40"/>
              <w:jc w:val="left"/>
              <w:rPr>
                <w:szCs w:val="17"/>
              </w:rPr>
            </w:pPr>
            <w:r w:rsidRPr="00664C8C">
              <w:rPr>
                <w:szCs w:val="17"/>
              </w:rPr>
              <w:t>AAL 287</w:t>
            </w:r>
          </w:p>
        </w:tc>
        <w:tc>
          <w:tcPr>
            <w:tcW w:w="3233" w:type="dxa"/>
            <w:tcBorders>
              <w:top w:val="single" w:sz="4" w:space="0" w:color="auto"/>
              <w:bottom w:val="single" w:sz="4" w:space="0" w:color="auto"/>
            </w:tcBorders>
            <w:vAlign w:val="center"/>
          </w:tcPr>
          <w:p w:rsidR="00664C8C" w:rsidRPr="00664C8C" w:rsidRDefault="00664C8C" w:rsidP="00664C8C">
            <w:pPr>
              <w:spacing w:before="80"/>
              <w:jc w:val="left"/>
              <w:rPr>
                <w:szCs w:val="17"/>
              </w:rPr>
            </w:pPr>
            <w:r w:rsidRPr="00664C8C">
              <w:rPr>
                <w:szCs w:val="17"/>
              </w:rPr>
              <w:t xml:space="preserve">Beach Energy Limited </w:t>
            </w:r>
            <w:r w:rsidRPr="00664C8C">
              <w:rPr>
                <w:szCs w:val="17"/>
              </w:rPr>
              <w:br/>
              <w:t>Great Artesian Oil and Gas Pty Ltd</w:t>
            </w:r>
          </w:p>
        </w:tc>
        <w:tc>
          <w:tcPr>
            <w:tcW w:w="1560" w:type="dxa"/>
            <w:tcBorders>
              <w:top w:val="single" w:sz="4" w:space="0" w:color="auto"/>
              <w:bottom w:val="single" w:sz="4" w:space="0" w:color="auto"/>
            </w:tcBorders>
            <w:vAlign w:val="center"/>
          </w:tcPr>
          <w:p w:rsidR="00664C8C" w:rsidRPr="00664C8C" w:rsidRDefault="00664C8C" w:rsidP="00664C8C">
            <w:pPr>
              <w:spacing w:before="40" w:after="40"/>
              <w:jc w:val="left"/>
              <w:rPr>
                <w:szCs w:val="17"/>
              </w:rPr>
            </w:pPr>
            <w:r w:rsidRPr="00664C8C">
              <w:rPr>
                <w:szCs w:val="17"/>
              </w:rPr>
              <w:t>Cooper Basin</w:t>
            </w:r>
          </w:p>
        </w:tc>
        <w:tc>
          <w:tcPr>
            <w:tcW w:w="1275" w:type="dxa"/>
            <w:tcBorders>
              <w:top w:val="single" w:sz="4" w:space="0" w:color="auto"/>
              <w:bottom w:val="single" w:sz="4" w:space="0" w:color="auto"/>
            </w:tcBorders>
            <w:vAlign w:val="center"/>
          </w:tcPr>
          <w:p w:rsidR="00664C8C" w:rsidRPr="00664C8C" w:rsidRDefault="00664C8C" w:rsidP="00664C8C">
            <w:pPr>
              <w:spacing w:before="40" w:after="40"/>
              <w:jc w:val="left"/>
              <w:rPr>
                <w:szCs w:val="17"/>
              </w:rPr>
            </w:pPr>
            <w:r w:rsidRPr="00664C8C">
              <w:rPr>
                <w:szCs w:val="17"/>
              </w:rPr>
              <w:t>0.97</w:t>
            </w:r>
          </w:p>
        </w:tc>
        <w:tc>
          <w:tcPr>
            <w:tcW w:w="1412" w:type="dxa"/>
            <w:tcBorders>
              <w:top w:val="single" w:sz="4" w:space="0" w:color="auto"/>
              <w:bottom w:val="single" w:sz="4" w:space="0" w:color="auto"/>
            </w:tcBorders>
            <w:vAlign w:val="center"/>
          </w:tcPr>
          <w:p w:rsidR="00664C8C" w:rsidRPr="00664C8C" w:rsidRDefault="00664C8C" w:rsidP="00664C8C">
            <w:pPr>
              <w:spacing w:before="40" w:after="40"/>
              <w:jc w:val="left"/>
              <w:rPr>
                <w:szCs w:val="17"/>
              </w:rPr>
            </w:pPr>
            <w:r w:rsidRPr="00664C8C">
              <w:rPr>
                <w:szCs w:val="17"/>
              </w:rPr>
              <w:t>MER-2020/0343</w:t>
            </w:r>
          </w:p>
        </w:tc>
      </w:tr>
    </w:tbl>
    <w:p w:rsidR="00664C8C" w:rsidRPr="00664C8C" w:rsidRDefault="00664C8C" w:rsidP="00664C8C">
      <w:pPr>
        <w:spacing w:before="120"/>
        <w:rPr>
          <w:b/>
          <w:szCs w:val="17"/>
        </w:rPr>
      </w:pPr>
      <w:r w:rsidRPr="00664C8C">
        <w:rPr>
          <w:b/>
          <w:szCs w:val="17"/>
        </w:rPr>
        <w:t>Description of Area</w:t>
      </w:r>
    </w:p>
    <w:p w:rsidR="00664C8C" w:rsidRPr="00664C8C" w:rsidRDefault="00664C8C" w:rsidP="00664C8C">
      <w:pPr>
        <w:rPr>
          <w:rFonts w:eastAsia="Times New Roman"/>
          <w:szCs w:val="20"/>
        </w:rPr>
      </w:pPr>
      <w:r w:rsidRPr="00664C8C">
        <w:rPr>
          <w:rFonts w:eastAsia="Times New Roman"/>
          <w:szCs w:val="20"/>
        </w:rPr>
        <w:t>All that part of the State of South Australia, bounded as follows:</w:t>
      </w:r>
    </w:p>
    <w:p w:rsidR="00664C8C" w:rsidRPr="00664C8C" w:rsidRDefault="00664C8C" w:rsidP="00664C8C">
      <w:pPr>
        <w:ind w:left="142"/>
        <w:rPr>
          <w:rFonts w:eastAsia="Times New Roman"/>
          <w:szCs w:val="20"/>
        </w:rPr>
      </w:pPr>
      <w:r w:rsidRPr="00664C8C">
        <w:rPr>
          <w:rFonts w:eastAsia="Times New Roman"/>
          <w:szCs w:val="20"/>
        </w:rPr>
        <w:t>All coordinates MGA2020, Zone 54</w:t>
      </w:r>
    </w:p>
    <w:p w:rsidR="00664C8C" w:rsidRPr="00664C8C" w:rsidRDefault="00664C8C" w:rsidP="00664C8C">
      <w:pPr>
        <w:spacing w:after="0"/>
        <w:ind w:left="1418" w:hanging="1276"/>
        <w:rPr>
          <w:rFonts w:eastAsia="Times New Roman"/>
          <w:szCs w:val="20"/>
        </w:rPr>
      </w:pPr>
      <w:r w:rsidRPr="00664C8C">
        <w:rPr>
          <w:rFonts w:eastAsia="Times New Roman"/>
          <w:szCs w:val="20"/>
        </w:rPr>
        <w:t>338740mE</w:t>
      </w:r>
      <w:r w:rsidRPr="00664C8C">
        <w:rPr>
          <w:rFonts w:eastAsia="Times New Roman"/>
          <w:szCs w:val="20"/>
        </w:rPr>
        <w:tab/>
        <w:t>6930344mN</w:t>
      </w:r>
    </w:p>
    <w:p w:rsidR="00664C8C" w:rsidRPr="00664C8C" w:rsidRDefault="00664C8C" w:rsidP="00664C8C">
      <w:pPr>
        <w:spacing w:after="0"/>
        <w:ind w:left="1418" w:hanging="1276"/>
        <w:rPr>
          <w:rFonts w:eastAsia="Times New Roman"/>
          <w:szCs w:val="20"/>
        </w:rPr>
      </w:pPr>
      <w:r w:rsidRPr="00664C8C">
        <w:rPr>
          <w:rFonts w:eastAsia="Times New Roman"/>
          <w:szCs w:val="20"/>
        </w:rPr>
        <w:t>338727mE</w:t>
      </w:r>
      <w:r w:rsidRPr="00664C8C">
        <w:rPr>
          <w:rFonts w:eastAsia="Times New Roman"/>
          <w:szCs w:val="20"/>
        </w:rPr>
        <w:tab/>
        <w:t>6931267mN</w:t>
      </w:r>
    </w:p>
    <w:p w:rsidR="00664C8C" w:rsidRPr="00664C8C" w:rsidRDefault="00664C8C" w:rsidP="00664C8C">
      <w:pPr>
        <w:spacing w:after="0"/>
        <w:ind w:left="1418" w:hanging="1276"/>
        <w:rPr>
          <w:rFonts w:eastAsia="Times New Roman"/>
          <w:szCs w:val="20"/>
        </w:rPr>
      </w:pPr>
      <w:r w:rsidRPr="00664C8C">
        <w:rPr>
          <w:rFonts w:eastAsia="Times New Roman"/>
          <w:szCs w:val="20"/>
        </w:rPr>
        <w:t>339401mE</w:t>
      </w:r>
      <w:r w:rsidRPr="00664C8C">
        <w:rPr>
          <w:rFonts w:eastAsia="Times New Roman"/>
          <w:szCs w:val="20"/>
        </w:rPr>
        <w:tab/>
        <w:t>6931276mN</w:t>
      </w:r>
    </w:p>
    <w:p w:rsidR="00664C8C" w:rsidRPr="00664C8C" w:rsidRDefault="00664C8C" w:rsidP="00664C8C">
      <w:pPr>
        <w:spacing w:after="0"/>
        <w:ind w:left="1418" w:hanging="1276"/>
        <w:rPr>
          <w:rFonts w:eastAsia="Times New Roman"/>
          <w:szCs w:val="20"/>
        </w:rPr>
      </w:pPr>
      <w:r w:rsidRPr="00664C8C">
        <w:rPr>
          <w:rFonts w:eastAsia="Times New Roman"/>
          <w:szCs w:val="20"/>
        </w:rPr>
        <w:t>339401mE</w:t>
      </w:r>
      <w:r w:rsidRPr="00664C8C">
        <w:rPr>
          <w:rFonts w:eastAsia="Times New Roman"/>
          <w:szCs w:val="20"/>
        </w:rPr>
        <w:tab/>
        <w:t>6930331mN</w:t>
      </w:r>
    </w:p>
    <w:p w:rsidR="00664C8C" w:rsidRPr="00664C8C" w:rsidRDefault="00664C8C" w:rsidP="00664C8C">
      <w:pPr>
        <w:spacing w:after="0"/>
        <w:ind w:left="1418" w:hanging="1276"/>
        <w:rPr>
          <w:rFonts w:eastAsia="Times New Roman"/>
          <w:szCs w:val="20"/>
        </w:rPr>
      </w:pPr>
      <w:r w:rsidRPr="00664C8C">
        <w:rPr>
          <w:rFonts w:eastAsia="Times New Roman"/>
          <w:szCs w:val="20"/>
        </w:rPr>
        <w:t>339401mE</w:t>
      </w:r>
      <w:r w:rsidRPr="00664C8C">
        <w:rPr>
          <w:rFonts w:eastAsia="Times New Roman"/>
          <w:szCs w:val="20"/>
        </w:rPr>
        <w:tab/>
        <w:t>6929428mN</w:t>
      </w:r>
    </w:p>
    <w:p w:rsidR="00664C8C" w:rsidRPr="00664C8C" w:rsidRDefault="00664C8C" w:rsidP="00664C8C">
      <w:pPr>
        <w:spacing w:after="0"/>
        <w:ind w:left="1418" w:hanging="1276"/>
        <w:rPr>
          <w:rFonts w:eastAsia="Times New Roman"/>
          <w:szCs w:val="20"/>
        </w:rPr>
      </w:pPr>
      <w:r w:rsidRPr="00664C8C">
        <w:rPr>
          <w:rFonts w:eastAsia="Times New Roman"/>
          <w:szCs w:val="20"/>
        </w:rPr>
        <w:t>339025mE</w:t>
      </w:r>
      <w:r w:rsidRPr="00664C8C">
        <w:rPr>
          <w:rFonts w:eastAsia="Times New Roman"/>
          <w:szCs w:val="20"/>
        </w:rPr>
        <w:tab/>
        <w:t>6929424mN</w:t>
      </w:r>
    </w:p>
    <w:p w:rsidR="00664C8C" w:rsidRPr="00664C8C" w:rsidRDefault="00664C8C" w:rsidP="00664C8C">
      <w:pPr>
        <w:spacing w:after="0"/>
        <w:ind w:left="1418" w:hanging="1276"/>
        <w:rPr>
          <w:rFonts w:eastAsia="Times New Roman"/>
          <w:szCs w:val="20"/>
        </w:rPr>
      </w:pPr>
      <w:r w:rsidRPr="00664C8C">
        <w:rPr>
          <w:rFonts w:eastAsia="Times New Roman"/>
          <w:szCs w:val="20"/>
        </w:rPr>
        <w:t>339014mE</w:t>
      </w:r>
      <w:r w:rsidRPr="00664C8C">
        <w:rPr>
          <w:rFonts w:eastAsia="Times New Roman"/>
          <w:szCs w:val="20"/>
        </w:rPr>
        <w:tab/>
        <w:t>6930342mN</w:t>
      </w:r>
    </w:p>
    <w:p w:rsidR="00664C8C" w:rsidRPr="00664C8C" w:rsidRDefault="00664C8C" w:rsidP="00664C8C">
      <w:pPr>
        <w:ind w:left="1418" w:hanging="1276"/>
        <w:rPr>
          <w:rFonts w:eastAsia="Times New Roman"/>
          <w:szCs w:val="20"/>
        </w:rPr>
      </w:pPr>
      <w:r w:rsidRPr="00664C8C">
        <w:rPr>
          <w:rFonts w:eastAsia="Times New Roman"/>
          <w:szCs w:val="20"/>
        </w:rPr>
        <w:t>338740mE</w:t>
      </w:r>
      <w:r w:rsidRPr="00664C8C">
        <w:rPr>
          <w:rFonts w:eastAsia="Times New Roman"/>
          <w:szCs w:val="20"/>
        </w:rPr>
        <w:tab/>
        <w:t>6930344mN</w:t>
      </w:r>
    </w:p>
    <w:p w:rsidR="00664C8C" w:rsidRPr="00664C8C" w:rsidRDefault="00664C8C" w:rsidP="00664C8C">
      <w:pPr>
        <w:rPr>
          <w:rFonts w:eastAsia="Times New Roman"/>
          <w:szCs w:val="20"/>
        </w:rPr>
      </w:pPr>
      <w:r w:rsidRPr="00664C8C">
        <w:rPr>
          <w:rFonts w:eastAsia="Times New Roman"/>
          <w:szCs w:val="20"/>
        </w:rPr>
        <w:t xml:space="preserve">AREA: </w:t>
      </w:r>
      <w:r w:rsidRPr="00664C8C">
        <w:rPr>
          <w:rFonts w:eastAsia="Times New Roman"/>
          <w:b/>
          <w:szCs w:val="20"/>
        </w:rPr>
        <w:t>0.97</w:t>
      </w:r>
      <w:r w:rsidRPr="00664C8C">
        <w:rPr>
          <w:rFonts w:eastAsia="Times New Roman"/>
          <w:szCs w:val="20"/>
        </w:rPr>
        <w:t xml:space="preserve"> square kilometres approximately</w:t>
      </w:r>
    </w:p>
    <w:p w:rsidR="00664C8C" w:rsidRPr="00664C8C" w:rsidRDefault="00664C8C" w:rsidP="00664C8C">
      <w:pPr>
        <w:spacing w:after="0"/>
        <w:rPr>
          <w:rFonts w:eastAsia="Times New Roman"/>
          <w:szCs w:val="17"/>
        </w:rPr>
      </w:pPr>
      <w:r w:rsidRPr="00664C8C">
        <w:rPr>
          <w:rFonts w:eastAsia="Times New Roman"/>
          <w:szCs w:val="17"/>
        </w:rPr>
        <w:t>Dated: 16 July 2020</w:t>
      </w:r>
    </w:p>
    <w:p w:rsidR="00664C8C" w:rsidRPr="00664C8C" w:rsidRDefault="00664C8C" w:rsidP="00664C8C">
      <w:pPr>
        <w:spacing w:after="0"/>
        <w:jc w:val="right"/>
        <w:rPr>
          <w:rFonts w:eastAsia="Times New Roman"/>
          <w:smallCaps/>
          <w:szCs w:val="20"/>
        </w:rPr>
      </w:pPr>
      <w:r w:rsidRPr="00664C8C">
        <w:rPr>
          <w:rFonts w:eastAsia="Times New Roman"/>
          <w:smallCaps/>
          <w:szCs w:val="20"/>
        </w:rPr>
        <w:t>Barry A. Goldstein</w:t>
      </w:r>
    </w:p>
    <w:p w:rsidR="00664C8C" w:rsidRPr="00664C8C" w:rsidRDefault="00664C8C" w:rsidP="00664C8C">
      <w:pPr>
        <w:spacing w:after="0"/>
        <w:jc w:val="right"/>
        <w:rPr>
          <w:rFonts w:eastAsia="Times New Roman"/>
          <w:szCs w:val="17"/>
        </w:rPr>
      </w:pPr>
      <w:r w:rsidRPr="00664C8C">
        <w:rPr>
          <w:rFonts w:eastAsia="Times New Roman"/>
          <w:szCs w:val="17"/>
        </w:rPr>
        <w:t>Executive Director</w:t>
      </w:r>
    </w:p>
    <w:p w:rsidR="00664C8C" w:rsidRPr="00664C8C" w:rsidRDefault="00664C8C" w:rsidP="00664C8C">
      <w:pPr>
        <w:spacing w:after="0"/>
        <w:jc w:val="right"/>
        <w:rPr>
          <w:rFonts w:eastAsia="Times New Roman"/>
          <w:szCs w:val="17"/>
        </w:rPr>
      </w:pPr>
      <w:r w:rsidRPr="00664C8C">
        <w:rPr>
          <w:rFonts w:eastAsia="Times New Roman"/>
          <w:szCs w:val="17"/>
        </w:rPr>
        <w:t>Energy Resources Division</w:t>
      </w:r>
    </w:p>
    <w:p w:rsidR="00664C8C" w:rsidRPr="00664C8C" w:rsidRDefault="00664C8C" w:rsidP="00664C8C">
      <w:pPr>
        <w:spacing w:after="0"/>
        <w:jc w:val="right"/>
        <w:rPr>
          <w:rFonts w:eastAsia="Times New Roman"/>
          <w:szCs w:val="17"/>
        </w:rPr>
      </w:pPr>
      <w:r w:rsidRPr="00664C8C">
        <w:rPr>
          <w:rFonts w:eastAsia="Times New Roman"/>
          <w:szCs w:val="17"/>
        </w:rPr>
        <w:t>Department for Energy and Mining</w:t>
      </w:r>
    </w:p>
    <w:p w:rsidR="006C7B7D" w:rsidRDefault="00664C8C" w:rsidP="00A60FDB">
      <w:pPr>
        <w:spacing w:after="0"/>
        <w:jc w:val="right"/>
        <w:rPr>
          <w:rFonts w:eastAsia="Times New Roman"/>
          <w:szCs w:val="17"/>
        </w:rPr>
      </w:pPr>
      <w:r w:rsidRPr="00664C8C">
        <w:rPr>
          <w:rFonts w:eastAsia="Times New Roman"/>
          <w:szCs w:val="17"/>
        </w:rPr>
        <w:t>Delegate of the Minister for Energy and Mining</w:t>
      </w:r>
    </w:p>
    <w:p w:rsidR="00A60FDB" w:rsidRDefault="00A60FDB" w:rsidP="00A60FDB">
      <w:pPr>
        <w:pBdr>
          <w:bottom w:val="single" w:sz="4" w:space="1" w:color="auto"/>
        </w:pBdr>
        <w:spacing w:after="0" w:line="52" w:lineRule="exact"/>
        <w:jc w:val="center"/>
        <w:rPr>
          <w:lang w:val="en-US"/>
        </w:rPr>
      </w:pPr>
    </w:p>
    <w:p w:rsidR="00A60FDB" w:rsidRDefault="00A60FDB" w:rsidP="00A60FDB">
      <w:pPr>
        <w:pBdr>
          <w:top w:val="single" w:sz="4" w:space="1" w:color="auto"/>
        </w:pBdr>
        <w:spacing w:before="34" w:after="0" w:line="14" w:lineRule="exact"/>
        <w:jc w:val="center"/>
        <w:rPr>
          <w:lang w:val="en-US"/>
        </w:rPr>
      </w:pPr>
    </w:p>
    <w:p w:rsidR="00A60FDB" w:rsidRDefault="00A60FDB" w:rsidP="00A60FD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076B36" w:rsidRPr="00076B36" w:rsidRDefault="001D31F5" w:rsidP="001D31F5">
      <w:pPr>
        <w:pStyle w:val="Heading2"/>
      </w:pPr>
      <w:bookmarkStart w:id="760" w:name="_Toc46398102"/>
      <w:r w:rsidRPr="00076B36">
        <w:t xml:space="preserve">Planning, Development </w:t>
      </w:r>
      <w:r>
        <w:t>a</w:t>
      </w:r>
      <w:r w:rsidRPr="00076B36">
        <w:t>nd Infrastructure Act 2016</w:t>
      </w:r>
      <w:bookmarkEnd w:id="760"/>
    </w:p>
    <w:p w:rsidR="00076B36" w:rsidRPr="00076B36" w:rsidRDefault="00076B36" w:rsidP="00076B36">
      <w:pPr>
        <w:jc w:val="center"/>
        <w:rPr>
          <w:smallCaps/>
          <w:szCs w:val="17"/>
        </w:rPr>
      </w:pPr>
      <w:r w:rsidRPr="00076B36">
        <w:rPr>
          <w:smallCaps/>
          <w:szCs w:val="17"/>
        </w:rPr>
        <w:t>Section 84(1)(</w:t>
      </w:r>
      <w:r w:rsidRPr="00076B36">
        <w:rPr>
          <w:szCs w:val="17"/>
        </w:rPr>
        <w:t>j</w:t>
      </w:r>
      <w:r w:rsidRPr="00076B36">
        <w:rPr>
          <w:smallCaps/>
          <w:szCs w:val="17"/>
        </w:rPr>
        <w:t>)</w:t>
      </w:r>
    </w:p>
    <w:p w:rsidR="00076B36" w:rsidRPr="00076B36" w:rsidRDefault="00076B36" w:rsidP="00076B36">
      <w:pPr>
        <w:jc w:val="center"/>
        <w:rPr>
          <w:i/>
          <w:szCs w:val="17"/>
        </w:rPr>
      </w:pPr>
      <w:r w:rsidRPr="00076B36">
        <w:rPr>
          <w:i/>
          <w:szCs w:val="17"/>
        </w:rPr>
        <w:t>Revocation of Notice of Constitution of Eastern Eyre Peninsula Regional Assessment Panel</w:t>
      </w:r>
    </w:p>
    <w:p w:rsidR="00076B36" w:rsidRPr="00076B36" w:rsidRDefault="00076B36" w:rsidP="00076B36">
      <w:pPr>
        <w:rPr>
          <w:rFonts w:eastAsia="Times New Roman"/>
          <w:i/>
          <w:szCs w:val="17"/>
        </w:rPr>
      </w:pPr>
      <w:r w:rsidRPr="00076B36">
        <w:rPr>
          <w:rFonts w:eastAsia="Times New Roman"/>
          <w:i/>
          <w:szCs w:val="17"/>
        </w:rPr>
        <w:t>Preamble</w:t>
      </w:r>
    </w:p>
    <w:p w:rsidR="00076B36" w:rsidRPr="00076B36" w:rsidRDefault="00076B36" w:rsidP="00076B36">
      <w:pPr>
        <w:ind w:left="426" w:hanging="284"/>
        <w:rPr>
          <w:rFonts w:eastAsia="Times New Roman"/>
          <w:szCs w:val="17"/>
        </w:rPr>
      </w:pPr>
      <w:r w:rsidRPr="00076B36">
        <w:rPr>
          <w:rFonts w:eastAsia="Times New Roman"/>
          <w:szCs w:val="17"/>
        </w:rPr>
        <w:t>1.</w:t>
      </w:r>
      <w:r w:rsidRPr="00076B36">
        <w:rPr>
          <w:rFonts w:eastAsia="Times New Roman"/>
          <w:szCs w:val="17"/>
        </w:rPr>
        <w:tab/>
        <w:t xml:space="preserve">Section 84(1)(j) of the Planning, </w:t>
      </w:r>
      <w:r w:rsidRPr="00076B36">
        <w:rPr>
          <w:rFonts w:eastAsia="Times New Roman"/>
          <w:i/>
          <w:szCs w:val="17"/>
        </w:rPr>
        <w:t>Development and Infrastructure Act 2016</w:t>
      </w:r>
      <w:r w:rsidRPr="00076B36">
        <w:rPr>
          <w:rFonts w:eastAsia="Times New Roman"/>
          <w:szCs w:val="17"/>
        </w:rPr>
        <w:t xml:space="preserve"> provides that the Minister for Planning may, by subsequent notice published in the Gazette, vary or revoke a notice under Section 84(1)(a).</w:t>
      </w:r>
    </w:p>
    <w:p w:rsidR="00076B36" w:rsidRPr="00076B36" w:rsidRDefault="00076B36" w:rsidP="00076B36">
      <w:pPr>
        <w:ind w:left="426" w:hanging="284"/>
        <w:rPr>
          <w:rFonts w:eastAsia="Times New Roman"/>
          <w:szCs w:val="17"/>
        </w:rPr>
      </w:pPr>
      <w:r w:rsidRPr="00076B36">
        <w:rPr>
          <w:rFonts w:eastAsia="Times New Roman"/>
          <w:szCs w:val="17"/>
        </w:rPr>
        <w:t>2.</w:t>
      </w:r>
      <w:r w:rsidRPr="00076B36">
        <w:rPr>
          <w:rFonts w:eastAsia="Times New Roman"/>
          <w:szCs w:val="17"/>
        </w:rPr>
        <w:tab/>
        <w:t xml:space="preserve">Under Section 84(1)(a) and Schedule 8, Clause 13(1)(a) of the </w:t>
      </w:r>
      <w:r w:rsidRPr="00076B36">
        <w:rPr>
          <w:rFonts w:eastAsia="Times New Roman"/>
          <w:i/>
          <w:szCs w:val="17"/>
        </w:rPr>
        <w:t>Planning, Development and Infrastructure Act 2016</w:t>
      </w:r>
      <w:r w:rsidRPr="00076B36">
        <w:rPr>
          <w:rFonts w:eastAsia="Times New Roman"/>
          <w:szCs w:val="17"/>
        </w:rPr>
        <w:t xml:space="preserve">, the Minister for Planning constituted the Eastern Eyre Peninsula Regional Assessment Panel by notice published in the </w:t>
      </w:r>
      <w:r w:rsidRPr="00076B36">
        <w:rPr>
          <w:rFonts w:eastAsia="Times New Roman"/>
          <w:i/>
          <w:szCs w:val="17"/>
        </w:rPr>
        <w:t>Government Gazette</w:t>
      </w:r>
      <w:r w:rsidRPr="00076B36">
        <w:rPr>
          <w:rFonts w:eastAsia="Times New Roman"/>
          <w:szCs w:val="17"/>
        </w:rPr>
        <w:t xml:space="preserve"> No. 67 on Friday 29 September 2017, page 4219, titled </w:t>
      </w:r>
      <w:r w:rsidRPr="00076B36">
        <w:rPr>
          <w:rFonts w:eastAsia="Times New Roman"/>
          <w:i/>
          <w:szCs w:val="17"/>
        </w:rPr>
        <w:t>Constitution of Eastern Eyre Peninsula Regional Assessment Panel</w:t>
      </w:r>
      <w:r w:rsidRPr="00076B36">
        <w:rPr>
          <w:rFonts w:eastAsia="Times New Roman"/>
          <w:szCs w:val="17"/>
        </w:rPr>
        <w:t>.</w:t>
      </w:r>
    </w:p>
    <w:p w:rsidR="00076B36" w:rsidRPr="00076B36" w:rsidRDefault="00076B36" w:rsidP="00076B36">
      <w:pPr>
        <w:ind w:left="426" w:hanging="284"/>
        <w:rPr>
          <w:rFonts w:eastAsia="Times New Roman"/>
          <w:szCs w:val="17"/>
        </w:rPr>
      </w:pPr>
      <w:r w:rsidRPr="00076B36">
        <w:rPr>
          <w:rFonts w:eastAsia="Times New Roman"/>
          <w:szCs w:val="17"/>
        </w:rPr>
        <w:t>3.</w:t>
      </w:r>
      <w:r w:rsidRPr="00076B36">
        <w:rPr>
          <w:rFonts w:eastAsia="Times New Roman"/>
          <w:szCs w:val="17"/>
        </w:rPr>
        <w:tab/>
      </w:r>
      <w:r w:rsidRPr="00076B36">
        <w:rPr>
          <w:rFonts w:eastAsia="Times New Roman"/>
          <w:spacing w:val="-2"/>
          <w:szCs w:val="17"/>
        </w:rPr>
        <w:t xml:space="preserve">Under section 84(1)(j) of the </w:t>
      </w:r>
      <w:r w:rsidRPr="00076B36">
        <w:rPr>
          <w:rFonts w:eastAsia="Times New Roman"/>
          <w:i/>
          <w:spacing w:val="-2"/>
          <w:szCs w:val="17"/>
        </w:rPr>
        <w:t>Planning, Development and Infrastructure Act 2016</w:t>
      </w:r>
      <w:r w:rsidRPr="00076B36">
        <w:rPr>
          <w:rFonts w:eastAsia="Times New Roman"/>
          <w:spacing w:val="-2"/>
          <w:szCs w:val="17"/>
        </w:rPr>
        <w:t xml:space="preserve">, the Minister for Planning varied the Eastern Eyre Peninsula Regional Assessment Panel by subsequent notice published in the </w:t>
      </w:r>
      <w:r w:rsidRPr="00076B36">
        <w:rPr>
          <w:rFonts w:eastAsia="Times New Roman"/>
          <w:i/>
          <w:spacing w:val="-2"/>
          <w:szCs w:val="17"/>
        </w:rPr>
        <w:t>Government Gazette</w:t>
      </w:r>
      <w:r w:rsidRPr="00076B36">
        <w:rPr>
          <w:rFonts w:eastAsia="Times New Roman"/>
          <w:spacing w:val="-2"/>
          <w:szCs w:val="17"/>
        </w:rPr>
        <w:t xml:space="preserve"> No. 50 on Thursday 17 October 2019, page 3528, titled </w:t>
      </w:r>
      <w:r w:rsidRPr="00076B36">
        <w:rPr>
          <w:rFonts w:eastAsia="Times New Roman"/>
          <w:i/>
          <w:spacing w:val="-2"/>
          <w:szCs w:val="17"/>
        </w:rPr>
        <w:t>Variation of Eastern Eyre Peninsula Regional Assessment Panel</w:t>
      </w:r>
      <w:r w:rsidRPr="00076B36">
        <w:rPr>
          <w:rFonts w:eastAsia="Times New Roman"/>
          <w:spacing w:val="-2"/>
          <w:szCs w:val="17"/>
        </w:rPr>
        <w:t>.</w:t>
      </w:r>
    </w:p>
    <w:p w:rsidR="00076B36" w:rsidRPr="00076B36" w:rsidRDefault="00076B36" w:rsidP="00076B36">
      <w:pPr>
        <w:jc w:val="center"/>
        <w:rPr>
          <w:smallCaps/>
          <w:szCs w:val="17"/>
        </w:rPr>
      </w:pPr>
      <w:r w:rsidRPr="00076B36">
        <w:rPr>
          <w:smallCaps/>
          <w:szCs w:val="17"/>
        </w:rPr>
        <w:t>Notice</w:t>
      </w:r>
    </w:p>
    <w:p w:rsidR="00076B36" w:rsidRPr="00076B36" w:rsidRDefault="00076B36" w:rsidP="00076B36">
      <w:pPr>
        <w:rPr>
          <w:rFonts w:eastAsia="Times New Roman"/>
          <w:szCs w:val="17"/>
        </w:rPr>
      </w:pPr>
      <w:r w:rsidRPr="00076B36">
        <w:rPr>
          <w:rFonts w:eastAsia="Times New Roman"/>
          <w:szCs w:val="17"/>
        </w:rPr>
        <w:t xml:space="preserve">PURSUANT to Section 84(1)(j) of the </w:t>
      </w:r>
      <w:r w:rsidRPr="00076B36">
        <w:rPr>
          <w:rFonts w:eastAsia="Times New Roman"/>
          <w:i/>
          <w:szCs w:val="17"/>
        </w:rPr>
        <w:t>Planning, Development and Infrastructure Act 2016</w:t>
      </w:r>
      <w:r w:rsidRPr="00076B36">
        <w:rPr>
          <w:rFonts w:eastAsia="Times New Roman"/>
          <w:szCs w:val="17"/>
        </w:rPr>
        <w:t xml:space="preserve">, I, Stephan Knoll, Minister for Planning, hereby </w:t>
      </w:r>
      <w:r w:rsidRPr="00076B36">
        <w:rPr>
          <w:rFonts w:eastAsia="Times New Roman"/>
          <w:b/>
          <w:szCs w:val="17"/>
        </w:rPr>
        <w:t>revoke</w:t>
      </w:r>
      <w:r w:rsidRPr="00076B36">
        <w:rPr>
          <w:rFonts w:eastAsia="Times New Roman"/>
          <w:szCs w:val="17"/>
        </w:rPr>
        <w:t xml:space="preserve"> the notice under Section 84(1)(a) and Schedule 8, Clause 13(1)(a) of the </w:t>
      </w:r>
      <w:r w:rsidRPr="00076B36">
        <w:rPr>
          <w:rFonts w:eastAsia="Times New Roman"/>
          <w:i/>
          <w:szCs w:val="17"/>
        </w:rPr>
        <w:t>Planning, Development and Infrastructure Act 2016</w:t>
      </w:r>
      <w:r w:rsidRPr="00076B36">
        <w:rPr>
          <w:rFonts w:eastAsia="Times New Roman"/>
          <w:szCs w:val="17"/>
        </w:rPr>
        <w:t>, published in the Government Gazette No. 67 on Friday 29 September 2017, page 4219, titled Constitution of Eastern Eyre Peninsula Regional Assessment Panel, as subsequently varied, effective from 31 July 2020.</w:t>
      </w:r>
    </w:p>
    <w:p w:rsidR="00076B36" w:rsidRPr="00076B36" w:rsidRDefault="00076B36" w:rsidP="00076B36">
      <w:pPr>
        <w:spacing w:after="0"/>
        <w:rPr>
          <w:rFonts w:eastAsia="Times New Roman"/>
          <w:szCs w:val="17"/>
        </w:rPr>
      </w:pPr>
      <w:r w:rsidRPr="00076B36">
        <w:rPr>
          <w:rFonts w:eastAsia="Times New Roman"/>
          <w:szCs w:val="17"/>
        </w:rPr>
        <w:t>Dated: 21 July 2020</w:t>
      </w:r>
    </w:p>
    <w:p w:rsidR="00076B36" w:rsidRPr="00076B36" w:rsidRDefault="00076B36" w:rsidP="00076B36">
      <w:pPr>
        <w:spacing w:after="0"/>
        <w:jc w:val="right"/>
        <w:rPr>
          <w:rFonts w:eastAsia="Times New Roman"/>
          <w:smallCaps/>
          <w:szCs w:val="20"/>
        </w:rPr>
      </w:pPr>
      <w:r w:rsidRPr="00076B36">
        <w:rPr>
          <w:rFonts w:eastAsia="Times New Roman"/>
          <w:smallCaps/>
          <w:szCs w:val="20"/>
        </w:rPr>
        <w:t>Stephan Knoll</w:t>
      </w:r>
    </w:p>
    <w:p w:rsidR="00076B36" w:rsidRPr="00076B36" w:rsidRDefault="00076B36" w:rsidP="00076B36">
      <w:pPr>
        <w:spacing w:after="0"/>
        <w:jc w:val="right"/>
        <w:rPr>
          <w:rFonts w:eastAsia="Times New Roman"/>
          <w:szCs w:val="17"/>
        </w:rPr>
      </w:pPr>
      <w:r w:rsidRPr="00076B36">
        <w:rPr>
          <w:rFonts w:eastAsia="Times New Roman"/>
          <w:szCs w:val="17"/>
        </w:rPr>
        <w:t>Minister for Planning</w:t>
      </w:r>
    </w:p>
    <w:p w:rsidR="00076B36" w:rsidRPr="00076B36" w:rsidRDefault="00076B36" w:rsidP="00076B36">
      <w:pPr>
        <w:pBdr>
          <w:top w:val="single" w:sz="4" w:space="1" w:color="auto"/>
        </w:pBdr>
        <w:spacing w:before="100" w:line="14" w:lineRule="exact"/>
        <w:ind w:left="1080" w:right="1080"/>
        <w:jc w:val="center"/>
        <w:rPr>
          <w:rFonts w:eastAsia="Times New Roman"/>
          <w:szCs w:val="17"/>
        </w:rPr>
      </w:pPr>
    </w:p>
    <w:p w:rsidR="00076B36" w:rsidRPr="00076B36" w:rsidRDefault="00076B36" w:rsidP="00076B3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1A0A92" w:rsidRDefault="001A0A92">
      <w:pPr>
        <w:spacing w:after="0" w:line="240" w:lineRule="auto"/>
        <w:jc w:val="left"/>
        <w:rPr>
          <w:lang w:val="en-US"/>
        </w:rPr>
      </w:pPr>
      <w:r>
        <w:rPr>
          <w:lang w:val="en-US"/>
        </w:rPr>
        <w:br w:type="page"/>
      </w:r>
    </w:p>
    <w:p w:rsidR="001A0A92" w:rsidRPr="001A0A92" w:rsidRDefault="001A0A92" w:rsidP="001A0A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0" w:lineRule="exact"/>
        <w:rPr>
          <w:rFonts w:eastAsia="Times New Roman"/>
          <w:szCs w:val="17"/>
        </w:rPr>
      </w:pPr>
    </w:p>
    <w:p w:rsidR="001A0A92" w:rsidRPr="001A0A92" w:rsidRDefault="001A0A92" w:rsidP="001A0A92">
      <w:pPr>
        <w:keepLines/>
        <w:autoSpaceDE w:val="0"/>
        <w:autoSpaceDN w:val="0"/>
        <w:adjustRightInd w:val="0"/>
        <w:spacing w:before="240" w:after="0" w:line="240" w:lineRule="auto"/>
        <w:rPr>
          <w:rFonts w:eastAsia="Times New Roman"/>
          <w:color w:val="000000"/>
          <w:sz w:val="28"/>
          <w:szCs w:val="28"/>
        </w:rPr>
      </w:pPr>
      <w:r w:rsidRPr="001A0A92">
        <w:rPr>
          <w:rFonts w:eastAsia="Times New Roman"/>
          <w:color w:val="000000"/>
          <w:sz w:val="28"/>
          <w:szCs w:val="28"/>
        </w:rPr>
        <w:t>South Australia</w:t>
      </w:r>
    </w:p>
    <w:p w:rsidR="001A0A92" w:rsidRPr="001A0A92" w:rsidRDefault="001A0A92" w:rsidP="001A0A92">
      <w:pPr>
        <w:keepLines/>
        <w:autoSpaceDE w:val="0"/>
        <w:autoSpaceDN w:val="0"/>
        <w:adjustRightInd w:val="0"/>
        <w:spacing w:before="120" w:after="200" w:line="240" w:lineRule="auto"/>
        <w:rPr>
          <w:rFonts w:eastAsia="Times New Roman"/>
          <w:b/>
          <w:bCs/>
          <w:color w:val="000000"/>
          <w:sz w:val="36"/>
          <w:szCs w:val="36"/>
        </w:rPr>
      </w:pPr>
      <w:r w:rsidRPr="001A0A92">
        <w:rPr>
          <w:rFonts w:eastAsia="Times New Roman"/>
          <w:b/>
          <w:bCs/>
          <w:color w:val="000000"/>
          <w:sz w:val="36"/>
          <w:szCs w:val="36"/>
        </w:rPr>
        <w:t>Fleurieu Regional Assessment Panel Notice 2020</w:t>
      </w:r>
    </w:p>
    <w:p w:rsidR="001A0A92" w:rsidRPr="001A0A92" w:rsidRDefault="001A0A92" w:rsidP="001A0A92">
      <w:pPr>
        <w:keepLines/>
        <w:autoSpaceDE w:val="0"/>
        <w:autoSpaceDN w:val="0"/>
        <w:adjustRightInd w:val="0"/>
        <w:spacing w:before="80" w:after="240" w:line="240" w:lineRule="auto"/>
        <w:rPr>
          <w:rFonts w:eastAsia="Times New Roman"/>
          <w:color w:val="000000"/>
          <w:sz w:val="24"/>
          <w:szCs w:val="24"/>
        </w:rPr>
      </w:pPr>
      <w:r w:rsidRPr="001A0A92">
        <w:rPr>
          <w:rFonts w:eastAsia="Times New Roman"/>
          <w:color w:val="000000"/>
          <w:sz w:val="24"/>
          <w:szCs w:val="24"/>
        </w:rPr>
        <w:t xml:space="preserve">under section 84 of the </w:t>
      </w:r>
      <w:r w:rsidRPr="001A0A92">
        <w:rPr>
          <w:rFonts w:eastAsia="Times New Roman"/>
          <w:i/>
          <w:iCs/>
          <w:color w:val="000000"/>
          <w:sz w:val="24"/>
          <w:szCs w:val="24"/>
        </w:rPr>
        <w:t>Planning, Development and Infrastructure Act 2016</w:t>
      </w:r>
    </w:p>
    <w:p w:rsidR="001A0A92" w:rsidRPr="001A0A92" w:rsidRDefault="001A0A92" w:rsidP="001A0A92">
      <w:pPr>
        <w:keepLines/>
        <w:pBdr>
          <w:top w:val="single" w:sz="4" w:space="0" w:color="auto"/>
        </w:pBdr>
        <w:autoSpaceDE w:val="0"/>
        <w:autoSpaceDN w:val="0"/>
        <w:adjustRightInd w:val="0"/>
        <w:spacing w:before="120" w:after="120" w:line="240" w:lineRule="auto"/>
        <w:rPr>
          <w:rFonts w:eastAsia="Times New Roman"/>
          <w:color w:val="000000"/>
          <w:sz w:val="2"/>
          <w:szCs w:val="2"/>
        </w:rPr>
      </w:pPr>
    </w:p>
    <w:p w:rsidR="001A0A92" w:rsidRPr="001A0A92" w:rsidRDefault="001A0A92" w:rsidP="001A0A9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A0A92">
        <w:rPr>
          <w:rFonts w:eastAsia="Times New Roman"/>
          <w:b/>
          <w:bCs/>
          <w:color w:val="000000"/>
          <w:sz w:val="32"/>
          <w:szCs w:val="32"/>
          <w:lang w:eastAsia="en-AU"/>
        </w:rPr>
        <w:t>Part 1—Preliminary</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1—Short title</w:t>
      </w:r>
    </w:p>
    <w:p w:rsidR="001A0A92" w:rsidRPr="001A0A92" w:rsidRDefault="001A0A92" w:rsidP="001A0A92">
      <w:pPr>
        <w:keepLines/>
        <w:autoSpaceDE w:val="0"/>
        <w:autoSpaceDN w:val="0"/>
        <w:adjustRightInd w:val="0"/>
        <w:spacing w:before="120" w:after="0" w:line="240" w:lineRule="auto"/>
        <w:ind w:left="794"/>
        <w:rPr>
          <w:rFonts w:eastAsia="Times New Roman"/>
          <w:color w:val="000000"/>
          <w:sz w:val="23"/>
          <w:szCs w:val="23"/>
        </w:rPr>
      </w:pPr>
      <w:r w:rsidRPr="001A0A92">
        <w:rPr>
          <w:rFonts w:eastAsia="Times New Roman"/>
          <w:color w:val="000000"/>
          <w:sz w:val="23"/>
          <w:szCs w:val="23"/>
        </w:rPr>
        <w:t xml:space="preserve">This notice may be cited as the </w:t>
      </w:r>
      <w:r w:rsidRPr="001A0A92">
        <w:rPr>
          <w:rFonts w:eastAsia="Times New Roman"/>
          <w:i/>
          <w:iCs/>
          <w:color w:val="000000"/>
          <w:sz w:val="23"/>
          <w:szCs w:val="23"/>
        </w:rPr>
        <w:t>Fleurieu Regional Assessment Panel Notice 2020</w:t>
      </w:r>
      <w:r w:rsidRPr="001A0A92">
        <w:rPr>
          <w:rFonts w:eastAsia="Times New Roman"/>
          <w:color w:val="000000"/>
          <w:sz w:val="23"/>
          <w:szCs w:val="23"/>
        </w:rPr>
        <w:t>.</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2—Commencement</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r>
      <w:r w:rsidRPr="001A0A92">
        <w:rPr>
          <w:rFonts w:eastAsia="Times New Roman"/>
          <w:color w:val="000000"/>
          <w:sz w:val="23"/>
          <w:szCs w:val="23"/>
        </w:rPr>
        <w:tab/>
      </w:r>
      <w:bookmarkStart w:id="761" w:name="id50270516_c7c1_43ac_ac39_cd41ad8e6d"/>
      <w:r w:rsidRPr="001A0A92">
        <w:rPr>
          <w:rFonts w:eastAsia="Times New Roman"/>
          <w:color w:val="000000"/>
          <w:sz w:val="23"/>
          <w:szCs w:val="23"/>
        </w:rPr>
        <w:t>This notice comes into operation on 31 July 2020.</w:t>
      </w:r>
      <w:bookmarkEnd w:id="761"/>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3—Interpretation</w:t>
      </w:r>
    </w:p>
    <w:p w:rsidR="001A0A92" w:rsidRPr="001A0A92" w:rsidRDefault="001A0A92" w:rsidP="001A0A92">
      <w:pPr>
        <w:keepNext/>
        <w:keepLines/>
        <w:autoSpaceDE w:val="0"/>
        <w:autoSpaceDN w:val="0"/>
        <w:adjustRightInd w:val="0"/>
        <w:spacing w:before="120" w:after="0" w:line="240" w:lineRule="auto"/>
        <w:ind w:left="794"/>
        <w:rPr>
          <w:rFonts w:eastAsia="Times New Roman"/>
          <w:color w:val="000000"/>
          <w:sz w:val="23"/>
          <w:szCs w:val="23"/>
        </w:rPr>
      </w:pPr>
      <w:r w:rsidRPr="001A0A92">
        <w:rPr>
          <w:rFonts w:eastAsia="Times New Roman"/>
          <w:color w:val="000000"/>
          <w:sz w:val="23"/>
          <w:szCs w:val="23"/>
        </w:rPr>
        <w:t>In this notice—</w:t>
      </w:r>
    </w:p>
    <w:p w:rsidR="001A0A92" w:rsidRPr="001A0A92" w:rsidRDefault="001A0A92" w:rsidP="001A0A92">
      <w:pPr>
        <w:keepLines/>
        <w:autoSpaceDE w:val="0"/>
        <w:autoSpaceDN w:val="0"/>
        <w:adjustRightInd w:val="0"/>
        <w:spacing w:before="120" w:after="0" w:line="240" w:lineRule="auto"/>
        <w:ind w:left="794"/>
        <w:rPr>
          <w:rFonts w:eastAsia="Times New Roman"/>
          <w:sz w:val="24"/>
          <w:szCs w:val="24"/>
        </w:rPr>
      </w:pPr>
      <w:r w:rsidRPr="001A0A92">
        <w:rPr>
          <w:rFonts w:eastAsia="Times New Roman"/>
          <w:b/>
          <w:bCs/>
          <w:i/>
          <w:iCs/>
          <w:color w:val="000000"/>
          <w:sz w:val="23"/>
          <w:szCs w:val="23"/>
        </w:rPr>
        <w:t>Act</w:t>
      </w:r>
      <w:r w:rsidRPr="001A0A92">
        <w:rPr>
          <w:rFonts w:eastAsia="Times New Roman"/>
          <w:color w:val="000000"/>
          <w:sz w:val="23"/>
          <w:szCs w:val="23"/>
        </w:rPr>
        <w:t xml:space="preserve"> means the </w:t>
      </w:r>
      <w:hyperlink r:id="rId91" w:history="1">
        <w:r w:rsidRPr="001A0A92">
          <w:rPr>
            <w:rFonts w:eastAsia="Times New Roman"/>
            <w:i/>
            <w:iCs/>
            <w:color w:val="000000"/>
            <w:sz w:val="23"/>
            <w:szCs w:val="23"/>
          </w:rPr>
          <w:t>Planning,</w:t>
        </w:r>
      </w:hyperlink>
      <w:r w:rsidRPr="001A0A92">
        <w:rPr>
          <w:rFonts w:eastAsia="Times New Roman"/>
          <w:i/>
          <w:iCs/>
          <w:color w:val="000000"/>
          <w:sz w:val="23"/>
          <w:szCs w:val="23"/>
        </w:rPr>
        <w:t xml:space="preserve"> Development and Infrastructure Act 2016</w:t>
      </w:r>
      <w:r w:rsidRPr="001A0A92">
        <w:rPr>
          <w:rFonts w:eastAsia="Times New Roman"/>
          <w:color w:val="000000"/>
          <w:sz w:val="23"/>
          <w:szCs w:val="23"/>
        </w:rPr>
        <w:t>;</w:t>
      </w:r>
    </w:p>
    <w:p w:rsidR="001A0A92" w:rsidRPr="001A0A92" w:rsidRDefault="001A0A92" w:rsidP="001A0A92">
      <w:pPr>
        <w:keepLines/>
        <w:autoSpaceDE w:val="0"/>
        <w:autoSpaceDN w:val="0"/>
        <w:adjustRightInd w:val="0"/>
        <w:spacing w:before="120" w:after="0" w:line="240" w:lineRule="auto"/>
        <w:ind w:left="794"/>
        <w:rPr>
          <w:rFonts w:eastAsia="Times New Roman"/>
          <w:color w:val="000000"/>
          <w:sz w:val="23"/>
          <w:szCs w:val="23"/>
        </w:rPr>
      </w:pPr>
      <w:r w:rsidRPr="001A0A92">
        <w:rPr>
          <w:rFonts w:eastAsia="Times New Roman"/>
          <w:b/>
          <w:bCs/>
          <w:i/>
          <w:iCs/>
          <w:color w:val="000000"/>
          <w:sz w:val="23"/>
          <w:szCs w:val="23"/>
        </w:rPr>
        <w:t>panel</w:t>
      </w:r>
      <w:r w:rsidRPr="001A0A92">
        <w:rPr>
          <w:rFonts w:eastAsia="Times New Roman"/>
          <w:color w:val="000000"/>
          <w:sz w:val="23"/>
          <w:szCs w:val="23"/>
        </w:rPr>
        <w:t xml:space="preserve"> means the assessment panel constituted under clause 4;</w:t>
      </w:r>
    </w:p>
    <w:p w:rsidR="001A0A92" w:rsidRPr="001A0A92" w:rsidRDefault="001A0A92" w:rsidP="001A0A92">
      <w:pPr>
        <w:keepLines/>
        <w:autoSpaceDE w:val="0"/>
        <w:autoSpaceDN w:val="0"/>
        <w:adjustRightInd w:val="0"/>
        <w:spacing w:before="120" w:after="0" w:line="240" w:lineRule="auto"/>
        <w:ind w:left="794"/>
        <w:rPr>
          <w:rFonts w:eastAsia="Times New Roman"/>
          <w:color w:val="000000"/>
          <w:sz w:val="23"/>
          <w:szCs w:val="23"/>
        </w:rPr>
      </w:pPr>
      <w:r w:rsidRPr="001A0A92">
        <w:rPr>
          <w:rFonts w:eastAsia="Times New Roman"/>
          <w:b/>
          <w:bCs/>
          <w:i/>
          <w:iCs/>
          <w:color w:val="000000"/>
          <w:sz w:val="23"/>
          <w:szCs w:val="23"/>
        </w:rPr>
        <w:t xml:space="preserve">relevant council </w:t>
      </w:r>
      <w:r w:rsidRPr="001A0A92">
        <w:rPr>
          <w:rFonts w:eastAsia="Times New Roman"/>
          <w:color w:val="000000"/>
          <w:sz w:val="23"/>
          <w:szCs w:val="23"/>
        </w:rPr>
        <w:t>means a council for an area in relation to which the panel is constituted.</w:t>
      </w:r>
    </w:p>
    <w:p w:rsidR="001A0A92" w:rsidRPr="001A0A92" w:rsidRDefault="001A0A92" w:rsidP="001A0A9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A0A92">
        <w:rPr>
          <w:rFonts w:eastAsia="Times New Roman"/>
          <w:b/>
          <w:bCs/>
          <w:color w:val="000000"/>
          <w:sz w:val="32"/>
          <w:szCs w:val="32"/>
          <w:lang w:eastAsia="en-AU"/>
        </w:rPr>
        <w:t>Part 2—Constitution of assessment panel</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4—Constitution of assessment panel</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t xml:space="preserve">For the purposes of section 84(1)(a) of the Act, the </w:t>
      </w:r>
      <w:r w:rsidRPr="001A0A92">
        <w:rPr>
          <w:rFonts w:eastAsia="Times New Roman"/>
          <w:i/>
          <w:iCs/>
          <w:color w:val="000000"/>
          <w:sz w:val="23"/>
          <w:szCs w:val="23"/>
        </w:rPr>
        <w:t>Fleurieu Regional Assessment Panel</w:t>
      </w:r>
      <w:r w:rsidRPr="001A0A92">
        <w:rPr>
          <w:rFonts w:eastAsia="Times New Roman"/>
          <w:color w:val="000000"/>
          <w:sz w:val="23"/>
          <w:szCs w:val="23"/>
        </w:rPr>
        <w:t xml:space="preserve"> is constituted.</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(2)</w:t>
      </w:r>
      <w:r w:rsidRPr="001A0A92">
        <w:rPr>
          <w:rFonts w:eastAsia="Times New Roman"/>
          <w:color w:val="000000"/>
          <w:sz w:val="23"/>
          <w:szCs w:val="23"/>
        </w:rPr>
        <w:tab/>
        <w:t>The panel is constituted in relation to the areas of the following councils:</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(a)</w:t>
      </w:r>
      <w:r w:rsidRPr="001A0A92">
        <w:rPr>
          <w:rFonts w:eastAsia="Times New Roman"/>
          <w:color w:val="000000"/>
          <w:sz w:val="23"/>
          <w:szCs w:val="23"/>
        </w:rPr>
        <w:tab/>
        <w:t>District Council of Yankalilla;</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(b)</w:t>
      </w:r>
      <w:r w:rsidRPr="001A0A92">
        <w:rPr>
          <w:rFonts w:eastAsia="Times New Roman"/>
          <w:color w:val="000000"/>
          <w:sz w:val="23"/>
          <w:szCs w:val="23"/>
        </w:rPr>
        <w:tab/>
        <w:t>Alexandrina Council.</w:t>
      </w:r>
    </w:p>
    <w:p w:rsidR="001A0A92" w:rsidRPr="001A0A92" w:rsidRDefault="001A0A92" w:rsidP="001A0A92">
      <w:pPr>
        <w:keepNext/>
        <w:keepLines/>
        <w:autoSpaceDE w:val="0"/>
        <w:autoSpaceDN w:val="0"/>
        <w:adjustRightInd w:val="0"/>
        <w:spacing w:before="280" w:after="0" w:line="240" w:lineRule="auto"/>
        <w:ind w:left="567" w:hanging="567"/>
        <w:jc w:val="left"/>
        <w:rPr>
          <w:rFonts w:eastAsia="Times New Roman"/>
          <w:b/>
          <w:bCs/>
          <w:color w:val="000000"/>
          <w:sz w:val="23"/>
          <w:szCs w:val="23"/>
          <w:lang w:eastAsia="en-AU"/>
        </w:rPr>
      </w:pPr>
      <w:r w:rsidRPr="001A0A92">
        <w:rPr>
          <w:rFonts w:eastAsia="Times New Roman"/>
          <w:b/>
          <w:bCs/>
          <w:color w:val="000000"/>
          <w:sz w:val="32"/>
          <w:szCs w:val="32"/>
          <w:lang w:eastAsia="en-AU"/>
        </w:rPr>
        <w:t>Part 3—Core provisions</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5—Core provisions</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r>
      <w:r w:rsidRPr="001A0A92">
        <w:rPr>
          <w:rFonts w:eastAsia="Times New Roman"/>
          <w:color w:val="000000"/>
          <w:sz w:val="23"/>
          <w:szCs w:val="23"/>
        </w:rPr>
        <w:tab/>
        <w:t>The following provisions are made for the purposes of section 84(1)(e) of the Act.</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6—Number of members</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bookmarkStart w:id="762" w:name="id345e444c_163e_4c97_a45c_c5db28c8ad"/>
      <w:r w:rsidRPr="001A0A92">
        <w:rPr>
          <w:rFonts w:eastAsia="Times New Roman"/>
          <w:color w:val="000000"/>
          <w:sz w:val="23"/>
          <w:szCs w:val="23"/>
        </w:rPr>
        <w:tab/>
      </w:r>
      <w:r w:rsidRPr="001A0A92">
        <w:rPr>
          <w:rFonts w:eastAsia="Times New Roman"/>
          <w:color w:val="000000"/>
          <w:sz w:val="23"/>
          <w:szCs w:val="23"/>
        </w:rPr>
        <w:tab/>
      </w:r>
      <w:bookmarkEnd w:id="762"/>
      <w:r w:rsidRPr="001A0A92">
        <w:rPr>
          <w:rFonts w:eastAsia="Times New Roman"/>
          <w:color w:val="000000"/>
          <w:sz w:val="23"/>
          <w:szCs w:val="23"/>
        </w:rPr>
        <w:t>The panel will consist of five members.</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7—Requirements with respect to the appointment of members</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A0A92">
        <w:rPr>
          <w:rFonts w:eastAsia="Times New Roman"/>
          <w:color w:val="000000"/>
          <w:sz w:val="23"/>
          <w:szCs w:val="23"/>
          <w:lang w:eastAsia="en-AU"/>
        </w:rPr>
        <w:tab/>
      </w:r>
      <w:r w:rsidRPr="001A0A92">
        <w:rPr>
          <w:rFonts w:eastAsia="Times New Roman"/>
          <w:color w:val="000000"/>
          <w:sz w:val="23"/>
          <w:szCs w:val="23"/>
          <w:lang w:eastAsia="en-AU"/>
        </w:rPr>
        <w:tab/>
        <w:t>A person who is a member of the Parliament of the State is not eligible for appointment as a member of the panel.</w:t>
      </w:r>
      <w:bookmarkStart w:id="763" w:name="id244dfba6_db3d_4162_a7df_3802ffa9af"/>
    </w:p>
    <w:bookmarkEnd w:id="763"/>
    <w:p w:rsidR="001A0A92" w:rsidRPr="001A0A92" w:rsidRDefault="001A0A92" w:rsidP="001A0A92">
      <w:pPr>
        <w:spacing w:after="0" w:line="240" w:lineRule="auto"/>
        <w:jc w:val="left"/>
        <w:rPr>
          <w:rFonts w:eastAsia="Times New Roman"/>
          <w:szCs w:val="17"/>
        </w:rPr>
      </w:pPr>
      <w:r w:rsidRPr="001A0A92">
        <w:rPr>
          <w:rFonts w:eastAsia="Times New Roman"/>
          <w:szCs w:val="20"/>
        </w:rPr>
        <w:br w:type="page"/>
      </w:r>
    </w:p>
    <w:p w:rsidR="001A0A92" w:rsidRPr="001A0A92" w:rsidRDefault="001A0A92" w:rsidP="001A0A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0" w:lineRule="exact"/>
        <w:rPr>
          <w:rFonts w:eastAsia="Times New Roman"/>
          <w:szCs w:val="17"/>
        </w:rPr>
      </w:pP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8—Procedures for appointment</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iCs/>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r>
      <w:r w:rsidRPr="001A0A92">
        <w:rPr>
          <w:rFonts w:eastAsia="Times New Roman"/>
          <w:iCs/>
          <w:color w:val="000000"/>
          <w:sz w:val="23"/>
          <w:szCs w:val="23"/>
        </w:rPr>
        <w:t>The members of the panel will be appointed by the relevant councils taking into account the following requirements:</w:t>
      </w:r>
    </w:p>
    <w:p w:rsidR="001A0A92" w:rsidRPr="001A0A92" w:rsidRDefault="001A0A92" w:rsidP="00CB261C">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sidRPr="001A0A92">
        <w:rPr>
          <w:rFonts w:eastAsia="Times New Roman"/>
          <w:iCs/>
          <w:color w:val="000000"/>
          <w:sz w:val="23"/>
          <w:szCs w:val="23"/>
        </w:rPr>
        <w:tab/>
      </w:r>
      <w:r w:rsidRPr="001A0A92">
        <w:rPr>
          <w:rFonts w:eastAsia="Times New Roman"/>
          <w:iCs/>
          <w:color w:val="000000"/>
          <w:sz w:val="23"/>
          <w:szCs w:val="23"/>
        </w:rPr>
        <w:tab/>
        <w:t>(a)</w:t>
      </w:r>
      <w:r w:rsidRPr="001A0A92">
        <w:rPr>
          <w:rFonts w:eastAsia="Times New Roman"/>
          <w:iCs/>
          <w:color w:val="000000"/>
          <w:sz w:val="23"/>
          <w:szCs w:val="23"/>
        </w:rPr>
        <w:tab/>
        <w:t>only 1 member of the panel may be a member of a council; and</w:t>
      </w:r>
    </w:p>
    <w:p w:rsidR="001A0A92" w:rsidRPr="001A0A92" w:rsidRDefault="001A0A92" w:rsidP="001A0A92">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sidRPr="001A0A92">
        <w:rPr>
          <w:rFonts w:eastAsia="Times New Roman"/>
          <w:iCs/>
          <w:color w:val="000000"/>
          <w:sz w:val="23"/>
          <w:szCs w:val="23"/>
        </w:rPr>
        <w:tab/>
      </w:r>
      <w:r w:rsidRPr="001A0A92">
        <w:rPr>
          <w:rFonts w:eastAsia="Times New Roman"/>
          <w:iCs/>
          <w:color w:val="000000"/>
          <w:sz w:val="23"/>
          <w:szCs w:val="23"/>
        </w:rPr>
        <w:tab/>
        <w:t>(b)</w:t>
      </w:r>
      <w:r w:rsidRPr="001A0A92">
        <w:rPr>
          <w:rFonts w:eastAsia="Times New Roman"/>
          <w:iCs/>
          <w:color w:val="000000"/>
          <w:sz w:val="23"/>
          <w:szCs w:val="23"/>
        </w:rPr>
        <w:tab/>
        <w:t>a person appointed as a member of the panel must be an accredited professional – planning level 2.</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iCs/>
          <w:color w:val="000000"/>
          <w:sz w:val="23"/>
          <w:szCs w:val="23"/>
        </w:rPr>
      </w:pPr>
      <w:r w:rsidRPr="001A0A92">
        <w:rPr>
          <w:rFonts w:eastAsia="Times New Roman"/>
          <w:iCs/>
          <w:color w:val="000000"/>
          <w:sz w:val="23"/>
          <w:szCs w:val="23"/>
        </w:rPr>
        <w:tab/>
        <w:t>(2)</w:t>
      </w:r>
      <w:r w:rsidRPr="001A0A92">
        <w:rPr>
          <w:rFonts w:eastAsia="Times New Roman"/>
          <w:iCs/>
          <w:color w:val="000000"/>
          <w:sz w:val="23"/>
          <w:szCs w:val="23"/>
        </w:rPr>
        <w:tab/>
        <w:t>Subclause (1)(b) does not apply if –</w:t>
      </w:r>
    </w:p>
    <w:p w:rsidR="001A0A92" w:rsidRPr="001A0A92" w:rsidRDefault="001A0A92" w:rsidP="00CB261C">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sidRPr="001A0A92">
        <w:rPr>
          <w:rFonts w:eastAsia="Times New Roman"/>
          <w:iCs/>
          <w:color w:val="000000"/>
          <w:sz w:val="23"/>
          <w:szCs w:val="23"/>
        </w:rPr>
        <w:tab/>
      </w:r>
      <w:r w:rsidRPr="001A0A92">
        <w:rPr>
          <w:rFonts w:eastAsia="Times New Roman"/>
          <w:iCs/>
          <w:color w:val="000000"/>
          <w:sz w:val="23"/>
          <w:szCs w:val="23"/>
        </w:rPr>
        <w:tab/>
        <w:t>(a)</w:t>
      </w:r>
      <w:r w:rsidRPr="001A0A92">
        <w:rPr>
          <w:rFonts w:eastAsia="Times New Roman"/>
          <w:iCs/>
          <w:color w:val="000000"/>
          <w:sz w:val="23"/>
          <w:szCs w:val="23"/>
        </w:rPr>
        <w:tab/>
        <w:t>the person is a member of a council; and</w:t>
      </w:r>
    </w:p>
    <w:p w:rsidR="001A0A92" w:rsidRPr="001A0A92" w:rsidRDefault="001A0A92" w:rsidP="001A0A92">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sidRPr="001A0A92">
        <w:rPr>
          <w:rFonts w:eastAsia="Times New Roman"/>
          <w:iCs/>
          <w:color w:val="000000"/>
          <w:sz w:val="23"/>
          <w:szCs w:val="23"/>
        </w:rPr>
        <w:tab/>
      </w:r>
      <w:r w:rsidRPr="001A0A92">
        <w:rPr>
          <w:rFonts w:eastAsia="Times New Roman"/>
          <w:iCs/>
          <w:color w:val="000000"/>
          <w:sz w:val="23"/>
          <w:szCs w:val="23"/>
        </w:rPr>
        <w:tab/>
        <w:t>(b)</w:t>
      </w:r>
      <w:r w:rsidRPr="001A0A92">
        <w:rPr>
          <w:rFonts w:eastAsia="Times New Roman"/>
          <w:iCs/>
          <w:color w:val="000000"/>
          <w:sz w:val="23"/>
          <w:szCs w:val="23"/>
        </w:rPr>
        <w:tab/>
        <w:t>the relevant councils are satisfied that the person is appropriately qualified to act as member of the panel on account of the persons experience in local government.</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(3)</w:t>
      </w:r>
      <w:r w:rsidRPr="001A0A92">
        <w:rPr>
          <w:rFonts w:eastAsia="Times New Roman"/>
          <w:color w:val="000000"/>
          <w:sz w:val="23"/>
          <w:szCs w:val="23"/>
        </w:rPr>
        <w:tab/>
        <w:t>The process to be adopted for appointing a person as a member of the panel must be set out in an agreement entered into between the councils.</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9—Term of office</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t>The term of office of a member of the panel will be 2 years.</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(2)</w:t>
      </w:r>
      <w:r w:rsidRPr="001A0A92">
        <w:rPr>
          <w:rFonts w:eastAsia="Times New Roman"/>
          <w:color w:val="000000"/>
          <w:sz w:val="23"/>
          <w:szCs w:val="23"/>
        </w:rPr>
        <w:tab/>
        <w:t>A person may continue to act as a member of the panel after the expiration of a term of office for the purpose of completing any matter before the panel at the time of the expiration of the term.</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(3)</w:t>
      </w:r>
      <w:r w:rsidRPr="001A0A92">
        <w:rPr>
          <w:rFonts w:eastAsia="Times New Roman"/>
          <w:color w:val="000000"/>
          <w:sz w:val="23"/>
          <w:szCs w:val="23"/>
        </w:rPr>
        <w:tab/>
        <w:t>A member of a panel is eligible for reappointment at the expiration of a term of office.</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10—Conditions of appointment</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t>It will be a condition of appointment of a member of the panel that the member continues to be an accredited professional while holding office (unless such accreditation was not required at the time of appointment).</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(2)</w:t>
      </w:r>
      <w:r w:rsidRPr="001A0A92">
        <w:rPr>
          <w:rFonts w:eastAsia="Times New Roman"/>
          <w:color w:val="000000"/>
          <w:sz w:val="23"/>
          <w:szCs w:val="23"/>
        </w:rPr>
        <w:tab/>
        <w:t>An appointment will be subject to such other conditions (including as to their remuneration) as the relevant councils may specify at the time of the appointment of the member.</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(3)</w:t>
      </w:r>
      <w:r w:rsidRPr="001A0A92">
        <w:rPr>
          <w:rFonts w:eastAsia="Times New Roman"/>
          <w:color w:val="000000"/>
          <w:sz w:val="23"/>
          <w:szCs w:val="23"/>
        </w:rPr>
        <w:tab/>
        <w:t>The Minister may, on the recommendation of the relevant councils, remove a member of the panel from office—</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(a)</w:t>
      </w:r>
      <w:r w:rsidRPr="001A0A92">
        <w:rPr>
          <w:rFonts w:eastAsia="Times New Roman"/>
          <w:color w:val="000000"/>
          <w:sz w:val="23"/>
          <w:szCs w:val="23"/>
        </w:rPr>
        <w:tab/>
        <w:t>for breach of, or non-compliance with, a condition of appointment;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(b)</w:t>
      </w:r>
      <w:r w:rsidRPr="001A0A92">
        <w:rPr>
          <w:rFonts w:eastAsia="Times New Roman"/>
          <w:color w:val="000000"/>
          <w:sz w:val="23"/>
          <w:szCs w:val="23"/>
        </w:rPr>
        <w:tab/>
        <w:t>for misconduct or neglect of duty;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(c)</w:t>
      </w:r>
      <w:r w:rsidRPr="001A0A92">
        <w:rPr>
          <w:rFonts w:eastAsia="Times New Roman"/>
          <w:color w:val="000000"/>
          <w:sz w:val="23"/>
          <w:szCs w:val="23"/>
        </w:rPr>
        <w:tab/>
        <w:t>for failure or incapacity to carry out official duties satisfactorily;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(d)</w:t>
      </w:r>
      <w:r w:rsidRPr="001A0A92">
        <w:rPr>
          <w:rFonts w:eastAsia="Times New Roman"/>
          <w:color w:val="000000"/>
          <w:sz w:val="23"/>
          <w:szCs w:val="23"/>
        </w:rPr>
        <w:tab/>
        <w:t>for failing to comply with section 84(1)(f) or (g) of the Act;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(e)</w:t>
      </w:r>
      <w:r w:rsidRPr="001A0A92">
        <w:rPr>
          <w:rFonts w:eastAsia="Times New Roman"/>
          <w:color w:val="000000"/>
          <w:sz w:val="23"/>
          <w:szCs w:val="23"/>
        </w:rPr>
        <w:tab/>
        <w:t xml:space="preserve">on the recommendation of the Commission under regulation 11 of the </w:t>
      </w:r>
      <w:r w:rsidRPr="001A0A92">
        <w:rPr>
          <w:rFonts w:eastAsia="Times New Roman"/>
          <w:i/>
          <w:iCs/>
          <w:color w:val="000000"/>
          <w:sz w:val="23"/>
          <w:szCs w:val="23"/>
        </w:rPr>
        <w:t>Planning, Development and Infrastructure (General) Regulations 2017</w:t>
      </w:r>
      <w:r w:rsidRPr="001A0A92">
        <w:rPr>
          <w:rFonts w:eastAsia="Times New Roman"/>
          <w:color w:val="000000"/>
          <w:sz w:val="23"/>
          <w:szCs w:val="23"/>
        </w:rPr>
        <w:t>;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(f)</w:t>
      </w:r>
      <w:r w:rsidRPr="001A0A92">
        <w:rPr>
          <w:rFonts w:eastAsia="Times New Roman"/>
          <w:color w:val="000000"/>
          <w:sz w:val="23"/>
          <w:szCs w:val="23"/>
        </w:rPr>
        <w:tab/>
        <w:t xml:space="preserve">for failure to comply with a condition of appointment set out in a notice of appointment under regulation 11A of the </w:t>
      </w:r>
      <w:r w:rsidRPr="001A0A92">
        <w:rPr>
          <w:rFonts w:eastAsia="Times New Roman"/>
          <w:i/>
          <w:iCs/>
          <w:color w:val="000000"/>
          <w:sz w:val="23"/>
          <w:szCs w:val="23"/>
        </w:rPr>
        <w:t>Planning, Development and Infrastructure (General) Regulations 2017.</w:t>
      </w:r>
    </w:p>
    <w:p w:rsidR="001A0A92" w:rsidRPr="001A0A92" w:rsidRDefault="001A0A92" w:rsidP="001A0A92">
      <w:pPr>
        <w:spacing w:after="0" w:line="240" w:lineRule="auto"/>
        <w:jc w:val="left"/>
        <w:rPr>
          <w:rFonts w:eastAsia="Times New Roman"/>
          <w:color w:val="000000"/>
          <w:sz w:val="23"/>
          <w:szCs w:val="23"/>
        </w:rPr>
      </w:pPr>
      <w:r w:rsidRPr="001A0A92">
        <w:rPr>
          <w:rFonts w:eastAsia="Times New Roman"/>
          <w:color w:val="000000"/>
          <w:sz w:val="23"/>
          <w:szCs w:val="23"/>
        </w:rPr>
        <w:br w:type="page"/>
      </w:r>
    </w:p>
    <w:p w:rsidR="001A0A92" w:rsidRPr="001A0A92" w:rsidRDefault="001A0A92" w:rsidP="001A0A92">
      <w:pPr>
        <w:keepNext/>
        <w:keepLines/>
        <w:tabs>
          <w:tab w:val="center" w:pos="397"/>
          <w:tab w:val="left" w:pos="794"/>
        </w:tabs>
        <w:autoSpaceDE w:val="0"/>
        <w:autoSpaceDN w:val="0"/>
        <w:adjustRightInd w:val="0"/>
        <w:spacing w:after="0" w:line="20" w:lineRule="exact"/>
        <w:ind w:left="794" w:hanging="794"/>
        <w:rPr>
          <w:rFonts w:eastAsia="Times New Roman"/>
          <w:color w:val="000000"/>
          <w:sz w:val="23"/>
          <w:szCs w:val="23"/>
        </w:rPr>
      </w:pP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(4)</w:t>
      </w:r>
      <w:r w:rsidRPr="001A0A92">
        <w:rPr>
          <w:rFonts w:eastAsia="Times New Roman"/>
          <w:color w:val="000000"/>
          <w:sz w:val="23"/>
          <w:szCs w:val="23"/>
        </w:rPr>
        <w:tab/>
        <w:t>The office of a member of the panel becomes vacant if the member—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(a)</w:t>
      </w:r>
      <w:r w:rsidRPr="001A0A92">
        <w:rPr>
          <w:rFonts w:eastAsia="Times New Roman"/>
          <w:color w:val="000000"/>
          <w:sz w:val="23"/>
          <w:szCs w:val="23"/>
        </w:rPr>
        <w:tab/>
        <w:t>dies;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(b)</w:t>
      </w:r>
      <w:r w:rsidRPr="001A0A92">
        <w:rPr>
          <w:rFonts w:eastAsia="Times New Roman"/>
          <w:color w:val="000000"/>
          <w:sz w:val="23"/>
          <w:szCs w:val="23"/>
        </w:rPr>
        <w:tab/>
        <w:t>completes a term of office and is not reappointed (subject to the operation of clause 9(2));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(c)</w:t>
      </w:r>
      <w:r w:rsidRPr="001A0A92">
        <w:rPr>
          <w:rFonts w:eastAsia="Times New Roman"/>
          <w:color w:val="000000"/>
          <w:sz w:val="23"/>
          <w:szCs w:val="23"/>
        </w:rPr>
        <w:tab/>
        <w:t>resigns by written notice to the relevant councils;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(d)</w:t>
      </w:r>
      <w:r w:rsidRPr="001A0A92">
        <w:rPr>
          <w:rFonts w:eastAsia="Times New Roman"/>
          <w:color w:val="000000"/>
          <w:sz w:val="23"/>
          <w:szCs w:val="23"/>
        </w:rPr>
        <w:tab/>
        <w:t>is convicted of an indictable offence or is sentenced to imprisonment for an offence;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(e)</w:t>
      </w:r>
      <w:r w:rsidRPr="001A0A92">
        <w:rPr>
          <w:rFonts w:eastAsia="Times New Roman"/>
          <w:color w:val="000000"/>
          <w:sz w:val="23"/>
          <w:szCs w:val="23"/>
        </w:rPr>
        <w:tab/>
        <w:t>becomes bankrupt or applies to take the benefit of a law for the relief of insolvent debtors;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(f)</w:t>
      </w:r>
      <w:r w:rsidRPr="001A0A92">
        <w:rPr>
          <w:rFonts w:eastAsia="Times New Roman"/>
          <w:color w:val="000000"/>
          <w:sz w:val="23"/>
          <w:szCs w:val="23"/>
        </w:rPr>
        <w:tab/>
        <w:t>is removed from office under subclause (3).</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(5)</w:t>
      </w:r>
      <w:r w:rsidRPr="001A0A92">
        <w:rPr>
          <w:rFonts w:eastAsia="Times New Roman"/>
          <w:color w:val="000000"/>
          <w:sz w:val="23"/>
          <w:szCs w:val="23"/>
        </w:rPr>
        <w:tab/>
        <w:t>The relevant councils will be responsible for the remuneration payable to a member of the panel under an agreement entered into between the councils.</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(6)</w:t>
      </w:r>
      <w:r w:rsidRPr="001A0A92">
        <w:rPr>
          <w:rFonts w:eastAsia="Times New Roman"/>
          <w:color w:val="000000"/>
          <w:sz w:val="23"/>
          <w:szCs w:val="23"/>
        </w:rPr>
        <w:tab/>
        <w:t>When there is a vacancy in the membership of the panel, the relevant councils must take steps to fill the vacancy at the earliest opportunity.</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(7)</w:t>
      </w:r>
      <w:r w:rsidRPr="001A0A92">
        <w:rPr>
          <w:rFonts w:eastAsia="Times New Roman"/>
          <w:color w:val="000000"/>
          <w:sz w:val="23"/>
          <w:szCs w:val="23"/>
        </w:rPr>
        <w:tab/>
        <w:t>An act or proceeding of the panel is not invalid by reason only of a vacancy in the membership of the panel.</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11—Appointment of deputy members</w:t>
      </w:r>
    </w:p>
    <w:p w:rsidR="001A0A92" w:rsidRPr="001A0A92" w:rsidRDefault="001A0A92" w:rsidP="001A0A92">
      <w:pPr>
        <w:keepLines/>
        <w:autoSpaceDE w:val="0"/>
        <w:autoSpaceDN w:val="0"/>
        <w:adjustRightInd w:val="0"/>
        <w:spacing w:before="120" w:after="0" w:line="240" w:lineRule="auto"/>
        <w:ind w:left="794"/>
        <w:rPr>
          <w:rFonts w:eastAsia="Times New Roman"/>
          <w:color w:val="000000"/>
          <w:sz w:val="23"/>
          <w:szCs w:val="23"/>
        </w:rPr>
      </w:pPr>
      <w:r w:rsidRPr="001A0A92">
        <w:rPr>
          <w:rFonts w:eastAsia="Times New Roman"/>
          <w:color w:val="000000"/>
          <w:sz w:val="23"/>
          <w:szCs w:val="23"/>
        </w:rPr>
        <w:t>Each member may have a deputy member and deputy members will be appointed in the same way (and be subject to the same terms and conditions) as ordinary members.</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12—Appointment of presiding member and acting presiding member</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t>The presiding member of the panel will be appointed by the relevant councils.</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(2)</w:t>
      </w:r>
      <w:r w:rsidRPr="001A0A92">
        <w:rPr>
          <w:rFonts w:eastAsia="Times New Roman"/>
          <w:color w:val="000000"/>
          <w:sz w:val="23"/>
          <w:szCs w:val="23"/>
        </w:rPr>
        <w:tab/>
        <w:t>The presiding member must be an accredited professional – planning level 2.</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(3)</w:t>
      </w:r>
      <w:r w:rsidRPr="001A0A92">
        <w:rPr>
          <w:rFonts w:eastAsia="Times New Roman"/>
          <w:color w:val="000000"/>
          <w:sz w:val="23"/>
          <w:szCs w:val="23"/>
        </w:rPr>
        <w:tab/>
        <w:t>An acting presiding member may be appointed by members of the panel.</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13—Procedures of panel</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t>A quorum at a meeting of the panel consists of a number ascertained by dividing the total number of members by half, ignoring any fraction resulting from the division, and adding 1 (and no business may be transacted at a meeting of the panel unless a quorum is present).</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(2)</w:t>
      </w:r>
      <w:r w:rsidRPr="001A0A92">
        <w:rPr>
          <w:rFonts w:eastAsia="Times New Roman"/>
          <w:color w:val="000000"/>
          <w:sz w:val="23"/>
          <w:szCs w:val="23"/>
        </w:rPr>
        <w:tab/>
        <w:t>A decision carried by a majority of the votes cast by members at a meeting is a decision of the panel.</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(3)</w:t>
      </w:r>
      <w:r w:rsidRPr="001A0A92">
        <w:rPr>
          <w:rFonts w:eastAsia="Times New Roman"/>
          <w:color w:val="000000"/>
          <w:sz w:val="23"/>
          <w:szCs w:val="23"/>
        </w:rPr>
        <w:tab/>
        <w:t>Each member present at a meeting of the panel is entitled to 1 vote on any matter arising for decision and, if votes are equal, the member presiding at the meeting has a second or casting vote.</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(4)</w:t>
      </w:r>
      <w:r w:rsidRPr="001A0A92">
        <w:rPr>
          <w:rFonts w:eastAsia="Times New Roman"/>
          <w:color w:val="000000"/>
          <w:sz w:val="23"/>
          <w:szCs w:val="23"/>
        </w:rPr>
        <w:tab/>
        <w:t>A meeting between members constituting a quorum by telephone or audio-visual means is a valid meeting of the panel if—</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(a)</w:t>
      </w:r>
      <w:r w:rsidRPr="001A0A92">
        <w:rPr>
          <w:rFonts w:eastAsia="Times New Roman"/>
          <w:color w:val="000000"/>
          <w:sz w:val="23"/>
          <w:szCs w:val="23"/>
        </w:rPr>
        <w:tab/>
        <w:t>a notice of the meeting is given to all members of the panel in the manner determined by the panel for the purpose; and</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(b)</w:t>
      </w:r>
      <w:r w:rsidRPr="001A0A92">
        <w:rPr>
          <w:rFonts w:eastAsia="Times New Roman"/>
          <w:color w:val="000000"/>
          <w:sz w:val="23"/>
          <w:szCs w:val="23"/>
        </w:rPr>
        <w:tab/>
        <w:t>the system of communication allows a participating member to communicate with any other participating member during the meeting.</w:t>
      </w:r>
    </w:p>
    <w:p w:rsidR="001A0A92" w:rsidRPr="001A0A92" w:rsidRDefault="001A0A92" w:rsidP="001A0A92">
      <w:pPr>
        <w:spacing w:after="0" w:line="240" w:lineRule="auto"/>
        <w:jc w:val="left"/>
        <w:rPr>
          <w:rFonts w:eastAsia="Times New Roman"/>
          <w:color w:val="000000"/>
          <w:sz w:val="23"/>
          <w:szCs w:val="23"/>
        </w:rPr>
      </w:pPr>
      <w:r w:rsidRPr="001A0A92">
        <w:rPr>
          <w:rFonts w:eastAsia="Times New Roman"/>
          <w:color w:val="000000"/>
          <w:sz w:val="23"/>
          <w:szCs w:val="23"/>
        </w:rPr>
        <w:br w:type="page"/>
      </w:r>
    </w:p>
    <w:p w:rsidR="001A0A92" w:rsidRPr="001A0A92" w:rsidRDefault="001A0A92" w:rsidP="001A0A92">
      <w:pPr>
        <w:keepNext/>
        <w:keepLines/>
        <w:tabs>
          <w:tab w:val="center" w:pos="397"/>
          <w:tab w:val="left" w:pos="794"/>
        </w:tabs>
        <w:autoSpaceDE w:val="0"/>
        <w:autoSpaceDN w:val="0"/>
        <w:adjustRightInd w:val="0"/>
        <w:spacing w:after="0" w:line="20" w:lineRule="exact"/>
        <w:ind w:left="794" w:hanging="794"/>
        <w:rPr>
          <w:rFonts w:eastAsia="Times New Roman"/>
          <w:color w:val="000000"/>
          <w:sz w:val="23"/>
          <w:szCs w:val="23"/>
        </w:rPr>
      </w:pP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(5)</w:t>
      </w:r>
      <w:r w:rsidRPr="001A0A92">
        <w:rPr>
          <w:rFonts w:eastAsia="Times New Roman"/>
          <w:color w:val="000000"/>
          <w:sz w:val="23"/>
          <w:szCs w:val="23"/>
        </w:rPr>
        <w:tab/>
        <w:t>A resolution of the panel—</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(a)</w:t>
      </w:r>
      <w:r w:rsidRPr="001A0A92">
        <w:rPr>
          <w:rFonts w:eastAsia="Times New Roman"/>
          <w:color w:val="000000"/>
          <w:sz w:val="23"/>
          <w:szCs w:val="23"/>
        </w:rPr>
        <w:tab/>
        <w:t>of which notice is given to members in accordance with procedures determined or agreed by members of the panel; and</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(b)</w:t>
      </w:r>
      <w:r w:rsidRPr="001A0A92">
        <w:rPr>
          <w:rFonts w:eastAsia="Times New Roman"/>
          <w:color w:val="000000"/>
          <w:sz w:val="23"/>
          <w:szCs w:val="23"/>
        </w:rPr>
        <w:tab/>
        <w:t>in which at least the majority of members of the panel express their concurrence in writing or by electronic communication,</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will be taken to be a decision of the panel.</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(6)</w:t>
      </w:r>
      <w:r w:rsidRPr="001A0A92">
        <w:rPr>
          <w:rFonts w:eastAsia="Times New Roman"/>
          <w:color w:val="000000"/>
          <w:sz w:val="23"/>
          <w:szCs w:val="23"/>
        </w:rPr>
        <w:tab/>
        <w:t>A person who is taken to be a member of the panel under section 85 of the Act is not to be counted or considered for the purposes of subclauses (2), (3) and (5)(b).</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(7)</w:t>
      </w:r>
      <w:r w:rsidRPr="001A0A92">
        <w:rPr>
          <w:rFonts w:eastAsia="Times New Roman"/>
          <w:color w:val="000000"/>
          <w:sz w:val="23"/>
          <w:szCs w:val="23"/>
        </w:rPr>
        <w:tab/>
        <w:t>Subject to this clause and any relevant provisions of regulations made under the Act, the procedures to be observed in relation to the conduct of the business of the panel will be determined by the panel.</w:t>
      </w:r>
    </w:p>
    <w:p w:rsidR="001A0A92" w:rsidRPr="001A0A92" w:rsidRDefault="001A0A92" w:rsidP="001A0A9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A0A92">
        <w:rPr>
          <w:rFonts w:eastAsia="Times New Roman"/>
          <w:b/>
          <w:bCs/>
          <w:color w:val="000000"/>
          <w:sz w:val="32"/>
          <w:szCs w:val="32"/>
          <w:lang w:eastAsia="en-AU"/>
        </w:rPr>
        <w:t>Part 4—Sharing of costs</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64" w:name="id35c48bfb_4ac3_44d4_a39c_851f80ad70"/>
      <w:r w:rsidRPr="001A0A92">
        <w:rPr>
          <w:rFonts w:eastAsia="Times New Roman"/>
          <w:b/>
          <w:bCs/>
          <w:color w:val="000000"/>
          <w:sz w:val="26"/>
          <w:szCs w:val="26"/>
          <w:lang w:eastAsia="en-AU"/>
        </w:rPr>
        <w:t>14—</w:t>
      </w:r>
      <w:bookmarkEnd w:id="764"/>
      <w:r w:rsidRPr="001A0A92">
        <w:rPr>
          <w:rFonts w:eastAsia="Times New Roman"/>
          <w:b/>
          <w:bCs/>
          <w:color w:val="000000"/>
          <w:sz w:val="26"/>
          <w:szCs w:val="26"/>
          <w:lang w:eastAsia="en-AU"/>
        </w:rPr>
        <w:t>Sharing of costs</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t>This clause sets out a scheme for the purposes of section 84(1)(i) of the Act.</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(2)</w:t>
      </w:r>
      <w:r w:rsidRPr="001A0A92">
        <w:rPr>
          <w:rFonts w:eastAsia="Times New Roman"/>
          <w:color w:val="000000"/>
          <w:sz w:val="23"/>
          <w:szCs w:val="23"/>
        </w:rPr>
        <w:tab/>
        <w:t>Except as otherwise agreed between the councils, the costs associated with the Assessment Manager for the panel will be borne by the relevant councils in equal shares.</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bookmarkStart w:id="765" w:name="id228eb2ea_beea_40e3_9a1b_8f98e88717"/>
      <w:r w:rsidRPr="001A0A92">
        <w:rPr>
          <w:rFonts w:eastAsia="Times New Roman"/>
          <w:color w:val="000000"/>
          <w:sz w:val="23"/>
          <w:szCs w:val="23"/>
        </w:rPr>
        <w:tab/>
        <w:t>(3)</w:t>
      </w:r>
      <w:r w:rsidRPr="001A0A92">
        <w:rPr>
          <w:rFonts w:eastAsia="Times New Roman"/>
          <w:color w:val="000000"/>
          <w:sz w:val="23"/>
          <w:szCs w:val="23"/>
        </w:rPr>
        <w:tab/>
      </w:r>
      <w:bookmarkEnd w:id="765"/>
      <w:r w:rsidRPr="001A0A92">
        <w:rPr>
          <w:rFonts w:eastAsia="Times New Roman"/>
          <w:color w:val="000000"/>
          <w:sz w:val="23"/>
          <w:szCs w:val="23"/>
        </w:rPr>
        <w:t>In the event of a claim against a member of the panel in respect of the performance, exercise or discharge (or purported performance, exercise or discharge) of their functions, powers or duties under the Act as a member of the panel, the relevant council for the area where the particular development is to be undertaken will be liable for the cost of the claim.</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(4)</w:t>
      </w:r>
      <w:r w:rsidRPr="001A0A92">
        <w:rPr>
          <w:rFonts w:eastAsia="Times New Roman"/>
          <w:color w:val="000000"/>
          <w:sz w:val="23"/>
          <w:szCs w:val="23"/>
        </w:rPr>
        <w:tab/>
        <w:t>Except as otherwise agreed between the relevant councils, all other costs will be shared between the relevant councils in equal shares.</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(5)</w:t>
      </w:r>
      <w:r w:rsidRPr="001A0A92">
        <w:rPr>
          <w:rFonts w:eastAsia="Times New Roman"/>
          <w:color w:val="000000"/>
          <w:sz w:val="23"/>
          <w:szCs w:val="23"/>
        </w:rPr>
        <w:tab/>
        <w:t>The relevant councils may enter into an agreement relating to the incurring of costs by a particular council on behalf of the other council, and the provision of invoices for the recovery of costs.</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p>
    <w:p w:rsidR="001A0A92" w:rsidRPr="001A0A92" w:rsidRDefault="001A0A92" w:rsidP="001A0A92">
      <w:pPr>
        <w:keepNext/>
        <w:keepLines/>
        <w:autoSpaceDE w:val="0"/>
        <w:autoSpaceDN w:val="0"/>
        <w:adjustRightInd w:val="0"/>
        <w:spacing w:before="120" w:after="0" w:line="240" w:lineRule="auto"/>
        <w:rPr>
          <w:rFonts w:eastAsia="Times New Roman"/>
          <w:b/>
          <w:bCs/>
          <w:color w:val="000000"/>
          <w:sz w:val="26"/>
          <w:szCs w:val="26"/>
        </w:rPr>
      </w:pPr>
      <w:r w:rsidRPr="001A0A92">
        <w:rPr>
          <w:rFonts w:eastAsia="Times New Roman"/>
          <w:b/>
          <w:bCs/>
          <w:color w:val="000000"/>
          <w:sz w:val="26"/>
          <w:szCs w:val="26"/>
        </w:rPr>
        <w:t>Made by the Minister for Planning</w:t>
      </w:r>
    </w:p>
    <w:p w:rsidR="001A0A92" w:rsidRDefault="001A0A92" w:rsidP="001A0A92">
      <w:pPr>
        <w:keepLines/>
        <w:tabs>
          <w:tab w:val="center" w:pos="1191"/>
          <w:tab w:val="left" w:pos="1588"/>
        </w:tabs>
        <w:autoSpaceDE w:val="0"/>
        <w:autoSpaceDN w:val="0"/>
        <w:adjustRightInd w:val="0"/>
        <w:spacing w:after="0" w:line="240" w:lineRule="auto"/>
        <w:rPr>
          <w:rFonts w:eastAsia="Times New Roman"/>
          <w:color w:val="000000"/>
          <w:sz w:val="23"/>
          <w:szCs w:val="23"/>
        </w:rPr>
      </w:pPr>
      <w:r w:rsidRPr="001A0A92">
        <w:rPr>
          <w:rFonts w:eastAsia="Times New Roman"/>
          <w:color w:val="000000"/>
          <w:sz w:val="23"/>
          <w:szCs w:val="23"/>
        </w:rPr>
        <w:t>On 21 July 2020</w:t>
      </w:r>
    </w:p>
    <w:p w:rsidR="00D40BF4" w:rsidRDefault="00D40BF4" w:rsidP="00D40BF4">
      <w:pPr>
        <w:pBdr>
          <w:top w:val="single" w:sz="4" w:space="1" w:color="auto"/>
        </w:pBdr>
        <w:tabs>
          <w:tab w:val="center" w:pos="1191"/>
          <w:tab w:val="left" w:pos="1588"/>
        </w:tabs>
        <w:autoSpaceDE w:val="0"/>
        <w:autoSpaceDN w:val="0"/>
        <w:adjustRightInd w:val="0"/>
        <w:spacing w:before="100" w:after="0" w:line="14" w:lineRule="exact"/>
        <w:jc w:val="center"/>
        <w:rPr>
          <w:rFonts w:eastAsia="Times New Roman"/>
          <w:color w:val="000000"/>
          <w:sz w:val="23"/>
          <w:szCs w:val="23"/>
        </w:rPr>
      </w:pPr>
    </w:p>
    <w:p w:rsidR="00D40BF4" w:rsidRPr="001A0A92" w:rsidRDefault="00D40BF4" w:rsidP="00D40BF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color w:val="000000"/>
          <w:sz w:val="23"/>
          <w:szCs w:val="23"/>
        </w:rPr>
      </w:pPr>
    </w:p>
    <w:p w:rsidR="001A0A92" w:rsidRPr="001A0A92" w:rsidRDefault="001A0A92" w:rsidP="001A0A92">
      <w:pPr>
        <w:spacing w:after="0" w:line="240" w:lineRule="auto"/>
        <w:jc w:val="left"/>
        <w:rPr>
          <w:rFonts w:eastAsia="Times New Roman"/>
          <w:color w:val="000000"/>
          <w:sz w:val="23"/>
          <w:szCs w:val="23"/>
        </w:rPr>
      </w:pPr>
      <w:r w:rsidRPr="001A0A92">
        <w:rPr>
          <w:rFonts w:eastAsia="Times New Roman"/>
          <w:color w:val="000000"/>
          <w:sz w:val="23"/>
          <w:szCs w:val="23"/>
        </w:rPr>
        <w:br w:type="page"/>
      </w:r>
    </w:p>
    <w:p w:rsidR="001A0A92" w:rsidRPr="001A0A92" w:rsidRDefault="001A0A92" w:rsidP="001A0A92">
      <w:pPr>
        <w:keepLines/>
        <w:tabs>
          <w:tab w:val="center" w:pos="1191"/>
          <w:tab w:val="left" w:pos="1588"/>
        </w:tabs>
        <w:autoSpaceDE w:val="0"/>
        <w:autoSpaceDN w:val="0"/>
        <w:adjustRightInd w:val="0"/>
        <w:spacing w:after="0" w:line="20" w:lineRule="exact"/>
        <w:rPr>
          <w:rFonts w:eastAsia="Times New Roman"/>
          <w:szCs w:val="17"/>
        </w:rPr>
      </w:pPr>
    </w:p>
    <w:p w:rsidR="001A0A92" w:rsidRPr="001A0A92" w:rsidRDefault="001A0A92" w:rsidP="001A0A92">
      <w:pPr>
        <w:keepLines/>
        <w:autoSpaceDE w:val="0"/>
        <w:autoSpaceDN w:val="0"/>
        <w:adjustRightInd w:val="0"/>
        <w:spacing w:before="240" w:after="0" w:line="240" w:lineRule="auto"/>
        <w:rPr>
          <w:rFonts w:eastAsia="Times New Roman"/>
          <w:color w:val="000000"/>
          <w:sz w:val="28"/>
          <w:szCs w:val="28"/>
        </w:rPr>
      </w:pPr>
      <w:r w:rsidRPr="001A0A92">
        <w:rPr>
          <w:rFonts w:eastAsia="Times New Roman"/>
          <w:color w:val="000000"/>
          <w:sz w:val="28"/>
          <w:szCs w:val="28"/>
        </w:rPr>
        <w:t>South Australia</w:t>
      </w:r>
    </w:p>
    <w:p w:rsidR="001A0A92" w:rsidRPr="001A0A92" w:rsidRDefault="001A0A92" w:rsidP="001A0A92">
      <w:pPr>
        <w:keepLines/>
        <w:autoSpaceDE w:val="0"/>
        <w:autoSpaceDN w:val="0"/>
        <w:adjustRightInd w:val="0"/>
        <w:spacing w:before="120" w:after="200" w:line="240" w:lineRule="auto"/>
        <w:rPr>
          <w:rFonts w:eastAsia="Times New Roman"/>
          <w:b/>
          <w:bCs/>
          <w:color w:val="000000"/>
          <w:sz w:val="36"/>
          <w:szCs w:val="36"/>
        </w:rPr>
      </w:pPr>
      <w:r w:rsidRPr="001A0A92">
        <w:rPr>
          <w:rFonts w:eastAsia="Times New Roman"/>
          <w:b/>
          <w:bCs/>
          <w:color w:val="000000"/>
          <w:sz w:val="36"/>
          <w:szCs w:val="36"/>
        </w:rPr>
        <w:t>Eyre Regional Assessment Panel Notice 2020</w:t>
      </w:r>
    </w:p>
    <w:p w:rsidR="001A0A92" w:rsidRPr="001A0A92" w:rsidRDefault="001A0A92" w:rsidP="001A0A92">
      <w:pPr>
        <w:keepLines/>
        <w:autoSpaceDE w:val="0"/>
        <w:autoSpaceDN w:val="0"/>
        <w:adjustRightInd w:val="0"/>
        <w:spacing w:before="80" w:after="240" w:line="240" w:lineRule="auto"/>
        <w:rPr>
          <w:rFonts w:eastAsia="Times New Roman"/>
          <w:color w:val="000000"/>
          <w:sz w:val="24"/>
          <w:szCs w:val="24"/>
        </w:rPr>
      </w:pPr>
      <w:r w:rsidRPr="001A0A92">
        <w:rPr>
          <w:rFonts w:eastAsia="Times New Roman"/>
          <w:color w:val="000000"/>
          <w:sz w:val="24"/>
          <w:szCs w:val="24"/>
        </w:rPr>
        <w:t xml:space="preserve">under section 84 of the </w:t>
      </w:r>
      <w:r w:rsidRPr="001A0A92">
        <w:rPr>
          <w:rFonts w:eastAsia="Times New Roman"/>
          <w:i/>
          <w:iCs/>
          <w:color w:val="000000"/>
          <w:sz w:val="24"/>
          <w:szCs w:val="24"/>
        </w:rPr>
        <w:t>Planning, Development and Infrastructure Act 2016</w:t>
      </w:r>
    </w:p>
    <w:p w:rsidR="001A0A92" w:rsidRPr="001A0A92" w:rsidRDefault="001A0A92" w:rsidP="001A0A92">
      <w:pPr>
        <w:keepLines/>
        <w:pBdr>
          <w:top w:val="single" w:sz="4" w:space="0" w:color="auto"/>
        </w:pBdr>
        <w:autoSpaceDE w:val="0"/>
        <w:autoSpaceDN w:val="0"/>
        <w:adjustRightInd w:val="0"/>
        <w:spacing w:before="120" w:after="120" w:line="240" w:lineRule="auto"/>
        <w:rPr>
          <w:rFonts w:eastAsia="Times New Roman"/>
          <w:color w:val="000000"/>
          <w:sz w:val="2"/>
          <w:szCs w:val="2"/>
        </w:rPr>
      </w:pPr>
    </w:p>
    <w:p w:rsidR="001A0A92" w:rsidRPr="001A0A92" w:rsidRDefault="001A0A92" w:rsidP="001A0A9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A0A92">
        <w:rPr>
          <w:rFonts w:eastAsia="Times New Roman"/>
          <w:b/>
          <w:bCs/>
          <w:color w:val="000000"/>
          <w:sz w:val="32"/>
          <w:szCs w:val="32"/>
          <w:lang w:eastAsia="en-AU"/>
        </w:rPr>
        <w:t>Part 1—Preliminary</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1—Short title</w:t>
      </w:r>
    </w:p>
    <w:p w:rsidR="001A0A92" w:rsidRPr="001A0A92" w:rsidRDefault="001A0A92" w:rsidP="001A0A92">
      <w:pPr>
        <w:keepLines/>
        <w:autoSpaceDE w:val="0"/>
        <w:autoSpaceDN w:val="0"/>
        <w:adjustRightInd w:val="0"/>
        <w:spacing w:before="120" w:after="0" w:line="240" w:lineRule="auto"/>
        <w:ind w:left="794"/>
        <w:rPr>
          <w:rFonts w:eastAsia="Times New Roman"/>
          <w:color w:val="000000"/>
          <w:sz w:val="23"/>
          <w:szCs w:val="23"/>
        </w:rPr>
      </w:pPr>
      <w:r w:rsidRPr="001A0A92">
        <w:rPr>
          <w:rFonts w:eastAsia="Times New Roman"/>
          <w:color w:val="000000"/>
          <w:sz w:val="23"/>
          <w:szCs w:val="23"/>
        </w:rPr>
        <w:t xml:space="preserve">This notice may be cited as the </w:t>
      </w:r>
      <w:r w:rsidRPr="001A0A92">
        <w:rPr>
          <w:rFonts w:eastAsia="Times New Roman"/>
          <w:i/>
          <w:iCs/>
          <w:color w:val="000000"/>
          <w:sz w:val="23"/>
          <w:szCs w:val="23"/>
        </w:rPr>
        <w:t>Eyre Regional Assessment Panel Notice 2020</w:t>
      </w:r>
      <w:r w:rsidRPr="001A0A92">
        <w:rPr>
          <w:rFonts w:eastAsia="Times New Roman"/>
          <w:color w:val="000000"/>
          <w:sz w:val="23"/>
          <w:szCs w:val="23"/>
        </w:rPr>
        <w:t>.</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2—Commencement</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r>
      <w:r w:rsidRPr="001A0A92">
        <w:rPr>
          <w:rFonts w:eastAsia="Times New Roman"/>
          <w:color w:val="000000"/>
          <w:sz w:val="23"/>
          <w:szCs w:val="23"/>
        </w:rPr>
        <w:tab/>
        <w:t>This notice comes into operation on 31 July 2020.</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3—Interpretation</w:t>
      </w:r>
    </w:p>
    <w:p w:rsidR="001A0A92" w:rsidRPr="001A0A92" w:rsidRDefault="001A0A92" w:rsidP="001A0A92">
      <w:pPr>
        <w:keepNext/>
        <w:keepLines/>
        <w:autoSpaceDE w:val="0"/>
        <w:autoSpaceDN w:val="0"/>
        <w:adjustRightInd w:val="0"/>
        <w:spacing w:before="120" w:after="0" w:line="240" w:lineRule="auto"/>
        <w:ind w:left="794"/>
        <w:rPr>
          <w:rFonts w:eastAsia="Times New Roman"/>
          <w:color w:val="000000"/>
          <w:sz w:val="23"/>
          <w:szCs w:val="23"/>
        </w:rPr>
      </w:pPr>
      <w:r w:rsidRPr="001A0A92">
        <w:rPr>
          <w:rFonts w:eastAsia="Times New Roman"/>
          <w:color w:val="000000"/>
          <w:sz w:val="23"/>
          <w:szCs w:val="23"/>
        </w:rPr>
        <w:t>In this notice—</w:t>
      </w:r>
    </w:p>
    <w:p w:rsidR="001A0A92" w:rsidRPr="001A0A92" w:rsidRDefault="001A0A92" w:rsidP="001A0A92">
      <w:pPr>
        <w:keepLines/>
        <w:autoSpaceDE w:val="0"/>
        <w:autoSpaceDN w:val="0"/>
        <w:adjustRightInd w:val="0"/>
        <w:spacing w:before="120" w:after="0" w:line="240" w:lineRule="auto"/>
        <w:ind w:left="794"/>
        <w:rPr>
          <w:rFonts w:eastAsia="Times New Roman"/>
          <w:sz w:val="24"/>
          <w:szCs w:val="24"/>
        </w:rPr>
      </w:pPr>
      <w:r w:rsidRPr="001A0A92">
        <w:rPr>
          <w:rFonts w:eastAsia="Times New Roman"/>
          <w:b/>
          <w:bCs/>
          <w:i/>
          <w:iCs/>
          <w:color w:val="000000"/>
          <w:sz w:val="23"/>
          <w:szCs w:val="23"/>
        </w:rPr>
        <w:t>Act</w:t>
      </w:r>
      <w:r w:rsidRPr="001A0A92">
        <w:rPr>
          <w:rFonts w:eastAsia="Times New Roman"/>
          <w:color w:val="000000"/>
          <w:sz w:val="23"/>
          <w:szCs w:val="23"/>
        </w:rPr>
        <w:t xml:space="preserve"> means the </w:t>
      </w:r>
      <w:hyperlink r:id="rId92" w:history="1">
        <w:r w:rsidRPr="001A0A92">
          <w:rPr>
            <w:rFonts w:eastAsia="Times New Roman"/>
            <w:i/>
            <w:iCs/>
            <w:color w:val="000000"/>
            <w:sz w:val="23"/>
            <w:szCs w:val="23"/>
          </w:rPr>
          <w:t>Planning,</w:t>
        </w:r>
      </w:hyperlink>
      <w:r w:rsidRPr="001A0A92">
        <w:rPr>
          <w:rFonts w:eastAsia="Times New Roman"/>
          <w:i/>
          <w:iCs/>
          <w:color w:val="000000"/>
          <w:sz w:val="23"/>
          <w:szCs w:val="23"/>
        </w:rPr>
        <w:t xml:space="preserve"> Development and Infrastructure Act 2016</w:t>
      </w:r>
      <w:r w:rsidRPr="001A0A92">
        <w:rPr>
          <w:rFonts w:eastAsia="Times New Roman"/>
          <w:color w:val="000000"/>
          <w:sz w:val="23"/>
          <w:szCs w:val="23"/>
        </w:rPr>
        <w:t>;</w:t>
      </w:r>
    </w:p>
    <w:p w:rsidR="001A0A92" w:rsidRPr="001A0A92" w:rsidRDefault="001A0A92" w:rsidP="001A0A92">
      <w:pPr>
        <w:keepLines/>
        <w:autoSpaceDE w:val="0"/>
        <w:autoSpaceDN w:val="0"/>
        <w:adjustRightInd w:val="0"/>
        <w:spacing w:before="120" w:after="0" w:line="240" w:lineRule="auto"/>
        <w:ind w:left="794"/>
        <w:rPr>
          <w:rFonts w:eastAsia="Times New Roman"/>
          <w:color w:val="000000"/>
          <w:sz w:val="23"/>
          <w:szCs w:val="23"/>
        </w:rPr>
      </w:pPr>
      <w:r w:rsidRPr="001A0A92">
        <w:rPr>
          <w:rFonts w:eastAsia="Times New Roman"/>
          <w:b/>
          <w:bCs/>
          <w:i/>
          <w:iCs/>
          <w:color w:val="000000"/>
          <w:sz w:val="23"/>
          <w:szCs w:val="23"/>
        </w:rPr>
        <w:t>panel</w:t>
      </w:r>
      <w:r w:rsidRPr="001A0A92">
        <w:rPr>
          <w:rFonts w:eastAsia="Times New Roman"/>
          <w:color w:val="000000"/>
          <w:sz w:val="23"/>
          <w:szCs w:val="23"/>
        </w:rPr>
        <w:t xml:space="preserve"> means the assessment panel constituted under clause 4;</w:t>
      </w:r>
    </w:p>
    <w:p w:rsidR="001A0A92" w:rsidRPr="001A0A92" w:rsidRDefault="001A0A92" w:rsidP="001A0A92">
      <w:pPr>
        <w:keepLines/>
        <w:autoSpaceDE w:val="0"/>
        <w:autoSpaceDN w:val="0"/>
        <w:adjustRightInd w:val="0"/>
        <w:spacing w:before="120" w:after="0" w:line="240" w:lineRule="auto"/>
        <w:ind w:left="794"/>
        <w:rPr>
          <w:rFonts w:eastAsia="Times New Roman"/>
          <w:color w:val="000000"/>
          <w:sz w:val="23"/>
          <w:szCs w:val="23"/>
        </w:rPr>
      </w:pPr>
      <w:r w:rsidRPr="001A0A92">
        <w:rPr>
          <w:rFonts w:eastAsia="Times New Roman"/>
          <w:b/>
          <w:bCs/>
          <w:i/>
          <w:iCs/>
          <w:color w:val="000000"/>
          <w:sz w:val="23"/>
          <w:szCs w:val="23"/>
        </w:rPr>
        <w:t xml:space="preserve">relevant council </w:t>
      </w:r>
      <w:r w:rsidRPr="001A0A92">
        <w:rPr>
          <w:rFonts w:eastAsia="Times New Roman"/>
          <w:color w:val="000000"/>
          <w:sz w:val="23"/>
          <w:szCs w:val="23"/>
        </w:rPr>
        <w:t>means a council for an area in relation to which the panel is constituted.</w:t>
      </w:r>
    </w:p>
    <w:p w:rsidR="001A0A92" w:rsidRPr="001A0A92" w:rsidRDefault="001A0A92" w:rsidP="001A0A9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A0A92">
        <w:rPr>
          <w:rFonts w:eastAsia="Times New Roman"/>
          <w:b/>
          <w:bCs/>
          <w:color w:val="000000"/>
          <w:sz w:val="32"/>
          <w:szCs w:val="32"/>
          <w:lang w:eastAsia="en-AU"/>
        </w:rPr>
        <w:t>Part 2—Constitution of assessment panel</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4—Constitution of assessment panel</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t xml:space="preserve">For the purposes of section 84(1)(a) of the Act, the </w:t>
      </w:r>
      <w:r w:rsidRPr="001A0A92">
        <w:rPr>
          <w:rFonts w:eastAsia="Times New Roman"/>
          <w:i/>
          <w:iCs/>
          <w:color w:val="000000"/>
          <w:sz w:val="23"/>
          <w:szCs w:val="23"/>
        </w:rPr>
        <w:t>Eyre Regional Assessment Panel</w:t>
      </w:r>
      <w:r w:rsidRPr="001A0A92">
        <w:rPr>
          <w:rFonts w:eastAsia="Times New Roman"/>
          <w:color w:val="000000"/>
          <w:sz w:val="23"/>
          <w:szCs w:val="23"/>
        </w:rPr>
        <w:t xml:space="preserve"> is constituted.</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(2)</w:t>
      </w:r>
      <w:r w:rsidRPr="001A0A92">
        <w:rPr>
          <w:rFonts w:eastAsia="Times New Roman"/>
          <w:color w:val="000000"/>
          <w:sz w:val="23"/>
          <w:szCs w:val="23"/>
        </w:rPr>
        <w:tab/>
        <w:t>The panel is constituted in relation to the areas of the following councils:</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(a)</w:t>
      </w:r>
      <w:r w:rsidRPr="001A0A92">
        <w:rPr>
          <w:rFonts w:eastAsia="Times New Roman"/>
          <w:color w:val="000000"/>
          <w:sz w:val="23"/>
          <w:szCs w:val="23"/>
        </w:rPr>
        <w:tab/>
        <w:t>City of Port Lincoln;</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(b)</w:t>
      </w:r>
      <w:r w:rsidRPr="001A0A92">
        <w:rPr>
          <w:rFonts w:eastAsia="Times New Roman"/>
          <w:color w:val="000000"/>
          <w:sz w:val="23"/>
          <w:szCs w:val="23"/>
        </w:rPr>
        <w:tab/>
        <w:t>The District Council of Ceduna;</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(c)</w:t>
      </w:r>
      <w:r w:rsidRPr="001A0A92">
        <w:rPr>
          <w:rFonts w:eastAsia="Times New Roman"/>
          <w:color w:val="000000"/>
          <w:sz w:val="23"/>
          <w:szCs w:val="23"/>
        </w:rPr>
        <w:tab/>
        <w:t>District Council of Cleve;</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(d)</w:t>
      </w:r>
      <w:r w:rsidRPr="001A0A92">
        <w:rPr>
          <w:rFonts w:eastAsia="Times New Roman"/>
          <w:color w:val="000000"/>
          <w:sz w:val="23"/>
          <w:szCs w:val="23"/>
        </w:rPr>
        <w:tab/>
        <w:t>District Council of Elliston;</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(e)</w:t>
      </w:r>
      <w:r w:rsidRPr="001A0A92">
        <w:rPr>
          <w:rFonts w:eastAsia="Times New Roman"/>
          <w:color w:val="000000"/>
          <w:sz w:val="23"/>
          <w:szCs w:val="23"/>
        </w:rPr>
        <w:tab/>
        <w:t>District Council of Franklin Harbour;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(f)</w:t>
      </w:r>
      <w:r w:rsidRPr="001A0A92">
        <w:rPr>
          <w:rFonts w:eastAsia="Times New Roman"/>
          <w:color w:val="000000"/>
          <w:sz w:val="23"/>
          <w:szCs w:val="23"/>
        </w:rPr>
        <w:tab/>
        <w:t>District Council of Kimba;</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(g)</w:t>
      </w:r>
      <w:r w:rsidRPr="001A0A92">
        <w:rPr>
          <w:rFonts w:eastAsia="Times New Roman"/>
          <w:color w:val="000000"/>
          <w:sz w:val="23"/>
          <w:szCs w:val="23"/>
        </w:rPr>
        <w:tab/>
        <w:t>District Council of Lower Eyre Peninsula;</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(h)</w:t>
      </w:r>
      <w:r w:rsidRPr="001A0A92">
        <w:rPr>
          <w:rFonts w:eastAsia="Times New Roman"/>
          <w:color w:val="000000"/>
          <w:sz w:val="23"/>
          <w:szCs w:val="23"/>
        </w:rPr>
        <w:tab/>
        <w:t>District Council of Streaky Bay;</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(i)</w:t>
      </w:r>
      <w:r w:rsidRPr="001A0A92">
        <w:rPr>
          <w:rFonts w:eastAsia="Times New Roman"/>
          <w:color w:val="000000"/>
          <w:sz w:val="23"/>
          <w:szCs w:val="23"/>
        </w:rPr>
        <w:tab/>
        <w:t>District Council of Tumby Bay;</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(j)</w:t>
      </w:r>
      <w:r w:rsidRPr="001A0A92">
        <w:rPr>
          <w:rFonts w:eastAsia="Times New Roman"/>
          <w:color w:val="000000"/>
          <w:sz w:val="23"/>
          <w:szCs w:val="23"/>
        </w:rPr>
        <w:tab/>
        <w:t>Wudinna District Council.</w:t>
      </w:r>
    </w:p>
    <w:p w:rsidR="001A0A92" w:rsidRPr="001A0A92" w:rsidRDefault="001A0A92" w:rsidP="001A0A92">
      <w:pPr>
        <w:spacing w:after="0" w:line="240" w:lineRule="auto"/>
        <w:jc w:val="left"/>
        <w:rPr>
          <w:rFonts w:eastAsia="Times New Roman"/>
          <w:color w:val="000000"/>
          <w:sz w:val="23"/>
          <w:szCs w:val="23"/>
        </w:rPr>
      </w:pPr>
      <w:r w:rsidRPr="001A0A92">
        <w:rPr>
          <w:rFonts w:eastAsia="Times New Roman"/>
          <w:color w:val="000000"/>
          <w:sz w:val="23"/>
          <w:szCs w:val="23"/>
        </w:rPr>
        <w:br w:type="page"/>
      </w:r>
    </w:p>
    <w:p w:rsidR="001A0A92" w:rsidRPr="001A0A92" w:rsidRDefault="001A0A92" w:rsidP="001A0A92">
      <w:pPr>
        <w:keepNext/>
        <w:keepLines/>
        <w:autoSpaceDE w:val="0"/>
        <w:autoSpaceDN w:val="0"/>
        <w:adjustRightInd w:val="0"/>
        <w:spacing w:after="0" w:line="20" w:lineRule="exact"/>
        <w:ind w:left="567" w:hanging="567"/>
        <w:jc w:val="left"/>
        <w:rPr>
          <w:rFonts w:eastAsia="Times New Roman"/>
          <w:b/>
          <w:bCs/>
          <w:color w:val="000000"/>
          <w:sz w:val="32"/>
          <w:szCs w:val="32"/>
          <w:lang w:eastAsia="en-AU"/>
        </w:rPr>
      </w:pPr>
    </w:p>
    <w:p w:rsidR="001A0A92" w:rsidRPr="001A0A92" w:rsidRDefault="001A0A92" w:rsidP="001A0A92">
      <w:pPr>
        <w:keepNext/>
        <w:keepLines/>
        <w:autoSpaceDE w:val="0"/>
        <w:autoSpaceDN w:val="0"/>
        <w:adjustRightInd w:val="0"/>
        <w:spacing w:before="280" w:after="0" w:line="240" w:lineRule="auto"/>
        <w:ind w:left="567" w:hanging="567"/>
        <w:jc w:val="left"/>
        <w:rPr>
          <w:rFonts w:eastAsia="Times New Roman"/>
          <w:b/>
          <w:bCs/>
          <w:color w:val="000000"/>
          <w:sz w:val="23"/>
          <w:szCs w:val="23"/>
          <w:lang w:eastAsia="en-AU"/>
        </w:rPr>
      </w:pPr>
      <w:r w:rsidRPr="001A0A92">
        <w:rPr>
          <w:rFonts w:eastAsia="Times New Roman"/>
          <w:b/>
          <w:bCs/>
          <w:color w:val="000000"/>
          <w:sz w:val="32"/>
          <w:szCs w:val="32"/>
          <w:lang w:eastAsia="en-AU"/>
        </w:rPr>
        <w:t>Part 3—Core provisions</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5—Core provisions</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r>
      <w:r w:rsidRPr="001A0A92">
        <w:rPr>
          <w:rFonts w:eastAsia="Times New Roman"/>
          <w:color w:val="000000"/>
          <w:sz w:val="23"/>
          <w:szCs w:val="23"/>
        </w:rPr>
        <w:tab/>
        <w:t>The following provisions are made for the purposes of section 84(1)(e) of the Act.</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6—Number of members</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r>
      <w:r w:rsidRPr="001A0A92">
        <w:rPr>
          <w:rFonts w:eastAsia="Times New Roman"/>
          <w:color w:val="000000"/>
          <w:sz w:val="23"/>
          <w:szCs w:val="23"/>
        </w:rPr>
        <w:tab/>
        <w:t>The panel will consist of five members.</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7—Requirements with respect to the appointment of members</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r>
      <w:r w:rsidRPr="001A0A92">
        <w:rPr>
          <w:rFonts w:eastAsia="Times New Roman"/>
          <w:color w:val="000000"/>
          <w:sz w:val="23"/>
          <w:szCs w:val="23"/>
        </w:rPr>
        <w:tab/>
        <w:t>A person who is a member of the Parliament of the State is not eligible for appointment as a member of the panel.</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8—Procedures for appointment</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iCs/>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r>
      <w:r w:rsidRPr="001A0A92">
        <w:rPr>
          <w:rFonts w:eastAsia="Times New Roman"/>
          <w:iCs/>
          <w:color w:val="000000"/>
          <w:sz w:val="23"/>
          <w:szCs w:val="23"/>
        </w:rPr>
        <w:t>The members of the panel will be appointed by the relevant councils taking into account the following requirements:</w:t>
      </w:r>
    </w:p>
    <w:p w:rsidR="001A0A92" w:rsidRPr="001A0A92" w:rsidRDefault="001A0A92" w:rsidP="005B2E49">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sidRPr="001A0A92">
        <w:rPr>
          <w:rFonts w:eastAsia="Times New Roman"/>
          <w:iCs/>
          <w:color w:val="000000"/>
          <w:sz w:val="23"/>
          <w:szCs w:val="23"/>
        </w:rPr>
        <w:tab/>
      </w:r>
      <w:r w:rsidRPr="001A0A92">
        <w:rPr>
          <w:rFonts w:eastAsia="Times New Roman"/>
          <w:iCs/>
          <w:color w:val="000000"/>
          <w:sz w:val="23"/>
          <w:szCs w:val="23"/>
        </w:rPr>
        <w:tab/>
        <w:t>(a)</w:t>
      </w:r>
      <w:r w:rsidRPr="001A0A92">
        <w:rPr>
          <w:rFonts w:eastAsia="Times New Roman"/>
          <w:iCs/>
          <w:color w:val="000000"/>
          <w:sz w:val="23"/>
          <w:szCs w:val="23"/>
        </w:rPr>
        <w:tab/>
        <w:t>only 1 member of the panel may be a member of a council; and</w:t>
      </w:r>
    </w:p>
    <w:p w:rsidR="001A0A92" w:rsidRPr="001A0A92" w:rsidRDefault="001A0A92" w:rsidP="001A0A92">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sidRPr="001A0A92">
        <w:rPr>
          <w:rFonts w:eastAsia="Times New Roman"/>
          <w:iCs/>
          <w:color w:val="000000"/>
          <w:sz w:val="23"/>
          <w:szCs w:val="23"/>
        </w:rPr>
        <w:tab/>
      </w:r>
      <w:r w:rsidRPr="001A0A92">
        <w:rPr>
          <w:rFonts w:eastAsia="Times New Roman"/>
          <w:iCs/>
          <w:color w:val="000000"/>
          <w:sz w:val="23"/>
          <w:szCs w:val="23"/>
        </w:rPr>
        <w:tab/>
        <w:t>(b)</w:t>
      </w:r>
      <w:r w:rsidRPr="001A0A92">
        <w:rPr>
          <w:rFonts w:eastAsia="Times New Roman"/>
          <w:iCs/>
          <w:color w:val="000000"/>
          <w:sz w:val="23"/>
          <w:szCs w:val="23"/>
        </w:rPr>
        <w:tab/>
        <w:t>a person appointed as a member of the panel must be an accredited professional – planning level 2.</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iCs/>
          <w:color w:val="000000"/>
          <w:sz w:val="23"/>
          <w:szCs w:val="23"/>
        </w:rPr>
      </w:pPr>
      <w:r w:rsidRPr="001A0A92">
        <w:rPr>
          <w:rFonts w:eastAsia="Times New Roman"/>
          <w:iCs/>
          <w:color w:val="000000"/>
          <w:sz w:val="23"/>
          <w:szCs w:val="23"/>
        </w:rPr>
        <w:tab/>
        <w:t>(2)</w:t>
      </w:r>
      <w:r w:rsidRPr="001A0A92">
        <w:rPr>
          <w:rFonts w:eastAsia="Times New Roman"/>
          <w:iCs/>
          <w:color w:val="000000"/>
          <w:sz w:val="23"/>
          <w:szCs w:val="23"/>
        </w:rPr>
        <w:tab/>
        <w:t>Subclause (1)(b) does not apply if –</w:t>
      </w:r>
    </w:p>
    <w:p w:rsidR="001A0A92" w:rsidRPr="001A0A92" w:rsidRDefault="001A0A92" w:rsidP="005B2E49">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sidRPr="001A0A92">
        <w:rPr>
          <w:rFonts w:eastAsia="Times New Roman"/>
          <w:iCs/>
          <w:color w:val="000000"/>
          <w:sz w:val="23"/>
          <w:szCs w:val="23"/>
        </w:rPr>
        <w:tab/>
      </w:r>
      <w:r w:rsidRPr="001A0A92">
        <w:rPr>
          <w:rFonts w:eastAsia="Times New Roman"/>
          <w:iCs/>
          <w:color w:val="000000"/>
          <w:sz w:val="23"/>
          <w:szCs w:val="23"/>
        </w:rPr>
        <w:tab/>
        <w:t>(a)</w:t>
      </w:r>
      <w:r w:rsidRPr="001A0A92">
        <w:rPr>
          <w:rFonts w:eastAsia="Times New Roman"/>
          <w:iCs/>
          <w:color w:val="000000"/>
          <w:sz w:val="23"/>
          <w:szCs w:val="23"/>
        </w:rPr>
        <w:tab/>
        <w:t>the person is a member of a council; and</w:t>
      </w:r>
    </w:p>
    <w:p w:rsidR="001A0A92" w:rsidRPr="001A0A92" w:rsidRDefault="001A0A92" w:rsidP="001A0A92">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sidRPr="001A0A92">
        <w:rPr>
          <w:rFonts w:eastAsia="Times New Roman"/>
          <w:iCs/>
          <w:color w:val="000000"/>
          <w:sz w:val="23"/>
          <w:szCs w:val="23"/>
        </w:rPr>
        <w:tab/>
      </w:r>
      <w:r w:rsidRPr="001A0A92">
        <w:rPr>
          <w:rFonts w:eastAsia="Times New Roman"/>
          <w:iCs/>
          <w:color w:val="000000"/>
          <w:sz w:val="23"/>
          <w:szCs w:val="23"/>
        </w:rPr>
        <w:tab/>
        <w:t>(b)</w:t>
      </w:r>
      <w:r w:rsidRPr="001A0A92">
        <w:rPr>
          <w:rFonts w:eastAsia="Times New Roman"/>
          <w:iCs/>
          <w:color w:val="000000"/>
          <w:sz w:val="23"/>
          <w:szCs w:val="23"/>
        </w:rPr>
        <w:tab/>
        <w:t>the relevant councils are satisfied that the person is appropriately qualified to act as member of the panel on account of the persons experience in local government.</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iCs/>
          <w:color w:val="000000"/>
          <w:sz w:val="23"/>
          <w:szCs w:val="23"/>
        </w:rPr>
      </w:pPr>
      <w:r w:rsidRPr="001A0A92">
        <w:rPr>
          <w:rFonts w:eastAsia="Times New Roman"/>
          <w:iCs/>
          <w:color w:val="000000"/>
          <w:sz w:val="23"/>
          <w:szCs w:val="23"/>
        </w:rPr>
        <w:tab/>
        <w:t>(3)</w:t>
      </w:r>
      <w:r w:rsidRPr="001A0A92">
        <w:rPr>
          <w:rFonts w:eastAsia="Times New Roman"/>
          <w:iCs/>
          <w:color w:val="000000"/>
          <w:sz w:val="23"/>
          <w:szCs w:val="23"/>
        </w:rPr>
        <w:tab/>
        <w:t>The process to be adopted for appointing a person as a member of the panel must be set out in an agreement entered into between the councils.</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9—Term of office</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t>The term of office of a member of the panel will be 2 years.</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(2)</w:t>
      </w:r>
      <w:r w:rsidRPr="001A0A92">
        <w:rPr>
          <w:rFonts w:eastAsia="Times New Roman"/>
          <w:color w:val="000000"/>
          <w:sz w:val="23"/>
          <w:szCs w:val="23"/>
        </w:rPr>
        <w:tab/>
        <w:t>A person may continue to act as a member of the panel after the expiration of a term of office for the purpose of completing any matter before the panel at the time of the expiration of the term.</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(3)</w:t>
      </w:r>
      <w:r w:rsidRPr="001A0A92">
        <w:rPr>
          <w:rFonts w:eastAsia="Times New Roman"/>
          <w:color w:val="000000"/>
          <w:sz w:val="23"/>
          <w:szCs w:val="23"/>
        </w:rPr>
        <w:tab/>
        <w:t>A member of a panel is eligible for reappointment at the expiration of a term of office.</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10—Conditions of appointment</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t>It will be a condition of appointment of a member of the panel that the member continues to be an accredited professional while holding office (unless such accreditation was not required at the time of appointment).</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(2)</w:t>
      </w:r>
      <w:r w:rsidRPr="001A0A92">
        <w:rPr>
          <w:rFonts w:eastAsia="Times New Roman"/>
          <w:color w:val="000000"/>
          <w:sz w:val="23"/>
          <w:szCs w:val="23"/>
        </w:rPr>
        <w:tab/>
        <w:t>An appointment will be subject to such other conditions (including as to their remuneration) as the relevant councils may specify at the time of the appointment of the member.</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(3)</w:t>
      </w:r>
      <w:r w:rsidRPr="001A0A92">
        <w:rPr>
          <w:rFonts w:eastAsia="Times New Roman"/>
          <w:color w:val="000000"/>
          <w:sz w:val="23"/>
          <w:szCs w:val="23"/>
        </w:rPr>
        <w:tab/>
        <w:t>The Minister may, on the recommendation of the relevant councils, remove a member of the panel from office—</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(a)</w:t>
      </w:r>
      <w:r w:rsidRPr="001A0A92">
        <w:rPr>
          <w:rFonts w:eastAsia="Times New Roman"/>
          <w:color w:val="000000"/>
          <w:sz w:val="23"/>
          <w:szCs w:val="23"/>
        </w:rPr>
        <w:tab/>
        <w:t>for breach of, or non-compliance with, a condition of appointment; or</w:t>
      </w:r>
    </w:p>
    <w:p w:rsidR="001A0A92" w:rsidRPr="001A0A92" w:rsidRDefault="001A0A92" w:rsidP="001A0A92">
      <w:pPr>
        <w:spacing w:after="0" w:line="240" w:lineRule="auto"/>
        <w:jc w:val="left"/>
        <w:rPr>
          <w:rFonts w:eastAsia="Times New Roman"/>
          <w:color w:val="000000"/>
          <w:sz w:val="23"/>
          <w:szCs w:val="23"/>
        </w:rPr>
      </w:pPr>
      <w:r w:rsidRPr="001A0A92">
        <w:rPr>
          <w:rFonts w:eastAsia="Times New Roman"/>
          <w:color w:val="000000"/>
          <w:sz w:val="23"/>
          <w:szCs w:val="23"/>
        </w:rPr>
        <w:br w:type="page"/>
      </w:r>
    </w:p>
    <w:p w:rsidR="001A0A92" w:rsidRPr="001A0A92" w:rsidRDefault="001A0A92" w:rsidP="001A0A92">
      <w:pPr>
        <w:keepLines/>
        <w:tabs>
          <w:tab w:val="center" w:pos="1191"/>
          <w:tab w:val="left" w:pos="1588"/>
        </w:tabs>
        <w:autoSpaceDE w:val="0"/>
        <w:autoSpaceDN w:val="0"/>
        <w:adjustRightInd w:val="0"/>
        <w:spacing w:after="0" w:line="20" w:lineRule="exact"/>
        <w:ind w:left="1588" w:hanging="794"/>
        <w:rPr>
          <w:rFonts w:eastAsia="Times New Roman"/>
          <w:color w:val="000000"/>
          <w:sz w:val="23"/>
          <w:szCs w:val="23"/>
        </w:rPr>
      </w:pP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(b)</w:t>
      </w:r>
      <w:r w:rsidRPr="001A0A92">
        <w:rPr>
          <w:rFonts w:eastAsia="Times New Roman"/>
          <w:color w:val="000000"/>
          <w:sz w:val="23"/>
          <w:szCs w:val="23"/>
        </w:rPr>
        <w:tab/>
        <w:t>for misconduct or neglect of duty;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(c)</w:t>
      </w:r>
      <w:r w:rsidRPr="001A0A92">
        <w:rPr>
          <w:rFonts w:eastAsia="Times New Roman"/>
          <w:color w:val="000000"/>
          <w:sz w:val="23"/>
          <w:szCs w:val="23"/>
        </w:rPr>
        <w:tab/>
        <w:t>for failure or incapacity to carry out official duties satisfactorily;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(d)</w:t>
      </w:r>
      <w:r w:rsidRPr="001A0A92">
        <w:rPr>
          <w:rFonts w:eastAsia="Times New Roman"/>
          <w:color w:val="000000"/>
          <w:sz w:val="23"/>
          <w:szCs w:val="23"/>
        </w:rPr>
        <w:tab/>
        <w:t>for failing to comply with section 84(1)(f) or (g) of the Act;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(e)</w:t>
      </w:r>
      <w:r w:rsidRPr="001A0A92">
        <w:rPr>
          <w:rFonts w:eastAsia="Times New Roman"/>
          <w:color w:val="000000"/>
          <w:sz w:val="23"/>
          <w:szCs w:val="23"/>
        </w:rPr>
        <w:tab/>
        <w:t xml:space="preserve">on the recommendation of the Commission under regulation 11 of the </w:t>
      </w:r>
      <w:r w:rsidRPr="001A0A92">
        <w:rPr>
          <w:rFonts w:eastAsia="Times New Roman"/>
          <w:i/>
          <w:iCs/>
          <w:color w:val="000000"/>
          <w:sz w:val="23"/>
          <w:szCs w:val="23"/>
        </w:rPr>
        <w:t>Planning, Development and Infrastructure (General) Regulations 2017</w:t>
      </w:r>
      <w:r w:rsidRPr="001A0A92">
        <w:rPr>
          <w:rFonts w:eastAsia="Times New Roman"/>
          <w:color w:val="000000"/>
          <w:sz w:val="23"/>
          <w:szCs w:val="23"/>
        </w:rPr>
        <w:t>;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(f)</w:t>
      </w:r>
      <w:r w:rsidRPr="001A0A92">
        <w:rPr>
          <w:rFonts w:eastAsia="Times New Roman"/>
          <w:color w:val="000000"/>
          <w:sz w:val="23"/>
          <w:szCs w:val="23"/>
        </w:rPr>
        <w:tab/>
        <w:t xml:space="preserve">for failure to comply with a condition of appointment set out in a notice of appointment under regulation 11A of the </w:t>
      </w:r>
      <w:r w:rsidRPr="001A0A92">
        <w:rPr>
          <w:rFonts w:eastAsia="Times New Roman"/>
          <w:i/>
          <w:iCs/>
          <w:color w:val="000000"/>
          <w:sz w:val="23"/>
          <w:szCs w:val="23"/>
        </w:rPr>
        <w:t>Planning, Development and Infrastructure (General) Regulations 2017.</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(4)</w:t>
      </w:r>
      <w:r w:rsidRPr="001A0A92">
        <w:rPr>
          <w:rFonts w:eastAsia="Times New Roman"/>
          <w:color w:val="000000"/>
          <w:sz w:val="23"/>
          <w:szCs w:val="23"/>
        </w:rPr>
        <w:tab/>
        <w:t>The office of a member of the panel becomes vacant if the member—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(a)</w:t>
      </w:r>
      <w:r w:rsidRPr="001A0A92">
        <w:rPr>
          <w:rFonts w:eastAsia="Times New Roman"/>
          <w:color w:val="000000"/>
          <w:sz w:val="23"/>
          <w:szCs w:val="23"/>
        </w:rPr>
        <w:tab/>
        <w:t>dies;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(b)</w:t>
      </w:r>
      <w:r w:rsidRPr="001A0A92">
        <w:rPr>
          <w:rFonts w:eastAsia="Times New Roman"/>
          <w:color w:val="000000"/>
          <w:sz w:val="23"/>
          <w:szCs w:val="23"/>
        </w:rPr>
        <w:tab/>
        <w:t>completes a term of office and is not reappointed (subject to the operation of clause 9(2));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(c)</w:t>
      </w:r>
      <w:r w:rsidRPr="001A0A92">
        <w:rPr>
          <w:rFonts w:eastAsia="Times New Roman"/>
          <w:color w:val="000000"/>
          <w:sz w:val="23"/>
          <w:szCs w:val="23"/>
        </w:rPr>
        <w:tab/>
        <w:t>resigns by written notice to the relevant councils;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(d)</w:t>
      </w:r>
      <w:r w:rsidRPr="001A0A92">
        <w:rPr>
          <w:rFonts w:eastAsia="Times New Roman"/>
          <w:color w:val="000000"/>
          <w:sz w:val="23"/>
          <w:szCs w:val="23"/>
        </w:rPr>
        <w:tab/>
        <w:t>is convicted of an indictable offence or is sentenced to imprisonment for an offence;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(e)</w:t>
      </w:r>
      <w:r w:rsidRPr="001A0A92">
        <w:rPr>
          <w:rFonts w:eastAsia="Times New Roman"/>
          <w:color w:val="000000"/>
          <w:sz w:val="23"/>
          <w:szCs w:val="23"/>
        </w:rPr>
        <w:tab/>
        <w:t>becomes bankrupt or applies to take the benefit of a law for the relief of insolvent debtors;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(f)</w:t>
      </w:r>
      <w:r w:rsidRPr="001A0A92">
        <w:rPr>
          <w:rFonts w:eastAsia="Times New Roman"/>
          <w:color w:val="000000"/>
          <w:sz w:val="23"/>
          <w:szCs w:val="23"/>
        </w:rPr>
        <w:tab/>
        <w:t>is removed from office under subclause (3).</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(5)</w:t>
      </w:r>
      <w:r w:rsidRPr="001A0A92">
        <w:rPr>
          <w:rFonts w:eastAsia="Times New Roman"/>
          <w:color w:val="000000"/>
          <w:sz w:val="23"/>
          <w:szCs w:val="23"/>
        </w:rPr>
        <w:tab/>
        <w:t>The relevant councils will be responsible for the remuneration payable to a member of the panel under an agreement entered into between the councils.</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(6)</w:t>
      </w:r>
      <w:r w:rsidRPr="001A0A92">
        <w:rPr>
          <w:rFonts w:eastAsia="Times New Roman"/>
          <w:color w:val="000000"/>
          <w:sz w:val="23"/>
          <w:szCs w:val="23"/>
        </w:rPr>
        <w:tab/>
        <w:t>When there is a vacancy in the membership of the panel, the relevant councils must take steps to fill the vacancy at the earliest opportunity.</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(7)</w:t>
      </w:r>
      <w:r w:rsidRPr="001A0A92">
        <w:rPr>
          <w:rFonts w:eastAsia="Times New Roman"/>
          <w:color w:val="000000"/>
          <w:sz w:val="23"/>
          <w:szCs w:val="23"/>
        </w:rPr>
        <w:tab/>
        <w:t>An act or proceeding of the panel is not invalid by reason only of a vacancy in the membership of the panel.</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11—Appointment of deputy members</w:t>
      </w:r>
    </w:p>
    <w:p w:rsidR="001A0A92" w:rsidRPr="001A0A92" w:rsidRDefault="001A0A92" w:rsidP="001A0A92">
      <w:pPr>
        <w:keepLines/>
        <w:autoSpaceDE w:val="0"/>
        <w:autoSpaceDN w:val="0"/>
        <w:adjustRightInd w:val="0"/>
        <w:spacing w:before="120" w:after="0" w:line="240" w:lineRule="auto"/>
        <w:ind w:left="794"/>
        <w:rPr>
          <w:rFonts w:eastAsia="Times New Roman"/>
          <w:color w:val="000000"/>
          <w:sz w:val="23"/>
          <w:szCs w:val="23"/>
        </w:rPr>
      </w:pPr>
      <w:r w:rsidRPr="001A0A92">
        <w:rPr>
          <w:rFonts w:eastAsia="Times New Roman"/>
          <w:color w:val="000000"/>
          <w:sz w:val="23"/>
          <w:szCs w:val="23"/>
        </w:rPr>
        <w:t>Each member may have a deputy member and deputy members will be appointed in the same way (and be subject to the same terms and conditions) as ordinary members.</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12—Appointment of presiding member and acting presiding member</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t>The presiding member of the panel will be appointed by the relevant councils.</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(2)</w:t>
      </w:r>
      <w:r w:rsidRPr="001A0A92">
        <w:rPr>
          <w:rFonts w:eastAsia="Times New Roman"/>
          <w:color w:val="000000"/>
          <w:sz w:val="23"/>
          <w:szCs w:val="23"/>
        </w:rPr>
        <w:tab/>
        <w:t>The presiding member must be an accredited professional – planning level 2.</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(3)</w:t>
      </w:r>
      <w:r w:rsidRPr="001A0A92">
        <w:rPr>
          <w:rFonts w:eastAsia="Times New Roman"/>
          <w:color w:val="000000"/>
          <w:sz w:val="23"/>
          <w:szCs w:val="23"/>
        </w:rPr>
        <w:tab/>
        <w:t>An acting presiding member may be appointed by members of the panel.</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13—Procedures of panel</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t>A quorum at a meeting of the panel consists of a number ascertained by dividing the total number of members by half, ignoring any fraction resulting from the division, and adding 1 (and no business may be transacted at a meeting of the panel unless a quorum is present).</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(2)</w:t>
      </w:r>
      <w:r w:rsidRPr="001A0A92">
        <w:rPr>
          <w:rFonts w:eastAsia="Times New Roman"/>
          <w:color w:val="000000"/>
          <w:sz w:val="23"/>
          <w:szCs w:val="23"/>
        </w:rPr>
        <w:tab/>
        <w:t>A decision carried by a majority of the votes cast by members at a meeting is a decision of the panel.</w:t>
      </w:r>
    </w:p>
    <w:p w:rsidR="001A0A92" w:rsidRPr="001A0A92" w:rsidRDefault="001A0A92" w:rsidP="001A0A92">
      <w:pPr>
        <w:rPr>
          <w:rFonts w:eastAsia="Times New Roman"/>
          <w:szCs w:val="20"/>
        </w:rPr>
      </w:pPr>
      <w:r w:rsidRPr="001A0A92">
        <w:rPr>
          <w:rFonts w:eastAsia="Times New Roman"/>
          <w:szCs w:val="20"/>
        </w:rPr>
        <w:br w:type="page"/>
      </w:r>
    </w:p>
    <w:p w:rsidR="001A0A92" w:rsidRPr="001A0A92" w:rsidRDefault="001A0A92" w:rsidP="001A0A92">
      <w:pPr>
        <w:keepNext/>
        <w:keepLines/>
        <w:tabs>
          <w:tab w:val="center" w:pos="397"/>
          <w:tab w:val="left" w:pos="794"/>
        </w:tabs>
        <w:autoSpaceDE w:val="0"/>
        <w:autoSpaceDN w:val="0"/>
        <w:adjustRightInd w:val="0"/>
        <w:spacing w:after="0" w:line="20" w:lineRule="exact"/>
        <w:ind w:left="794" w:hanging="794"/>
        <w:rPr>
          <w:rFonts w:eastAsia="Times New Roman"/>
          <w:color w:val="000000"/>
          <w:sz w:val="23"/>
          <w:szCs w:val="23"/>
        </w:rPr>
      </w:pP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(3)</w:t>
      </w:r>
      <w:r w:rsidRPr="001A0A92">
        <w:rPr>
          <w:rFonts w:eastAsia="Times New Roman"/>
          <w:color w:val="000000"/>
          <w:sz w:val="23"/>
          <w:szCs w:val="23"/>
        </w:rPr>
        <w:tab/>
        <w:t>Each member present at a meeting of the panel is entitled to 1 vote on any matter arising for decision and, if votes are equal, the member presiding at the meeting has a second or casting vote.</w:t>
      </w:r>
      <w:bookmarkStart w:id="766" w:name="id54984358_ecd0_453a_91bf_746c540738"/>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(4)</w:t>
      </w:r>
      <w:r w:rsidRPr="001A0A92">
        <w:rPr>
          <w:rFonts w:eastAsia="Times New Roman"/>
          <w:color w:val="000000"/>
          <w:sz w:val="23"/>
          <w:szCs w:val="23"/>
        </w:rPr>
        <w:tab/>
        <w:t>A meeting between members constituting a quorum by telephone or audio-visual means is a valid meeting of the panel if—</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(a)</w:t>
      </w:r>
      <w:r w:rsidRPr="001A0A92">
        <w:rPr>
          <w:rFonts w:eastAsia="Times New Roman"/>
          <w:color w:val="000000"/>
          <w:sz w:val="23"/>
          <w:szCs w:val="23"/>
        </w:rPr>
        <w:tab/>
        <w:t>a notice of the meeting is given to all members of the panel in the manner determined by the panel for the purpose; and</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(b)</w:t>
      </w:r>
      <w:r w:rsidRPr="001A0A92">
        <w:rPr>
          <w:rFonts w:eastAsia="Times New Roman"/>
          <w:color w:val="000000"/>
          <w:sz w:val="23"/>
          <w:szCs w:val="23"/>
        </w:rPr>
        <w:tab/>
        <w:t>the system of communication allows a participating member to communicate with any other participating member during the meeting.</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(5)</w:t>
      </w:r>
      <w:r w:rsidRPr="001A0A92">
        <w:rPr>
          <w:rFonts w:eastAsia="Times New Roman"/>
          <w:color w:val="000000"/>
          <w:sz w:val="23"/>
          <w:szCs w:val="23"/>
        </w:rPr>
        <w:tab/>
        <w:t>A resolution of the panel—</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(a)</w:t>
      </w:r>
      <w:r w:rsidRPr="001A0A92">
        <w:rPr>
          <w:rFonts w:eastAsia="Times New Roman"/>
          <w:color w:val="000000"/>
          <w:sz w:val="23"/>
          <w:szCs w:val="23"/>
        </w:rPr>
        <w:tab/>
        <w:t>of which notice is given to members in accordance with procedures determined or agreed by members of the panel; and</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(b)</w:t>
      </w:r>
      <w:r w:rsidRPr="001A0A92">
        <w:rPr>
          <w:rFonts w:eastAsia="Times New Roman"/>
          <w:color w:val="000000"/>
          <w:sz w:val="23"/>
          <w:szCs w:val="23"/>
        </w:rPr>
        <w:tab/>
        <w:t>in which at least the majority of members of the panel express their concurrence in writing or by electronic communication,</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will be taken to be a decision of the panel.</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(6)</w:t>
      </w:r>
      <w:r w:rsidRPr="001A0A92">
        <w:rPr>
          <w:rFonts w:eastAsia="Times New Roman"/>
          <w:color w:val="000000"/>
          <w:sz w:val="23"/>
          <w:szCs w:val="23"/>
        </w:rPr>
        <w:tab/>
        <w:t>A person who is taken to be a member of the panel under section 85 of the Act is not to be counted or considered for the purposes of subclauses (2), (3) and (5)(b).</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(7)</w:t>
      </w:r>
      <w:r w:rsidRPr="001A0A92">
        <w:rPr>
          <w:rFonts w:eastAsia="Times New Roman"/>
          <w:color w:val="000000"/>
          <w:sz w:val="23"/>
          <w:szCs w:val="23"/>
        </w:rPr>
        <w:tab/>
        <w:t>Subject to this clause and any relevant provisions of regulations made under the Act, the procedures to be observed in relation to the conduct of the business of the panel will be determined by the panel.</w:t>
      </w:r>
      <w:bookmarkEnd w:id="766"/>
    </w:p>
    <w:p w:rsidR="001A0A92" w:rsidRPr="001A0A92" w:rsidRDefault="001A0A92" w:rsidP="001A0A9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A0A92">
        <w:rPr>
          <w:rFonts w:eastAsia="Times New Roman"/>
          <w:b/>
          <w:bCs/>
          <w:color w:val="000000"/>
          <w:sz w:val="32"/>
          <w:szCs w:val="32"/>
          <w:lang w:eastAsia="en-AU"/>
        </w:rPr>
        <w:t>Part 4—Sharing of costs</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14—Sharing of costs</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t>This clause sets out a scheme for the purposes of section 84(1)(i) of the Act.</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(2)</w:t>
      </w:r>
      <w:r w:rsidRPr="001A0A92">
        <w:rPr>
          <w:rFonts w:eastAsia="Times New Roman"/>
          <w:color w:val="000000"/>
          <w:sz w:val="23"/>
          <w:szCs w:val="23"/>
        </w:rPr>
        <w:tab/>
        <w:t>Except as otherwise agreed between the relevant councils, the costs associated with the Assessment Manager for the panel will be borne by the relevant councils in equal shares.</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(3)</w:t>
      </w:r>
      <w:r w:rsidRPr="001A0A92">
        <w:rPr>
          <w:rFonts w:eastAsia="Times New Roman"/>
          <w:color w:val="000000"/>
          <w:sz w:val="23"/>
          <w:szCs w:val="23"/>
        </w:rPr>
        <w:tab/>
        <w:t>In the event of a claim against a member of the panel in respect of the performance, exercise or discharge (or purported performance, exercise or discharge) of their functions, powers or duties under the Act as a member of the panel, the relevant council for the area where the particular development is to be undertaken will be liable for the cost of the claim.</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(4)</w:t>
      </w:r>
      <w:r w:rsidRPr="001A0A92">
        <w:rPr>
          <w:rFonts w:eastAsia="Times New Roman"/>
          <w:color w:val="000000"/>
          <w:sz w:val="23"/>
          <w:szCs w:val="23"/>
        </w:rPr>
        <w:tab/>
        <w:t>Except as otherwise agreed between the relevant councils, all other costs will be shared between the relevant councils in equal shares.</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(5)</w:t>
      </w:r>
      <w:r w:rsidRPr="001A0A92">
        <w:rPr>
          <w:rFonts w:eastAsia="Times New Roman"/>
          <w:color w:val="000000"/>
          <w:sz w:val="23"/>
          <w:szCs w:val="23"/>
        </w:rPr>
        <w:tab/>
        <w:t>The relevant councils may enter into an agreement relating to the incurring of costs by a particular council on behalf of the other councils, and the provision of invoices for the recovery of costs.</w:t>
      </w:r>
    </w:p>
    <w:p w:rsidR="001A0A92" w:rsidRPr="001A0A92" w:rsidRDefault="001A0A92" w:rsidP="001A0A92">
      <w:pPr>
        <w:keepNext/>
        <w:keepLines/>
        <w:autoSpaceDE w:val="0"/>
        <w:autoSpaceDN w:val="0"/>
        <w:adjustRightInd w:val="0"/>
        <w:spacing w:before="120" w:after="0" w:line="240" w:lineRule="auto"/>
        <w:rPr>
          <w:rFonts w:eastAsia="Times New Roman"/>
          <w:b/>
          <w:bCs/>
          <w:color w:val="000000"/>
          <w:sz w:val="26"/>
          <w:szCs w:val="26"/>
        </w:rPr>
      </w:pPr>
      <w:r w:rsidRPr="001A0A92">
        <w:rPr>
          <w:rFonts w:eastAsia="Times New Roman"/>
          <w:b/>
          <w:bCs/>
          <w:color w:val="000000"/>
          <w:sz w:val="26"/>
          <w:szCs w:val="26"/>
        </w:rPr>
        <w:t>Made by the Minister for Planning</w:t>
      </w:r>
    </w:p>
    <w:p w:rsidR="001A0A92" w:rsidRDefault="001A0A92" w:rsidP="001A0A92">
      <w:pPr>
        <w:keepNext/>
        <w:keepLines/>
        <w:autoSpaceDE w:val="0"/>
        <w:autoSpaceDN w:val="0"/>
        <w:adjustRightInd w:val="0"/>
        <w:spacing w:after="0" w:line="240" w:lineRule="auto"/>
        <w:rPr>
          <w:rFonts w:eastAsia="Times New Roman"/>
          <w:color w:val="000000"/>
          <w:sz w:val="23"/>
          <w:szCs w:val="23"/>
        </w:rPr>
      </w:pPr>
      <w:r w:rsidRPr="001A0A92">
        <w:rPr>
          <w:rFonts w:eastAsia="Times New Roman"/>
          <w:color w:val="000000"/>
          <w:sz w:val="23"/>
          <w:szCs w:val="23"/>
        </w:rPr>
        <w:t>On 21 July 2020</w:t>
      </w:r>
    </w:p>
    <w:p w:rsidR="00D40BF4" w:rsidRDefault="00D40BF4" w:rsidP="00D40BF4">
      <w:pPr>
        <w:pBdr>
          <w:top w:val="single" w:sz="4" w:space="1" w:color="auto"/>
        </w:pBdr>
        <w:autoSpaceDE w:val="0"/>
        <w:autoSpaceDN w:val="0"/>
        <w:adjustRightInd w:val="0"/>
        <w:spacing w:before="100" w:after="0" w:line="14" w:lineRule="exact"/>
        <w:jc w:val="center"/>
        <w:rPr>
          <w:rFonts w:eastAsia="Times New Roman"/>
          <w:color w:val="000000"/>
          <w:sz w:val="23"/>
          <w:szCs w:val="23"/>
        </w:rPr>
      </w:pPr>
    </w:p>
    <w:p w:rsidR="00D40BF4" w:rsidRPr="001A0A92" w:rsidRDefault="00D40BF4" w:rsidP="00D40BF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color w:val="000000"/>
          <w:sz w:val="23"/>
          <w:szCs w:val="23"/>
        </w:rPr>
      </w:pPr>
    </w:p>
    <w:p w:rsidR="001A0A92" w:rsidRPr="001A0A92" w:rsidRDefault="001A0A92" w:rsidP="001A0A92">
      <w:pPr>
        <w:spacing w:after="0" w:line="240" w:lineRule="auto"/>
        <w:jc w:val="left"/>
        <w:rPr>
          <w:rFonts w:eastAsia="Times New Roman"/>
          <w:szCs w:val="17"/>
        </w:rPr>
      </w:pPr>
      <w:r w:rsidRPr="001A0A92">
        <w:rPr>
          <w:rFonts w:eastAsia="Times New Roman"/>
          <w:szCs w:val="17"/>
        </w:rPr>
        <w:br w:type="page"/>
      </w:r>
    </w:p>
    <w:p w:rsidR="001A0A92" w:rsidRPr="001A0A92" w:rsidRDefault="001A0A92" w:rsidP="001A0A92">
      <w:pPr>
        <w:keepLines/>
        <w:tabs>
          <w:tab w:val="center" w:pos="1191"/>
          <w:tab w:val="left" w:pos="1588"/>
        </w:tabs>
        <w:autoSpaceDE w:val="0"/>
        <w:autoSpaceDN w:val="0"/>
        <w:adjustRightInd w:val="0"/>
        <w:spacing w:after="0" w:line="20" w:lineRule="exact"/>
        <w:rPr>
          <w:rFonts w:eastAsia="Times New Roman"/>
          <w:szCs w:val="17"/>
        </w:rPr>
      </w:pPr>
    </w:p>
    <w:p w:rsidR="001A0A92" w:rsidRPr="001A0A92" w:rsidRDefault="001A0A92" w:rsidP="001A0A92">
      <w:pPr>
        <w:keepLines/>
        <w:autoSpaceDE w:val="0"/>
        <w:autoSpaceDN w:val="0"/>
        <w:adjustRightInd w:val="0"/>
        <w:spacing w:before="240" w:after="0" w:line="240" w:lineRule="auto"/>
        <w:rPr>
          <w:rFonts w:eastAsia="Times New Roman"/>
          <w:color w:val="000000"/>
          <w:sz w:val="28"/>
          <w:szCs w:val="28"/>
        </w:rPr>
      </w:pPr>
      <w:r w:rsidRPr="001A0A92">
        <w:rPr>
          <w:rFonts w:eastAsia="Times New Roman"/>
          <w:color w:val="000000"/>
          <w:sz w:val="28"/>
          <w:szCs w:val="28"/>
        </w:rPr>
        <w:t>South Australia</w:t>
      </w:r>
    </w:p>
    <w:p w:rsidR="001A0A92" w:rsidRPr="001A0A92" w:rsidRDefault="001A0A92" w:rsidP="001A0A92">
      <w:pPr>
        <w:keepLines/>
        <w:autoSpaceDE w:val="0"/>
        <w:autoSpaceDN w:val="0"/>
        <w:adjustRightInd w:val="0"/>
        <w:spacing w:before="120" w:after="200" w:line="240" w:lineRule="auto"/>
        <w:rPr>
          <w:rFonts w:eastAsia="Times New Roman"/>
          <w:b/>
          <w:bCs/>
          <w:color w:val="000000"/>
          <w:sz w:val="36"/>
          <w:szCs w:val="36"/>
        </w:rPr>
      </w:pPr>
      <w:r w:rsidRPr="001A0A92">
        <w:rPr>
          <w:rFonts w:eastAsia="Times New Roman"/>
          <w:b/>
          <w:bCs/>
          <w:color w:val="000000"/>
          <w:sz w:val="36"/>
          <w:szCs w:val="36"/>
        </w:rPr>
        <w:t>Mid North Regional Assessment Panel Notice 2020</w:t>
      </w:r>
    </w:p>
    <w:p w:rsidR="001A0A92" w:rsidRPr="001A0A92" w:rsidRDefault="001A0A92" w:rsidP="001A0A92">
      <w:pPr>
        <w:keepLines/>
        <w:autoSpaceDE w:val="0"/>
        <w:autoSpaceDN w:val="0"/>
        <w:adjustRightInd w:val="0"/>
        <w:spacing w:before="80" w:after="240" w:line="240" w:lineRule="auto"/>
        <w:rPr>
          <w:rFonts w:eastAsia="Times New Roman"/>
          <w:color w:val="000000"/>
          <w:sz w:val="24"/>
          <w:szCs w:val="24"/>
        </w:rPr>
      </w:pPr>
      <w:r w:rsidRPr="001A0A92">
        <w:rPr>
          <w:rFonts w:eastAsia="Times New Roman"/>
          <w:color w:val="000000"/>
          <w:sz w:val="24"/>
          <w:szCs w:val="24"/>
        </w:rPr>
        <w:t xml:space="preserve">under section 84 of the </w:t>
      </w:r>
      <w:r w:rsidRPr="001A0A92">
        <w:rPr>
          <w:rFonts w:eastAsia="Times New Roman"/>
          <w:i/>
          <w:iCs/>
          <w:color w:val="000000"/>
          <w:sz w:val="24"/>
          <w:szCs w:val="24"/>
        </w:rPr>
        <w:t>Planning, Development and Infrastructure Act 2016</w:t>
      </w:r>
    </w:p>
    <w:p w:rsidR="001A0A92" w:rsidRPr="001A0A92" w:rsidRDefault="001A0A92" w:rsidP="001A0A92">
      <w:pPr>
        <w:keepLines/>
        <w:pBdr>
          <w:top w:val="single" w:sz="4" w:space="0" w:color="auto"/>
        </w:pBdr>
        <w:autoSpaceDE w:val="0"/>
        <w:autoSpaceDN w:val="0"/>
        <w:adjustRightInd w:val="0"/>
        <w:spacing w:before="120" w:after="120" w:line="240" w:lineRule="auto"/>
        <w:rPr>
          <w:rFonts w:eastAsia="Times New Roman"/>
          <w:color w:val="000000"/>
          <w:sz w:val="2"/>
          <w:szCs w:val="2"/>
        </w:rPr>
      </w:pPr>
    </w:p>
    <w:p w:rsidR="001A0A92" w:rsidRPr="001A0A92" w:rsidRDefault="001A0A92" w:rsidP="001A0A9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A0A92">
        <w:rPr>
          <w:rFonts w:eastAsia="Times New Roman"/>
          <w:b/>
          <w:bCs/>
          <w:color w:val="000000"/>
          <w:sz w:val="32"/>
          <w:szCs w:val="32"/>
          <w:lang w:eastAsia="en-AU"/>
        </w:rPr>
        <w:t>Part 1—Preliminary</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1—Short title</w:t>
      </w:r>
    </w:p>
    <w:p w:rsidR="001A0A92" w:rsidRPr="001A0A92" w:rsidRDefault="001A0A92" w:rsidP="001A0A92">
      <w:pPr>
        <w:keepLines/>
        <w:autoSpaceDE w:val="0"/>
        <w:autoSpaceDN w:val="0"/>
        <w:adjustRightInd w:val="0"/>
        <w:spacing w:before="120" w:after="0" w:line="240" w:lineRule="auto"/>
        <w:ind w:left="794"/>
        <w:rPr>
          <w:rFonts w:eastAsia="Times New Roman"/>
          <w:color w:val="000000"/>
          <w:sz w:val="23"/>
          <w:szCs w:val="23"/>
        </w:rPr>
      </w:pPr>
      <w:r w:rsidRPr="001A0A92">
        <w:rPr>
          <w:rFonts w:eastAsia="Times New Roman"/>
          <w:color w:val="000000"/>
          <w:sz w:val="23"/>
          <w:szCs w:val="23"/>
        </w:rPr>
        <w:t xml:space="preserve">This notice may be cited as the </w:t>
      </w:r>
      <w:r w:rsidRPr="001A0A92">
        <w:rPr>
          <w:rFonts w:eastAsia="Times New Roman"/>
          <w:i/>
          <w:iCs/>
          <w:color w:val="000000"/>
          <w:sz w:val="23"/>
          <w:szCs w:val="23"/>
        </w:rPr>
        <w:t>Mid North Regional Assessment Panel Notice 2020</w:t>
      </w:r>
      <w:r w:rsidRPr="001A0A92">
        <w:rPr>
          <w:rFonts w:eastAsia="Times New Roman"/>
          <w:color w:val="000000"/>
          <w:sz w:val="23"/>
          <w:szCs w:val="23"/>
        </w:rPr>
        <w:t>.</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2—Commencement</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r>
      <w:r w:rsidRPr="001A0A92">
        <w:rPr>
          <w:rFonts w:eastAsia="Times New Roman"/>
          <w:color w:val="000000"/>
          <w:sz w:val="23"/>
          <w:szCs w:val="23"/>
        </w:rPr>
        <w:tab/>
        <w:t>This notice comes into operation on 31 July 2020.</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3—Interpretation</w:t>
      </w:r>
    </w:p>
    <w:p w:rsidR="001A0A92" w:rsidRPr="001A0A92" w:rsidRDefault="001A0A92" w:rsidP="001A0A92">
      <w:pPr>
        <w:keepNext/>
        <w:keepLines/>
        <w:autoSpaceDE w:val="0"/>
        <w:autoSpaceDN w:val="0"/>
        <w:adjustRightInd w:val="0"/>
        <w:spacing w:before="120" w:after="0" w:line="240" w:lineRule="auto"/>
        <w:ind w:left="794"/>
        <w:rPr>
          <w:rFonts w:eastAsia="Times New Roman"/>
          <w:color w:val="000000"/>
          <w:sz w:val="23"/>
          <w:szCs w:val="23"/>
        </w:rPr>
      </w:pPr>
      <w:r w:rsidRPr="001A0A92">
        <w:rPr>
          <w:rFonts w:eastAsia="Times New Roman"/>
          <w:color w:val="000000"/>
          <w:sz w:val="23"/>
          <w:szCs w:val="23"/>
        </w:rPr>
        <w:t>In this notice—</w:t>
      </w:r>
    </w:p>
    <w:p w:rsidR="001A0A92" w:rsidRPr="001A0A92" w:rsidRDefault="001A0A92" w:rsidP="001A0A92">
      <w:pPr>
        <w:keepLines/>
        <w:autoSpaceDE w:val="0"/>
        <w:autoSpaceDN w:val="0"/>
        <w:adjustRightInd w:val="0"/>
        <w:spacing w:before="120" w:after="0" w:line="240" w:lineRule="auto"/>
        <w:ind w:left="794"/>
        <w:rPr>
          <w:rFonts w:eastAsia="Times New Roman"/>
          <w:sz w:val="24"/>
          <w:szCs w:val="24"/>
        </w:rPr>
      </w:pPr>
      <w:r w:rsidRPr="001A0A92">
        <w:rPr>
          <w:rFonts w:eastAsia="Times New Roman"/>
          <w:b/>
          <w:bCs/>
          <w:i/>
          <w:iCs/>
          <w:color w:val="000000"/>
          <w:sz w:val="23"/>
          <w:szCs w:val="23"/>
        </w:rPr>
        <w:t>Act</w:t>
      </w:r>
      <w:r w:rsidRPr="001A0A92">
        <w:rPr>
          <w:rFonts w:eastAsia="Times New Roman"/>
          <w:color w:val="000000"/>
          <w:sz w:val="23"/>
          <w:szCs w:val="23"/>
        </w:rPr>
        <w:t xml:space="preserve"> means the </w:t>
      </w:r>
      <w:hyperlink r:id="rId93" w:history="1">
        <w:r w:rsidRPr="001A0A92">
          <w:rPr>
            <w:rFonts w:eastAsia="Times New Roman"/>
            <w:i/>
            <w:iCs/>
            <w:color w:val="000000"/>
            <w:sz w:val="23"/>
            <w:szCs w:val="23"/>
          </w:rPr>
          <w:t>Planning,</w:t>
        </w:r>
      </w:hyperlink>
      <w:r w:rsidRPr="001A0A92">
        <w:rPr>
          <w:rFonts w:eastAsia="Times New Roman"/>
          <w:i/>
          <w:iCs/>
          <w:color w:val="000000"/>
          <w:sz w:val="23"/>
          <w:szCs w:val="23"/>
        </w:rPr>
        <w:t xml:space="preserve"> Development and Infrastructure Act 2016</w:t>
      </w:r>
      <w:r w:rsidRPr="001A0A92">
        <w:rPr>
          <w:rFonts w:eastAsia="Times New Roman"/>
          <w:color w:val="000000"/>
          <w:sz w:val="23"/>
          <w:szCs w:val="23"/>
        </w:rPr>
        <w:t>;</w:t>
      </w:r>
    </w:p>
    <w:p w:rsidR="001A0A92" w:rsidRPr="001A0A92" w:rsidRDefault="001A0A92" w:rsidP="001A0A92">
      <w:pPr>
        <w:keepLines/>
        <w:autoSpaceDE w:val="0"/>
        <w:autoSpaceDN w:val="0"/>
        <w:adjustRightInd w:val="0"/>
        <w:spacing w:before="120" w:after="0" w:line="240" w:lineRule="auto"/>
        <w:ind w:left="794"/>
        <w:rPr>
          <w:rFonts w:eastAsia="Times New Roman"/>
          <w:color w:val="000000"/>
          <w:sz w:val="23"/>
          <w:szCs w:val="23"/>
        </w:rPr>
      </w:pPr>
      <w:r w:rsidRPr="001A0A92">
        <w:rPr>
          <w:rFonts w:eastAsia="Times New Roman"/>
          <w:b/>
          <w:bCs/>
          <w:i/>
          <w:iCs/>
          <w:color w:val="000000"/>
          <w:sz w:val="23"/>
          <w:szCs w:val="23"/>
        </w:rPr>
        <w:t>panel</w:t>
      </w:r>
      <w:r w:rsidRPr="001A0A92">
        <w:rPr>
          <w:rFonts w:eastAsia="Times New Roman"/>
          <w:color w:val="000000"/>
          <w:sz w:val="23"/>
          <w:szCs w:val="23"/>
        </w:rPr>
        <w:t xml:space="preserve"> means the assessment panel constituted under clause 4;</w:t>
      </w:r>
    </w:p>
    <w:p w:rsidR="001A0A92" w:rsidRPr="001A0A92" w:rsidRDefault="001A0A92" w:rsidP="001A0A92">
      <w:pPr>
        <w:keepLines/>
        <w:autoSpaceDE w:val="0"/>
        <w:autoSpaceDN w:val="0"/>
        <w:adjustRightInd w:val="0"/>
        <w:spacing w:before="120" w:after="0" w:line="240" w:lineRule="auto"/>
        <w:ind w:left="794"/>
        <w:rPr>
          <w:rFonts w:eastAsia="Times New Roman"/>
          <w:color w:val="000000"/>
          <w:sz w:val="23"/>
          <w:szCs w:val="23"/>
        </w:rPr>
      </w:pPr>
      <w:r w:rsidRPr="001A0A92">
        <w:rPr>
          <w:rFonts w:eastAsia="Times New Roman"/>
          <w:b/>
          <w:bCs/>
          <w:i/>
          <w:iCs/>
          <w:color w:val="000000"/>
          <w:sz w:val="23"/>
          <w:szCs w:val="23"/>
        </w:rPr>
        <w:t xml:space="preserve">relevant council </w:t>
      </w:r>
      <w:r w:rsidRPr="001A0A92">
        <w:rPr>
          <w:rFonts w:eastAsia="Times New Roman"/>
          <w:color w:val="000000"/>
          <w:sz w:val="23"/>
          <w:szCs w:val="23"/>
        </w:rPr>
        <w:t>means a council for an area in relation to which the panel is constituted.</w:t>
      </w:r>
    </w:p>
    <w:p w:rsidR="001A0A92" w:rsidRPr="001A0A92" w:rsidRDefault="001A0A92" w:rsidP="001A0A9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A0A92">
        <w:rPr>
          <w:rFonts w:eastAsia="Times New Roman"/>
          <w:b/>
          <w:bCs/>
          <w:color w:val="000000"/>
          <w:sz w:val="32"/>
          <w:szCs w:val="32"/>
          <w:lang w:eastAsia="en-AU"/>
        </w:rPr>
        <w:t>Part 2—Constitution of assessment panel</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4—Constitution of assessment panel</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t xml:space="preserve">For the purposes of section 84(1)(a) of the Act, the </w:t>
      </w:r>
      <w:r w:rsidRPr="001A0A92">
        <w:rPr>
          <w:rFonts w:eastAsia="Times New Roman"/>
          <w:i/>
          <w:iCs/>
          <w:color w:val="000000"/>
          <w:sz w:val="23"/>
          <w:szCs w:val="23"/>
        </w:rPr>
        <w:t>Mid North Regional Assessment Panel</w:t>
      </w:r>
      <w:r w:rsidRPr="001A0A92">
        <w:rPr>
          <w:rFonts w:eastAsia="Times New Roman"/>
          <w:color w:val="000000"/>
          <w:sz w:val="23"/>
          <w:szCs w:val="23"/>
        </w:rPr>
        <w:t xml:space="preserve"> is constituted.</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(2)</w:t>
      </w:r>
      <w:r w:rsidRPr="001A0A92">
        <w:rPr>
          <w:rFonts w:eastAsia="Times New Roman"/>
          <w:color w:val="000000"/>
          <w:sz w:val="23"/>
          <w:szCs w:val="23"/>
        </w:rPr>
        <w:tab/>
        <w:t>The panel is constituted in relation to the areas of the following councils:</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(a)</w:t>
      </w:r>
      <w:r w:rsidRPr="001A0A92">
        <w:rPr>
          <w:rFonts w:eastAsia="Times New Roman"/>
          <w:color w:val="000000"/>
          <w:sz w:val="23"/>
          <w:szCs w:val="23"/>
        </w:rPr>
        <w:tab/>
        <w:t>Clare &amp; Gilbert Valleys Council;</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(b)</w:t>
      </w:r>
      <w:r w:rsidRPr="001A0A92">
        <w:rPr>
          <w:rFonts w:eastAsia="Times New Roman"/>
          <w:color w:val="000000"/>
          <w:sz w:val="23"/>
          <w:szCs w:val="23"/>
        </w:rPr>
        <w:tab/>
        <w:t>Northern Areas Council;</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(c)</w:t>
      </w:r>
      <w:r w:rsidRPr="001A0A92">
        <w:rPr>
          <w:rFonts w:eastAsia="Times New Roman"/>
          <w:color w:val="000000"/>
          <w:sz w:val="23"/>
          <w:szCs w:val="23"/>
        </w:rPr>
        <w:tab/>
        <w:t>Regional Council of Goyder;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(d)</w:t>
      </w:r>
      <w:r w:rsidRPr="001A0A92">
        <w:rPr>
          <w:rFonts w:eastAsia="Times New Roman"/>
          <w:color w:val="000000"/>
          <w:sz w:val="23"/>
          <w:szCs w:val="23"/>
        </w:rPr>
        <w:tab/>
        <w:t>Wakefield Regional Council.</w:t>
      </w:r>
    </w:p>
    <w:p w:rsidR="001A0A92" w:rsidRPr="001A0A92" w:rsidRDefault="001A0A92" w:rsidP="001A0A92">
      <w:pPr>
        <w:spacing w:after="0" w:line="240" w:lineRule="auto"/>
        <w:jc w:val="left"/>
        <w:rPr>
          <w:rFonts w:eastAsia="Times New Roman"/>
          <w:b/>
          <w:bCs/>
          <w:color w:val="000000"/>
          <w:sz w:val="32"/>
          <w:szCs w:val="32"/>
          <w:lang w:eastAsia="en-AU"/>
        </w:rPr>
      </w:pPr>
      <w:r w:rsidRPr="001A0A92">
        <w:rPr>
          <w:rFonts w:eastAsia="Times New Roman"/>
          <w:szCs w:val="20"/>
        </w:rPr>
        <w:br w:type="page"/>
      </w:r>
    </w:p>
    <w:p w:rsidR="001A0A92" w:rsidRPr="001A0A92" w:rsidRDefault="001A0A92" w:rsidP="001A0A92">
      <w:pPr>
        <w:keepNext/>
        <w:keepLines/>
        <w:autoSpaceDE w:val="0"/>
        <w:autoSpaceDN w:val="0"/>
        <w:adjustRightInd w:val="0"/>
        <w:spacing w:after="0" w:line="20" w:lineRule="exact"/>
        <w:ind w:left="567" w:hanging="567"/>
        <w:jc w:val="left"/>
        <w:rPr>
          <w:rFonts w:eastAsia="Times New Roman"/>
          <w:b/>
          <w:bCs/>
          <w:color w:val="000000"/>
          <w:sz w:val="32"/>
          <w:szCs w:val="32"/>
          <w:lang w:eastAsia="en-AU"/>
        </w:rPr>
      </w:pPr>
    </w:p>
    <w:p w:rsidR="001A0A92" w:rsidRPr="001A0A92" w:rsidRDefault="001A0A92" w:rsidP="001A0A92">
      <w:pPr>
        <w:keepNext/>
        <w:keepLines/>
        <w:autoSpaceDE w:val="0"/>
        <w:autoSpaceDN w:val="0"/>
        <w:adjustRightInd w:val="0"/>
        <w:spacing w:before="280" w:after="0" w:line="240" w:lineRule="auto"/>
        <w:ind w:left="567" w:hanging="567"/>
        <w:jc w:val="left"/>
        <w:rPr>
          <w:rFonts w:eastAsia="Times New Roman"/>
          <w:b/>
          <w:bCs/>
          <w:color w:val="000000"/>
          <w:sz w:val="23"/>
          <w:szCs w:val="23"/>
          <w:lang w:eastAsia="en-AU"/>
        </w:rPr>
      </w:pPr>
      <w:r w:rsidRPr="001A0A92">
        <w:rPr>
          <w:rFonts w:eastAsia="Times New Roman"/>
          <w:b/>
          <w:bCs/>
          <w:color w:val="000000"/>
          <w:sz w:val="32"/>
          <w:szCs w:val="32"/>
          <w:lang w:eastAsia="en-AU"/>
        </w:rPr>
        <w:t>Part 3—Core provisions</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5—Core provisions</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r>
      <w:r w:rsidRPr="001A0A92">
        <w:rPr>
          <w:rFonts w:eastAsia="Times New Roman"/>
          <w:color w:val="000000"/>
          <w:sz w:val="23"/>
          <w:szCs w:val="23"/>
        </w:rPr>
        <w:tab/>
        <w:t>The following provisions are made for the purposes of section 84(1)(e) of the Act.</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6—Number of members</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szCs w:val="20"/>
        </w:rPr>
      </w:pPr>
      <w:r w:rsidRPr="001A0A92">
        <w:rPr>
          <w:rFonts w:eastAsia="Times New Roman"/>
          <w:color w:val="000000"/>
          <w:sz w:val="23"/>
          <w:szCs w:val="23"/>
        </w:rPr>
        <w:tab/>
      </w:r>
      <w:r w:rsidRPr="001A0A92">
        <w:rPr>
          <w:rFonts w:eastAsia="Times New Roman"/>
          <w:color w:val="000000"/>
          <w:sz w:val="23"/>
          <w:szCs w:val="23"/>
        </w:rPr>
        <w:tab/>
        <w:t>The panel will consist of five members.7—Requirements with respect to the appointment of members</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t>A person who is a member of a council or a member of the Parliament of the State is not eligible for appointment as a member of the panel.</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8—Procedures for appointment</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iCs/>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r>
      <w:r w:rsidRPr="001A0A92">
        <w:rPr>
          <w:rFonts w:eastAsia="Times New Roman"/>
          <w:iCs/>
          <w:color w:val="000000"/>
          <w:sz w:val="23"/>
          <w:szCs w:val="23"/>
        </w:rPr>
        <w:t>The members of the panel will be appointed by the relevant councils taking into account the following requirements:</w:t>
      </w:r>
    </w:p>
    <w:p w:rsidR="001A0A92" w:rsidRPr="001A0A92" w:rsidRDefault="001A0A92" w:rsidP="00714FAF">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sidRPr="001A0A92">
        <w:rPr>
          <w:rFonts w:eastAsia="Times New Roman"/>
          <w:iCs/>
          <w:color w:val="000000"/>
          <w:sz w:val="23"/>
          <w:szCs w:val="23"/>
        </w:rPr>
        <w:tab/>
      </w:r>
      <w:r w:rsidRPr="001A0A92">
        <w:rPr>
          <w:rFonts w:eastAsia="Times New Roman"/>
          <w:iCs/>
          <w:color w:val="000000"/>
          <w:sz w:val="23"/>
          <w:szCs w:val="23"/>
        </w:rPr>
        <w:tab/>
        <w:t>(a)</w:t>
      </w:r>
      <w:r w:rsidRPr="001A0A92">
        <w:rPr>
          <w:rFonts w:eastAsia="Times New Roman"/>
          <w:iCs/>
          <w:color w:val="000000"/>
          <w:sz w:val="23"/>
          <w:szCs w:val="23"/>
        </w:rPr>
        <w:tab/>
        <w:t>only 1 member of the panel may be a member of a council; and</w:t>
      </w:r>
    </w:p>
    <w:p w:rsidR="001A0A92" w:rsidRPr="001A0A92" w:rsidRDefault="001A0A92" w:rsidP="001A0A92">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sidRPr="001A0A92">
        <w:rPr>
          <w:rFonts w:eastAsia="Times New Roman"/>
          <w:iCs/>
          <w:color w:val="000000"/>
          <w:sz w:val="23"/>
          <w:szCs w:val="23"/>
        </w:rPr>
        <w:tab/>
      </w:r>
      <w:r w:rsidRPr="001A0A92">
        <w:rPr>
          <w:rFonts w:eastAsia="Times New Roman"/>
          <w:iCs/>
          <w:color w:val="000000"/>
          <w:sz w:val="23"/>
          <w:szCs w:val="23"/>
        </w:rPr>
        <w:tab/>
        <w:t>(b)</w:t>
      </w:r>
      <w:r w:rsidRPr="001A0A92">
        <w:rPr>
          <w:rFonts w:eastAsia="Times New Roman"/>
          <w:iCs/>
          <w:color w:val="000000"/>
          <w:sz w:val="23"/>
          <w:szCs w:val="23"/>
        </w:rPr>
        <w:tab/>
        <w:t>a person appointed as a member of the panel must be an accredited professional – planning level 2.</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iCs/>
          <w:color w:val="000000"/>
          <w:sz w:val="23"/>
          <w:szCs w:val="23"/>
        </w:rPr>
      </w:pPr>
      <w:r w:rsidRPr="001A0A92">
        <w:rPr>
          <w:rFonts w:eastAsia="Times New Roman"/>
          <w:iCs/>
          <w:color w:val="000000"/>
          <w:sz w:val="23"/>
          <w:szCs w:val="23"/>
        </w:rPr>
        <w:tab/>
        <w:t>(2)</w:t>
      </w:r>
      <w:r w:rsidRPr="001A0A92">
        <w:rPr>
          <w:rFonts w:eastAsia="Times New Roman"/>
          <w:iCs/>
          <w:color w:val="000000"/>
          <w:sz w:val="23"/>
          <w:szCs w:val="23"/>
        </w:rPr>
        <w:tab/>
        <w:t>Subclause (1)(b) does not apply if –</w:t>
      </w:r>
    </w:p>
    <w:p w:rsidR="001A0A92" w:rsidRPr="001A0A92" w:rsidRDefault="001A0A92" w:rsidP="00714FAF">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sidRPr="001A0A92">
        <w:rPr>
          <w:rFonts w:eastAsia="Times New Roman"/>
          <w:iCs/>
          <w:color w:val="000000"/>
          <w:sz w:val="23"/>
          <w:szCs w:val="23"/>
        </w:rPr>
        <w:tab/>
      </w:r>
      <w:r w:rsidRPr="001A0A92">
        <w:rPr>
          <w:rFonts w:eastAsia="Times New Roman"/>
          <w:iCs/>
          <w:color w:val="000000"/>
          <w:sz w:val="23"/>
          <w:szCs w:val="23"/>
        </w:rPr>
        <w:tab/>
        <w:t>(a)</w:t>
      </w:r>
      <w:r w:rsidRPr="001A0A92">
        <w:rPr>
          <w:rFonts w:eastAsia="Times New Roman"/>
          <w:iCs/>
          <w:color w:val="000000"/>
          <w:sz w:val="23"/>
          <w:szCs w:val="23"/>
        </w:rPr>
        <w:tab/>
        <w:t>the person is a member of a council; and</w:t>
      </w:r>
    </w:p>
    <w:p w:rsidR="001A0A92" w:rsidRPr="001A0A92" w:rsidRDefault="001A0A92" w:rsidP="001A0A92">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sidRPr="001A0A92">
        <w:rPr>
          <w:rFonts w:eastAsia="Times New Roman"/>
          <w:iCs/>
          <w:color w:val="000000"/>
          <w:sz w:val="23"/>
          <w:szCs w:val="23"/>
        </w:rPr>
        <w:tab/>
      </w:r>
      <w:r w:rsidRPr="001A0A92">
        <w:rPr>
          <w:rFonts w:eastAsia="Times New Roman"/>
          <w:iCs/>
          <w:color w:val="000000"/>
          <w:sz w:val="23"/>
          <w:szCs w:val="23"/>
        </w:rPr>
        <w:tab/>
        <w:t>(b)</w:t>
      </w:r>
      <w:r w:rsidRPr="001A0A92">
        <w:rPr>
          <w:rFonts w:eastAsia="Times New Roman"/>
          <w:iCs/>
          <w:color w:val="000000"/>
          <w:sz w:val="23"/>
          <w:szCs w:val="23"/>
        </w:rPr>
        <w:tab/>
        <w:t>the relevant councils are satisfied that the person is appropriately qualified to act as member of the panel on account of the persons experience in local government.</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(3)</w:t>
      </w:r>
      <w:r w:rsidRPr="001A0A92">
        <w:rPr>
          <w:rFonts w:eastAsia="Times New Roman"/>
          <w:color w:val="000000"/>
          <w:sz w:val="23"/>
          <w:szCs w:val="23"/>
        </w:rPr>
        <w:tab/>
        <w:t>The process to be adopted for appointing a person as a member of the panel must be set out in an agreement entered into between the councils.</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b/>
          <w:bCs/>
          <w:color w:val="000000"/>
          <w:sz w:val="26"/>
          <w:szCs w:val="26"/>
        </w:rPr>
      </w:pPr>
      <w:r w:rsidRPr="001A0A92">
        <w:rPr>
          <w:rFonts w:eastAsia="Times New Roman"/>
          <w:b/>
          <w:bCs/>
          <w:color w:val="000000"/>
          <w:sz w:val="26"/>
          <w:szCs w:val="26"/>
        </w:rPr>
        <w:t>9—Term of office</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t>The term of office of a member of the panel will be 2 years.</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(2)</w:t>
      </w:r>
      <w:r w:rsidRPr="001A0A92">
        <w:rPr>
          <w:rFonts w:eastAsia="Times New Roman"/>
          <w:color w:val="000000"/>
          <w:sz w:val="23"/>
          <w:szCs w:val="23"/>
        </w:rPr>
        <w:tab/>
        <w:t>A person may continue to act as a member of the panel after the expiration of a term of office for the purpose of completing any matter before the panel at the time of the expiration of the term.</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(3)</w:t>
      </w:r>
      <w:r w:rsidRPr="001A0A92">
        <w:rPr>
          <w:rFonts w:eastAsia="Times New Roman"/>
          <w:color w:val="000000"/>
          <w:sz w:val="23"/>
          <w:szCs w:val="23"/>
        </w:rPr>
        <w:tab/>
        <w:t>A member of a panel is eligible for reappointment at the expiration of a term of office.</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szCs w:val="20"/>
        </w:rPr>
      </w:pPr>
      <w:r w:rsidRPr="001A0A92">
        <w:rPr>
          <w:rFonts w:eastAsia="Times New Roman"/>
          <w:b/>
          <w:bCs/>
          <w:color w:val="000000"/>
          <w:sz w:val="26"/>
          <w:szCs w:val="26"/>
        </w:rPr>
        <w:t>10—Conditions of appointment</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t>It will be a condition of appointment of a member of the panel that the member continues to be an accredited professional while holding office (unless such accreditation was not required at the time of appointment).</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(2)</w:t>
      </w:r>
      <w:r w:rsidRPr="001A0A92">
        <w:rPr>
          <w:rFonts w:eastAsia="Times New Roman"/>
          <w:color w:val="000000"/>
          <w:sz w:val="23"/>
          <w:szCs w:val="23"/>
        </w:rPr>
        <w:tab/>
        <w:t>An appointment will be subject to such other conditions (including as to their remuneration) as the relevant councils may specify at the time of the appointment of the member.</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(3)</w:t>
      </w:r>
      <w:r w:rsidRPr="001A0A92">
        <w:rPr>
          <w:rFonts w:eastAsia="Times New Roman"/>
          <w:color w:val="000000"/>
          <w:sz w:val="23"/>
          <w:szCs w:val="23"/>
        </w:rPr>
        <w:tab/>
        <w:t>The Minister may, on the recommendation of the relevant councils, remove a member of the panel from office—</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(a)</w:t>
      </w:r>
      <w:r w:rsidRPr="001A0A92">
        <w:rPr>
          <w:rFonts w:eastAsia="Times New Roman"/>
          <w:color w:val="000000"/>
          <w:sz w:val="23"/>
          <w:szCs w:val="23"/>
        </w:rPr>
        <w:tab/>
        <w:t>for breach of, or non-compliance with, a condition of appointment;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(b)</w:t>
      </w:r>
      <w:r w:rsidRPr="001A0A92">
        <w:rPr>
          <w:rFonts w:eastAsia="Times New Roman"/>
          <w:color w:val="000000"/>
          <w:sz w:val="23"/>
          <w:szCs w:val="23"/>
        </w:rPr>
        <w:tab/>
        <w:t>for misconduct or neglect of duty; or</w:t>
      </w:r>
    </w:p>
    <w:p w:rsidR="001A0A92" w:rsidRPr="001A0A92" w:rsidRDefault="001A0A92" w:rsidP="001A0A92">
      <w:pPr>
        <w:spacing w:after="0" w:line="240" w:lineRule="auto"/>
        <w:jc w:val="left"/>
        <w:rPr>
          <w:rFonts w:eastAsia="Times New Roman"/>
          <w:color w:val="000000"/>
          <w:sz w:val="23"/>
          <w:szCs w:val="23"/>
        </w:rPr>
      </w:pPr>
      <w:r w:rsidRPr="001A0A92">
        <w:rPr>
          <w:rFonts w:eastAsia="Times New Roman"/>
          <w:color w:val="000000"/>
          <w:sz w:val="23"/>
          <w:szCs w:val="23"/>
        </w:rPr>
        <w:br w:type="page"/>
      </w:r>
    </w:p>
    <w:p w:rsidR="001A0A92" w:rsidRPr="001A0A92" w:rsidRDefault="001A0A92" w:rsidP="001A0A92">
      <w:pPr>
        <w:keepLines/>
        <w:tabs>
          <w:tab w:val="center" w:pos="1191"/>
          <w:tab w:val="left" w:pos="1588"/>
        </w:tabs>
        <w:autoSpaceDE w:val="0"/>
        <w:autoSpaceDN w:val="0"/>
        <w:adjustRightInd w:val="0"/>
        <w:spacing w:after="0" w:line="20" w:lineRule="exact"/>
        <w:ind w:left="1588" w:hanging="794"/>
        <w:rPr>
          <w:rFonts w:eastAsia="Times New Roman"/>
          <w:color w:val="000000"/>
          <w:sz w:val="23"/>
          <w:szCs w:val="23"/>
        </w:rPr>
      </w:pP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(c)</w:t>
      </w:r>
      <w:r w:rsidRPr="001A0A92">
        <w:rPr>
          <w:rFonts w:eastAsia="Times New Roman"/>
          <w:color w:val="000000"/>
          <w:sz w:val="23"/>
          <w:szCs w:val="23"/>
        </w:rPr>
        <w:tab/>
        <w:t>for failure or incapacity to carry out official duties satisfactorily;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(d)</w:t>
      </w:r>
      <w:r w:rsidRPr="001A0A92">
        <w:rPr>
          <w:rFonts w:eastAsia="Times New Roman"/>
          <w:color w:val="000000"/>
          <w:sz w:val="23"/>
          <w:szCs w:val="23"/>
        </w:rPr>
        <w:tab/>
        <w:t>for failing to comply with section 84(1)(f) or (g) of the Act;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(e)</w:t>
      </w:r>
      <w:r w:rsidRPr="001A0A92">
        <w:rPr>
          <w:rFonts w:eastAsia="Times New Roman"/>
          <w:color w:val="000000"/>
          <w:sz w:val="23"/>
          <w:szCs w:val="23"/>
        </w:rPr>
        <w:tab/>
        <w:t xml:space="preserve">on the recommendation of the Commission under regulation 11 of the </w:t>
      </w:r>
      <w:r w:rsidRPr="001A0A92">
        <w:rPr>
          <w:rFonts w:eastAsia="Times New Roman"/>
          <w:i/>
          <w:iCs/>
          <w:color w:val="000000"/>
          <w:sz w:val="23"/>
          <w:szCs w:val="23"/>
        </w:rPr>
        <w:t>Planning, Development and Infrastructure (General) Regulations 2017</w:t>
      </w:r>
      <w:r w:rsidRPr="001A0A92">
        <w:rPr>
          <w:rFonts w:eastAsia="Times New Roman"/>
          <w:color w:val="000000"/>
          <w:sz w:val="23"/>
          <w:szCs w:val="23"/>
        </w:rPr>
        <w:t>;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(f)</w:t>
      </w:r>
      <w:r w:rsidRPr="001A0A92">
        <w:rPr>
          <w:rFonts w:eastAsia="Times New Roman"/>
          <w:color w:val="000000"/>
          <w:sz w:val="23"/>
          <w:szCs w:val="23"/>
        </w:rPr>
        <w:tab/>
        <w:t xml:space="preserve">for failure to comply with a condition of appointment set out in a notice of appointment under regulation 11A of the </w:t>
      </w:r>
      <w:r w:rsidRPr="001A0A92">
        <w:rPr>
          <w:rFonts w:eastAsia="Times New Roman"/>
          <w:i/>
          <w:iCs/>
          <w:color w:val="000000"/>
          <w:sz w:val="23"/>
          <w:szCs w:val="23"/>
        </w:rPr>
        <w:t>Planning, Development and Infrastructure (General) Regulations 2017.</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(4)</w:t>
      </w:r>
      <w:r w:rsidRPr="001A0A92">
        <w:rPr>
          <w:rFonts w:eastAsia="Times New Roman"/>
          <w:color w:val="000000"/>
          <w:sz w:val="23"/>
          <w:szCs w:val="23"/>
        </w:rPr>
        <w:tab/>
        <w:t>The office of a member of the panel becomes vacant if the member—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(a)</w:t>
      </w:r>
      <w:r w:rsidRPr="001A0A92">
        <w:rPr>
          <w:rFonts w:eastAsia="Times New Roman"/>
          <w:color w:val="000000"/>
          <w:sz w:val="23"/>
          <w:szCs w:val="23"/>
        </w:rPr>
        <w:tab/>
        <w:t>dies;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(b)</w:t>
      </w:r>
      <w:r w:rsidRPr="001A0A92">
        <w:rPr>
          <w:rFonts w:eastAsia="Times New Roman"/>
          <w:color w:val="000000"/>
          <w:sz w:val="23"/>
          <w:szCs w:val="23"/>
        </w:rPr>
        <w:tab/>
        <w:t>completes a term of office and is not reappointed (subject to the operation of clause 9(2));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(c)</w:t>
      </w:r>
      <w:r w:rsidRPr="001A0A92">
        <w:rPr>
          <w:rFonts w:eastAsia="Times New Roman"/>
          <w:color w:val="000000"/>
          <w:sz w:val="23"/>
          <w:szCs w:val="23"/>
        </w:rPr>
        <w:tab/>
        <w:t>resigns by written notice to the relevant councils;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(d)</w:t>
      </w:r>
      <w:r w:rsidRPr="001A0A92">
        <w:rPr>
          <w:rFonts w:eastAsia="Times New Roman"/>
          <w:color w:val="000000"/>
          <w:sz w:val="23"/>
          <w:szCs w:val="23"/>
        </w:rPr>
        <w:tab/>
        <w:t>is convicted of an indictable offence or is sentenced to imprisonment for an offence;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(e)</w:t>
      </w:r>
      <w:r w:rsidRPr="001A0A92">
        <w:rPr>
          <w:rFonts w:eastAsia="Times New Roman"/>
          <w:color w:val="000000"/>
          <w:sz w:val="23"/>
          <w:szCs w:val="23"/>
        </w:rPr>
        <w:tab/>
        <w:t>becomes bankrupt or applies to take the benefit of a law for the relief of insolvent debtors; or</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(f)</w:t>
      </w:r>
      <w:r w:rsidRPr="001A0A92">
        <w:rPr>
          <w:rFonts w:eastAsia="Times New Roman"/>
          <w:color w:val="000000"/>
          <w:sz w:val="23"/>
          <w:szCs w:val="23"/>
        </w:rPr>
        <w:tab/>
        <w:t>is removed from office under subclause (3).</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(5)</w:t>
      </w:r>
      <w:r w:rsidRPr="001A0A92">
        <w:rPr>
          <w:rFonts w:eastAsia="Times New Roman"/>
          <w:color w:val="000000"/>
          <w:sz w:val="23"/>
          <w:szCs w:val="23"/>
        </w:rPr>
        <w:tab/>
        <w:t>The relevant councils will be responsible for the remuneration payable to a member of the panel under an agreement entered into between the councils.</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(6)</w:t>
      </w:r>
      <w:r w:rsidRPr="001A0A92">
        <w:rPr>
          <w:rFonts w:eastAsia="Times New Roman"/>
          <w:color w:val="000000"/>
          <w:sz w:val="23"/>
          <w:szCs w:val="23"/>
        </w:rPr>
        <w:tab/>
        <w:t>When there is a vacancy in the membership of the panel, the relevant councils must take steps to fill the vacancy at the earliest opportunity.</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(7)</w:t>
      </w:r>
      <w:r w:rsidRPr="001A0A92">
        <w:rPr>
          <w:rFonts w:eastAsia="Times New Roman"/>
          <w:color w:val="000000"/>
          <w:sz w:val="23"/>
          <w:szCs w:val="23"/>
        </w:rPr>
        <w:tab/>
        <w:t>An act or proceeding of the panel is not invalid by reason only of a vacancy in the membership of the panel.</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11—Appointment of deputy members</w:t>
      </w:r>
    </w:p>
    <w:p w:rsidR="001A0A92" w:rsidRPr="001A0A92" w:rsidRDefault="001A0A92" w:rsidP="001A0A92">
      <w:pPr>
        <w:keepLines/>
        <w:autoSpaceDE w:val="0"/>
        <w:autoSpaceDN w:val="0"/>
        <w:adjustRightInd w:val="0"/>
        <w:spacing w:before="120" w:after="0" w:line="240" w:lineRule="auto"/>
        <w:ind w:left="794"/>
        <w:rPr>
          <w:rFonts w:eastAsia="Times New Roman"/>
          <w:color w:val="000000"/>
          <w:sz w:val="23"/>
          <w:szCs w:val="23"/>
        </w:rPr>
      </w:pPr>
      <w:r w:rsidRPr="001A0A92">
        <w:rPr>
          <w:rFonts w:eastAsia="Times New Roman"/>
          <w:color w:val="000000"/>
          <w:sz w:val="23"/>
          <w:szCs w:val="23"/>
        </w:rPr>
        <w:t>Each member may have a deputy member and deputy members will be appointed in the same way (and be subject to the same terms and conditions) as ordinary members.</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12—Appointment of presiding member and acting presiding member</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t>The presiding member of the panel will be appointed by the relevant councils.</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(2)</w:t>
      </w:r>
      <w:r w:rsidRPr="001A0A92">
        <w:rPr>
          <w:rFonts w:eastAsia="Times New Roman"/>
          <w:color w:val="000000"/>
          <w:sz w:val="23"/>
          <w:szCs w:val="23"/>
        </w:rPr>
        <w:tab/>
        <w:t>The presiding member must be an accredited professional – planning level 2.</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(3)</w:t>
      </w:r>
      <w:r w:rsidRPr="001A0A92">
        <w:rPr>
          <w:rFonts w:eastAsia="Times New Roman"/>
          <w:color w:val="000000"/>
          <w:sz w:val="23"/>
          <w:szCs w:val="23"/>
        </w:rPr>
        <w:tab/>
        <w:t>An acting presiding member may be appointed by members of the panel.</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13—Procedures of panel</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t>A quorum at a meeting of the panel consists of a number ascertained by dividing the total number of members by half, ignoring any fraction resulting from the division, and adding 1 (and no business may be transacted at a meeting of the panel unless a quorum is present).</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(2)</w:t>
      </w:r>
      <w:r w:rsidRPr="001A0A92">
        <w:rPr>
          <w:rFonts w:eastAsia="Times New Roman"/>
          <w:color w:val="000000"/>
          <w:sz w:val="23"/>
          <w:szCs w:val="23"/>
        </w:rPr>
        <w:tab/>
        <w:t>A decision carried by a majority of the votes cast by members at a meeting is a decision of the panel.</w:t>
      </w:r>
    </w:p>
    <w:p w:rsidR="001A0A92" w:rsidRPr="001A0A92" w:rsidRDefault="001A0A92" w:rsidP="001A0A92">
      <w:pPr>
        <w:spacing w:after="0" w:line="240" w:lineRule="auto"/>
        <w:jc w:val="left"/>
        <w:rPr>
          <w:rFonts w:eastAsia="Times New Roman"/>
          <w:color w:val="000000"/>
          <w:sz w:val="23"/>
          <w:szCs w:val="23"/>
        </w:rPr>
      </w:pPr>
      <w:r w:rsidRPr="001A0A92">
        <w:rPr>
          <w:rFonts w:eastAsia="Times New Roman"/>
          <w:color w:val="000000"/>
          <w:sz w:val="23"/>
          <w:szCs w:val="23"/>
        </w:rPr>
        <w:br w:type="page"/>
      </w:r>
    </w:p>
    <w:p w:rsidR="001A0A92" w:rsidRPr="001A0A92" w:rsidRDefault="001A0A92" w:rsidP="001A0A92">
      <w:pPr>
        <w:keepLines/>
        <w:tabs>
          <w:tab w:val="center" w:pos="397"/>
          <w:tab w:val="left" w:pos="794"/>
        </w:tabs>
        <w:autoSpaceDE w:val="0"/>
        <w:autoSpaceDN w:val="0"/>
        <w:adjustRightInd w:val="0"/>
        <w:spacing w:after="0" w:line="20" w:lineRule="exact"/>
        <w:ind w:left="794" w:hanging="794"/>
        <w:rPr>
          <w:rFonts w:eastAsia="Times New Roman"/>
          <w:color w:val="000000"/>
          <w:sz w:val="23"/>
          <w:szCs w:val="23"/>
        </w:rPr>
      </w:pP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(3)</w:t>
      </w:r>
      <w:r w:rsidRPr="001A0A92">
        <w:rPr>
          <w:rFonts w:eastAsia="Times New Roman"/>
          <w:color w:val="000000"/>
          <w:sz w:val="23"/>
          <w:szCs w:val="23"/>
        </w:rPr>
        <w:tab/>
        <w:t>Each member present at a meeting of the panel is entitled to 1 vote on any matter arising for decision and, if votes are equal, the member presiding at the meeting has a second or casting vote.</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(4)</w:t>
      </w:r>
      <w:r w:rsidRPr="001A0A92">
        <w:rPr>
          <w:rFonts w:eastAsia="Times New Roman"/>
          <w:color w:val="000000"/>
          <w:sz w:val="23"/>
          <w:szCs w:val="23"/>
        </w:rPr>
        <w:tab/>
        <w:t>A meeting between members constituting a quorum by telephone or audio-visual means is a valid meeting of the panel if—</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(a)</w:t>
      </w:r>
      <w:r w:rsidRPr="001A0A92">
        <w:rPr>
          <w:rFonts w:eastAsia="Times New Roman"/>
          <w:color w:val="000000"/>
          <w:sz w:val="23"/>
          <w:szCs w:val="23"/>
        </w:rPr>
        <w:tab/>
        <w:t>a notice of the meeting is given to all members of the panel in the manner determined by the panel for the purpose; and</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(b)</w:t>
      </w:r>
      <w:r w:rsidRPr="001A0A92">
        <w:rPr>
          <w:rFonts w:eastAsia="Times New Roman"/>
          <w:color w:val="000000"/>
          <w:sz w:val="23"/>
          <w:szCs w:val="23"/>
        </w:rPr>
        <w:tab/>
        <w:t>the system of communication allows a participating member to communicate with any other participating member during the meeting.</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(5)</w:t>
      </w:r>
      <w:r w:rsidRPr="001A0A92">
        <w:rPr>
          <w:rFonts w:eastAsia="Times New Roman"/>
          <w:color w:val="000000"/>
          <w:sz w:val="23"/>
          <w:szCs w:val="23"/>
        </w:rPr>
        <w:tab/>
        <w:t>A resolution of the panel—</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(a)</w:t>
      </w:r>
      <w:r w:rsidRPr="001A0A92">
        <w:rPr>
          <w:rFonts w:eastAsia="Times New Roman"/>
          <w:color w:val="000000"/>
          <w:sz w:val="23"/>
          <w:szCs w:val="23"/>
        </w:rPr>
        <w:tab/>
        <w:t>of which notice is given to members in accordance with procedures determined or agreed by members of the panel; and</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ab/>
        <w:t>(b)</w:t>
      </w:r>
      <w:r w:rsidRPr="001A0A92">
        <w:rPr>
          <w:rFonts w:eastAsia="Times New Roman"/>
          <w:color w:val="000000"/>
          <w:sz w:val="23"/>
          <w:szCs w:val="23"/>
        </w:rPr>
        <w:tab/>
        <w:t>in which at least the majority of members of the panel express their concurrence in writing or by electronic communication,</w:t>
      </w:r>
    </w:p>
    <w:p w:rsidR="001A0A92" w:rsidRPr="001A0A92" w:rsidRDefault="001A0A92" w:rsidP="001A0A92">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A0A92">
        <w:rPr>
          <w:rFonts w:eastAsia="Times New Roman"/>
          <w:color w:val="000000"/>
          <w:sz w:val="23"/>
          <w:szCs w:val="23"/>
        </w:rPr>
        <w:t>will be taken to be a decision of the panel.</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(6)</w:t>
      </w:r>
      <w:r w:rsidRPr="001A0A92">
        <w:rPr>
          <w:rFonts w:eastAsia="Times New Roman"/>
          <w:color w:val="000000"/>
          <w:sz w:val="23"/>
          <w:szCs w:val="23"/>
        </w:rPr>
        <w:tab/>
        <w:t>A person who is taken to be a member of the panel under section 85 of the Act is not to be counted or considered for the purposes of subclauses (2), (3) and (5)(b).</w:t>
      </w:r>
    </w:p>
    <w:p w:rsidR="001A0A92" w:rsidRPr="001A0A92" w:rsidRDefault="001A0A92" w:rsidP="001A0A92">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(7)</w:t>
      </w:r>
      <w:r w:rsidRPr="001A0A92">
        <w:rPr>
          <w:rFonts w:eastAsia="Times New Roman"/>
          <w:color w:val="000000"/>
          <w:sz w:val="23"/>
          <w:szCs w:val="23"/>
        </w:rPr>
        <w:tab/>
        <w:t>Subject to this clause and any relevant provisions of regulations made under the Act, the procedures to be observed in relation to the conduct of the business of the panel will be determined by the panel.</w:t>
      </w:r>
    </w:p>
    <w:p w:rsidR="001A0A92" w:rsidRPr="001A0A92" w:rsidRDefault="001A0A92" w:rsidP="001A0A9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A0A92">
        <w:rPr>
          <w:rFonts w:eastAsia="Times New Roman"/>
          <w:b/>
          <w:bCs/>
          <w:color w:val="000000"/>
          <w:sz w:val="32"/>
          <w:szCs w:val="32"/>
          <w:lang w:eastAsia="en-AU"/>
        </w:rPr>
        <w:t>Part 4—Sharing of costs</w:t>
      </w:r>
    </w:p>
    <w:p w:rsidR="001A0A92" w:rsidRPr="001A0A92" w:rsidRDefault="001A0A92" w:rsidP="001A0A9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A0A92">
        <w:rPr>
          <w:rFonts w:eastAsia="Times New Roman"/>
          <w:b/>
          <w:bCs/>
          <w:color w:val="000000"/>
          <w:sz w:val="26"/>
          <w:szCs w:val="26"/>
          <w:lang w:eastAsia="en-AU"/>
        </w:rPr>
        <w:t>14—Sharing of costs</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(1)</w:t>
      </w:r>
      <w:r w:rsidRPr="001A0A92">
        <w:rPr>
          <w:rFonts w:eastAsia="Times New Roman"/>
          <w:color w:val="000000"/>
          <w:sz w:val="23"/>
          <w:szCs w:val="23"/>
        </w:rPr>
        <w:tab/>
        <w:t>This clause sets out a scheme for the purposes of section 84(1)(i) of the Act.</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(2)</w:t>
      </w:r>
      <w:r w:rsidRPr="001A0A92">
        <w:rPr>
          <w:rFonts w:eastAsia="Times New Roman"/>
          <w:color w:val="000000"/>
          <w:sz w:val="23"/>
          <w:szCs w:val="23"/>
        </w:rPr>
        <w:tab/>
        <w:t>Except as otherwise agreed between the relevant councils, the costs associated with the Assessment Manager for the panel will be borne by the relevant councils in equal shares.</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(3)</w:t>
      </w:r>
      <w:r w:rsidRPr="001A0A92">
        <w:rPr>
          <w:rFonts w:eastAsia="Times New Roman"/>
          <w:color w:val="000000"/>
          <w:sz w:val="23"/>
          <w:szCs w:val="23"/>
        </w:rPr>
        <w:tab/>
        <w:t>In the event of a claim against a member of the panel in respect of the performance, exercise or discharge (or purported performance, exercise or discharge) of their functions, powers or duties under the Act as a member of the panel, the relevant council for the area where the particular development is to be undertaken will be liable for the cost of the claim.</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(4)</w:t>
      </w:r>
      <w:r w:rsidRPr="001A0A92">
        <w:rPr>
          <w:rFonts w:eastAsia="Times New Roman"/>
          <w:color w:val="000000"/>
          <w:sz w:val="23"/>
          <w:szCs w:val="23"/>
        </w:rPr>
        <w:tab/>
        <w:t>Except as otherwise agreed between the relevant councils, all other costs will be shared between the relevant councils in equal shares.</w:t>
      </w:r>
    </w:p>
    <w:p w:rsidR="001A0A92" w:rsidRPr="001A0A92" w:rsidRDefault="001A0A92" w:rsidP="001A0A92">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A0A92">
        <w:rPr>
          <w:rFonts w:eastAsia="Times New Roman"/>
          <w:color w:val="000000"/>
          <w:sz w:val="23"/>
          <w:szCs w:val="23"/>
        </w:rPr>
        <w:tab/>
        <w:t>(5)</w:t>
      </w:r>
      <w:r w:rsidRPr="001A0A92">
        <w:rPr>
          <w:rFonts w:eastAsia="Times New Roman"/>
          <w:color w:val="000000"/>
          <w:sz w:val="23"/>
          <w:szCs w:val="23"/>
        </w:rPr>
        <w:tab/>
        <w:t>The relevant councils may enter into an agreement relating to the incurring of costs by a particular council on behalf of the other councils, and the provision of invoices for the recovery of costs.</w:t>
      </w:r>
    </w:p>
    <w:p w:rsidR="001A0A92" w:rsidRPr="001A0A92" w:rsidRDefault="001A0A92" w:rsidP="001A0A92">
      <w:pPr>
        <w:keepNext/>
        <w:keepLines/>
        <w:autoSpaceDE w:val="0"/>
        <w:autoSpaceDN w:val="0"/>
        <w:adjustRightInd w:val="0"/>
        <w:spacing w:before="120" w:after="0" w:line="240" w:lineRule="auto"/>
        <w:rPr>
          <w:rFonts w:eastAsia="Times New Roman"/>
          <w:b/>
          <w:bCs/>
          <w:color w:val="000000"/>
          <w:sz w:val="26"/>
          <w:szCs w:val="26"/>
        </w:rPr>
      </w:pPr>
      <w:r w:rsidRPr="001A0A92">
        <w:rPr>
          <w:rFonts w:eastAsia="Times New Roman"/>
          <w:b/>
          <w:bCs/>
          <w:color w:val="000000"/>
          <w:sz w:val="26"/>
          <w:szCs w:val="26"/>
        </w:rPr>
        <w:t>Made by the Minister for Planning</w:t>
      </w:r>
    </w:p>
    <w:p w:rsidR="00A60FDB" w:rsidRDefault="001A0A92" w:rsidP="001A0A92">
      <w:pPr>
        <w:keepNext/>
        <w:keepLines/>
        <w:autoSpaceDE w:val="0"/>
        <w:autoSpaceDN w:val="0"/>
        <w:adjustRightInd w:val="0"/>
        <w:spacing w:line="240" w:lineRule="auto"/>
        <w:rPr>
          <w:rFonts w:eastAsia="Times New Roman"/>
          <w:color w:val="000000"/>
          <w:sz w:val="23"/>
          <w:szCs w:val="23"/>
        </w:rPr>
      </w:pPr>
      <w:r w:rsidRPr="001A0A92">
        <w:rPr>
          <w:rFonts w:eastAsia="Times New Roman"/>
          <w:color w:val="000000"/>
          <w:sz w:val="23"/>
          <w:szCs w:val="23"/>
        </w:rPr>
        <w:t>On 21 July 2020</w:t>
      </w:r>
    </w:p>
    <w:p w:rsidR="001A0A92" w:rsidRDefault="001A0A92" w:rsidP="001A0A92">
      <w:pPr>
        <w:pBdr>
          <w:top w:val="single" w:sz="4" w:space="1" w:color="auto"/>
        </w:pBdr>
        <w:autoSpaceDE w:val="0"/>
        <w:autoSpaceDN w:val="0"/>
        <w:adjustRightInd w:val="0"/>
        <w:spacing w:before="100" w:after="0" w:line="14" w:lineRule="exact"/>
        <w:jc w:val="center"/>
        <w:rPr>
          <w:lang w:val="en-US"/>
        </w:rPr>
      </w:pPr>
    </w:p>
    <w:p w:rsidR="001A0A92" w:rsidRDefault="001A0A92" w:rsidP="001A0A9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06624C" w:rsidRDefault="0006624C">
      <w:pPr>
        <w:spacing w:after="0" w:line="240" w:lineRule="auto"/>
        <w:jc w:val="left"/>
        <w:rPr>
          <w:lang w:val="en-US"/>
        </w:rPr>
      </w:pPr>
      <w:r>
        <w:rPr>
          <w:lang w:val="en-US"/>
        </w:rPr>
        <w:br w:type="page"/>
      </w:r>
    </w:p>
    <w:p w:rsidR="001E2F34" w:rsidRPr="001E2F34" w:rsidRDefault="001E2F34" w:rsidP="001E2F34">
      <w:pPr>
        <w:jc w:val="center"/>
        <w:rPr>
          <w:caps/>
          <w:szCs w:val="17"/>
        </w:rPr>
      </w:pPr>
      <w:r w:rsidRPr="001E2F34">
        <w:rPr>
          <w:caps/>
          <w:szCs w:val="17"/>
        </w:rPr>
        <w:t>Planning, Development and Infrastructure Act 2016</w:t>
      </w:r>
    </w:p>
    <w:p w:rsidR="001E2F34" w:rsidRPr="001E2F34" w:rsidRDefault="001E2F34" w:rsidP="001E2F34">
      <w:pPr>
        <w:jc w:val="center"/>
        <w:rPr>
          <w:smallCaps/>
          <w:szCs w:val="17"/>
        </w:rPr>
      </w:pPr>
      <w:r w:rsidRPr="001E2F34">
        <w:rPr>
          <w:smallCaps/>
          <w:szCs w:val="17"/>
        </w:rPr>
        <w:t>SECTION 84(1)</w:t>
      </w:r>
      <w:r w:rsidRPr="001E2F34">
        <w:rPr>
          <w:szCs w:val="17"/>
        </w:rPr>
        <w:t>(j)</w:t>
      </w:r>
    </w:p>
    <w:p w:rsidR="001E2F34" w:rsidRPr="001E2F34" w:rsidRDefault="001E2F34" w:rsidP="001E2F34">
      <w:pPr>
        <w:jc w:val="center"/>
        <w:rPr>
          <w:i/>
          <w:szCs w:val="17"/>
        </w:rPr>
      </w:pPr>
      <w:r w:rsidRPr="001E2F34">
        <w:rPr>
          <w:i/>
          <w:szCs w:val="17"/>
        </w:rPr>
        <w:t>Revocation of Notice of Constitution of Riverland Regional Assessment Panel</w:t>
      </w:r>
    </w:p>
    <w:p w:rsidR="001E2F34" w:rsidRPr="001E2F34" w:rsidRDefault="001E2F34" w:rsidP="001E2F34">
      <w:pPr>
        <w:rPr>
          <w:rFonts w:eastAsia="Times New Roman"/>
          <w:i/>
          <w:szCs w:val="17"/>
        </w:rPr>
      </w:pPr>
      <w:r w:rsidRPr="001E2F34">
        <w:rPr>
          <w:rFonts w:eastAsia="Times New Roman"/>
          <w:i/>
          <w:szCs w:val="17"/>
        </w:rPr>
        <w:t>Preamble</w:t>
      </w:r>
    </w:p>
    <w:p w:rsidR="001E2F34" w:rsidRPr="001E2F34" w:rsidRDefault="001E2F34" w:rsidP="001E2F34">
      <w:pPr>
        <w:ind w:left="284" w:hanging="284"/>
        <w:rPr>
          <w:rFonts w:eastAsia="Times New Roman"/>
          <w:szCs w:val="17"/>
        </w:rPr>
      </w:pPr>
      <w:r w:rsidRPr="001E2F34">
        <w:rPr>
          <w:rFonts w:eastAsia="Times New Roman"/>
          <w:szCs w:val="17"/>
        </w:rPr>
        <w:t>1.</w:t>
      </w:r>
      <w:r w:rsidRPr="001E2F34">
        <w:rPr>
          <w:rFonts w:eastAsia="Times New Roman"/>
          <w:szCs w:val="17"/>
        </w:rPr>
        <w:tab/>
        <w:t xml:space="preserve">Section 84(1)(j) of the </w:t>
      </w:r>
      <w:r w:rsidRPr="001E2F34">
        <w:rPr>
          <w:rFonts w:eastAsia="Times New Roman"/>
          <w:i/>
          <w:szCs w:val="17"/>
        </w:rPr>
        <w:t>Planning, Development and Infrastructure Act 2016</w:t>
      </w:r>
      <w:r w:rsidRPr="001E2F34">
        <w:rPr>
          <w:rFonts w:eastAsia="Times New Roman"/>
          <w:szCs w:val="17"/>
        </w:rPr>
        <w:t xml:space="preserve"> provides that the Minister for Planning may, by subsequent notice published in the Gazette, vary or revoke a notice under Section 84(1)(a).</w:t>
      </w:r>
    </w:p>
    <w:p w:rsidR="001E2F34" w:rsidRPr="001E2F34" w:rsidRDefault="001E2F34" w:rsidP="001E2F34">
      <w:pPr>
        <w:ind w:left="284" w:hanging="284"/>
        <w:rPr>
          <w:rFonts w:eastAsia="Times New Roman"/>
          <w:szCs w:val="17"/>
        </w:rPr>
      </w:pPr>
      <w:r w:rsidRPr="001E2F34">
        <w:rPr>
          <w:rFonts w:eastAsia="Times New Roman"/>
          <w:szCs w:val="17"/>
        </w:rPr>
        <w:t>2.</w:t>
      </w:r>
      <w:r w:rsidRPr="001E2F34">
        <w:rPr>
          <w:rFonts w:eastAsia="Times New Roman"/>
          <w:szCs w:val="17"/>
        </w:rPr>
        <w:tab/>
        <w:t xml:space="preserve">Under Section 84(1)(a) and Schedule 8, Clause 13(1)(a) of the </w:t>
      </w:r>
      <w:r w:rsidRPr="001E2F34">
        <w:rPr>
          <w:rFonts w:eastAsia="Times New Roman"/>
          <w:i/>
          <w:szCs w:val="17"/>
        </w:rPr>
        <w:t>Planning, Development and Infrastructure Act 2016</w:t>
      </w:r>
      <w:r w:rsidRPr="001E2F34">
        <w:rPr>
          <w:rFonts w:eastAsia="Times New Roman"/>
          <w:szCs w:val="17"/>
        </w:rPr>
        <w:t xml:space="preserve">, the Minister for Planning constituted the Riverland Regional Assessment Panel by notice published in the </w:t>
      </w:r>
      <w:r w:rsidRPr="001E2F34">
        <w:rPr>
          <w:rFonts w:eastAsia="Times New Roman"/>
          <w:i/>
          <w:szCs w:val="17"/>
        </w:rPr>
        <w:t>Government Gazette</w:t>
      </w:r>
      <w:r w:rsidRPr="001E2F34">
        <w:rPr>
          <w:rFonts w:eastAsia="Times New Roman"/>
          <w:szCs w:val="17"/>
        </w:rPr>
        <w:t xml:space="preserve"> No. 67 on Friday 29 September 2017, page 4220, titled </w:t>
      </w:r>
      <w:r w:rsidRPr="001E2F34">
        <w:rPr>
          <w:rFonts w:eastAsia="Times New Roman"/>
          <w:i/>
          <w:szCs w:val="17"/>
        </w:rPr>
        <w:t>Constitution of Riverland Regional Assessment Panel</w:t>
      </w:r>
      <w:r w:rsidRPr="001E2F34">
        <w:rPr>
          <w:rFonts w:eastAsia="Times New Roman"/>
          <w:szCs w:val="17"/>
        </w:rPr>
        <w:t>.</w:t>
      </w:r>
    </w:p>
    <w:p w:rsidR="001E2F34" w:rsidRPr="001E2F34" w:rsidRDefault="001E2F34" w:rsidP="001E2F34">
      <w:pPr>
        <w:ind w:left="284" w:hanging="284"/>
        <w:rPr>
          <w:rFonts w:eastAsia="Times New Roman"/>
          <w:szCs w:val="17"/>
        </w:rPr>
      </w:pPr>
      <w:r w:rsidRPr="001E2F34">
        <w:rPr>
          <w:rFonts w:eastAsia="Times New Roman"/>
          <w:szCs w:val="17"/>
        </w:rPr>
        <w:t>3.</w:t>
      </w:r>
      <w:r w:rsidRPr="001E2F34">
        <w:rPr>
          <w:rFonts w:eastAsia="Times New Roman"/>
          <w:szCs w:val="17"/>
        </w:rPr>
        <w:tab/>
        <w:t xml:space="preserve">Under section 84(1)(j) of the </w:t>
      </w:r>
      <w:r w:rsidRPr="001E2F34">
        <w:rPr>
          <w:rFonts w:eastAsia="Times New Roman"/>
          <w:i/>
          <w:szCs w:val="17"/>
        </w:rPr>
        <w:t>Planning, Development and Infrastructure Act 2016</w:t>
      </w:r>
      <w:r w:rsidRPr="001E2F34">
        <w:rPr>
          <w:rFonts w:eastAsia="Times New Roman"/>
          <w:szCs w:val="17"/>
        </w:rPr>
        <w:t xml:space="preserve">, the Minister for Planning varied the Riverland Regional Assessment Panel by subsequent notice published in the </w:t>
      </w:r>
      <w:r w:rsidRPr="001E2F34">
        <w:rPr>
          <w:rFonts w:eastAsia="Times New Roman"/>
          <w:i/>
          <w:szCs w:val="17"/>
        </w:rPr>
        <w:t>Government Gazette</w:t>
      </w:r>
      <w:r w:rsidRPr="001E2F34">
        <w:rPr>
          <w:rFonts w:eastAsia="Times New Roman"/>
          <w:szCs w:val="17"/>
        </w:rPr>
        <w:t xml:space="preserve"> No. 50 on Thursday 17 October 2019, page 3528, titled </w:t>
      </w:r>
      <w:r w:rsidRPr="001E2F34">
        <w:rPr>
          <w:rFonts w:eastAsia="Times New Roman"/>
          <w:i/>
          <w:szCs w:val="17"/>
        </w:rPr>
        <w:t>Variation of Riverland Regional Assessment Panel</w:t>
      </w:r>
      <w:r w:rsidRPr="001E2F34">
        <w:rPr>
          <w:rFonts w:eastAsia="Times New Roman"/>
          <w:szCs w:val="17"/>
        </w:rPr>
        <w:t>.</w:t>
      </w:r>
    </w:p>
    <w:p w:rsidR="001E2F34" w:rsidRPr="001E2F34" w:rsidRDefault="001E2F34" w:rsidP="001E2F34">
      <w:pPr>
        <w:ind w:left="284" w:hanging="284"/>
        <w:rPr>
          <w:rFonts w:eastAsia="Times New Roman"/>
          <w:szCs w:val="17"/>
        </w:rPr>
      </w:pPr>
      <w:r w:rsidRPr="001E2F34">
        <w:rPr>
          <w:rFonts w:eastAsia="Times New Roman"/>
          <w:szCs w:val="17"/>
        </w:rPr>
        <w:t>4.</w:t>
      </w:r>
      <w:r w:rsidRPr="001E2F34">
        <w:rPr>
          <w:rFonts w:eastAsia="Times New Roman"/>
          <w:szCs w:val="17"/>
        </w:rPr>
        <w:tab/>
        <w:t xml:space="preserve">Under section 84(1)(j) of the </w:t>
      </w:r>
      <w:r w:rsidRPr="001E2F34">
        <w:rPr>
          <w:rFonts w:eastAsia="Times New Roman"/>
          <w:i/>
          <w:szCs w:val="17"/>
        </w:rPr>
        <w:t>Planning, Development and Infrastructure Act 2016</w:t>
      </w:r>
      <w:r w:rsidRPr="001E2F34">
        <w:rPr>
          <w:rFonts w:eastAsia="Times New Roman"/>
          <w:szCs w:val="17"/>
        </w:rPr>
        <w:t xml:space="preserve">, the Minister for Planning varied the Riverland Regional Assessment Panel by subsequent notice published in the </w:t>
      </w:r>
      <w:r w:rsidRPr="001E2F34">
        <w:rPr>
          <w:rFonts w:eastAsia="Times New Roman"/>
          <w:i/>
          <w:szCs w:val="17"/>
        </w:rPr>
        <w:t>Government Gazette</w:t>
      </w:r>
      <w:r w:rsidRPr="001E2F34">
        <w:rPr>
          <w:rFonts w:eastAsia="Times New Roman"/>
          <w:szCs w:val="17"/>
        </w:rPr>
        <w:t xml:space="preserve"> No. 52 on Thursday 31 October 2019, page 3612, titled </w:t>
      </w:r>
      <w:r w:rsidRPr="001E2F34">
        <w:rPr>
          <w:rFonts w:eastAsia="Times New Roman"/>
          <w:i/>
          <w:szCs w:val="17"/>
        </w:rPr>
        <w:t>Variation of Riverland Regional Assessment Panel</w:t>
      </w:r>
      <w:r w:rsidRPr="001E2F34">
        <w:rPr>
          <w:rFonts w:eastAsia="Times New Roman"/>
          <w:szCs w:val="17"/>
        </w:rPr>
        <w:t>.</w:t>
      </w:r>
    </w:p>
    <w:p w:rsidR="001E2F34" w:rsidRPr="001E2F34" w:rsidRDefault="001E2F34" w:rsidP="001E2F34">
      <w:pPr>
        <w:ind w:left="284" w:hanging="284"/>
        <w:rPr>
          <w:rFonts w:eastAsia="Times New Roman"/>
          <w:szCs w:val="17"/>
        </w:rPr>
      </w:pPr>
      <w:r w:rsidRPr="001E2F34">
        <w:rPr>
          <w:rFonts w:eastAsia="Times New Roman"/>
          <w:szCs w:val="17"/>
        </w:rPr>
        <w:t>5.</w:t>
      </w:r>
      <w:r w:rsidRPr="001E2F34">
        <w:rPr>
          <w:rFonts w:eastAsia="Times New Roman"/>
          <w:szCs w:val="17"/>
        </w:rPr>
        <w:tab/>
        <w:t xml:space="preserve">Under section 84(1)(j) of the </w:t>
      </w:r>
      <w:r w:rsidRPr="001E2F34">
        <w:rPr>
          <w:rFonts w:eastAsia="Times New Roman"/>
          <w:i/>
          <w:szCs w:val="17"/>
        </w:rPr>
        <w:t>Planning, Development and Infrastructure Act 2016</w:t>
      </w:r>
      <w:r w:rsidRPr="001E2F34">
        <w:rPr>
          <w:rFonts w:eastAsia="Times New Roman"/>
          <w:szCs w:val="17"/>
        </w:rPr>
        <w:t xml:space="preserve">, the Minister for Planning varied the Riverland Regional Assessment Panel by subsequent notice published in the </w:t>
      </w:r>
      <w:r w:rsidRPr="001E2F34">
        <w:rPr>
          <w:rFonts w:eastAsia="Times New Roman"/>
          <w:i/>
          <w:szCs w:val="17"/>
        </w:rPr>
        <w:t>Government Gazette</w:t>
      </w:r>
      <w:r w:rsidRPr="001E2F34">
        <w:rPr>
          <w:rFonts w:eastAsia="Times New Roman"/>
          <w:szCs w:val="17"/>
        </w:rPr>
        <w:t xml:space="preserve"> No. 12 on Thursday 6 February 2020, page 235, titled </w:t>
      </w:r>
      <w:r w:rsidRPr="001E2F34">
        <w:rPr>
          <w:rFonts w:eastAsia="Times New Roman"/>
          <w:i/>
          <w:szCs w:val="17"/>
        </w:rPr>
        <w:t>Variation of Riverland Regional Assessment Panel</w:t>
      </w:r>
      <w:r w:rsidRPr="001E2F34">
        <w:rPr>
          <w:rFonts w:eastAsia="Times New Roman"/>
          <w:szCs w:val="17"/>
        </w:rPr>
        <w:t>.</w:t>
      </w:r>
    </w:p>
    <w:p w:rsidR="001E2F34" w:rsidRPr="001E2F34" w:rsidRDefault="001E2F34" w:rsidP="001E2F34">
      <w:pPr>
        <w:jc w:val="center"/>
        <w:rPr>
          <w:smallCaps/>
          <w:szCs w:val="17"/>
        </w:rPr>
      </w:pPr>
      <w:r w:rsidRPr="001E2F34">
        <w:rPr>
          <w:smallCaps/>
          <w:szCs w:val="17"/>
        </w:rPr>
        <w:t>Notice</w:t>
      </w:r>
    </w:p>
    <w:p w:rsidR="001E2F34" w:rsidRPr="001E2F34" w:rsidRDefault="001E2F34" w:rsidP="001E2F34">
      <w:pPr>
        <w:rPr>
          <w:rFonts w:eastAsia="Times New Roman"/>
          <w:szCs w:val="17"/>
        </w:rPr>
      </w:pPr>
      <w:r w:rsidRPr="001E2F34">
        <w:rPr>
          <w:rFonts w:eastAsia="Times New Roman"/>
          <w:szCs w:val="17"/>
        </w:rPr>
        <w:t xml:space="preserve">PURSUANT to Section 84(1)(j) of the </w:t>
      </w:r>
      <w:r w:rsidRPr="001E2F34">
        <w:rPr>
          <w:rFonts w:eastAsia="Times New Roman"/>
          <w:i/>
          <w:szCs w:val="17"/>
        </w:rPr>
        <w:t>Planning, Development and Infrastructure Act 2016</w:t>
      </w:r>
      <w:r w:rsidRPr="001E2F34">
        <w:rPr>
          <w:rFonts w:eastAsia="Times New Roman"/>
          <w:szCs w:val="17"/>
        </w:rPr>
        <w:t xml:space="preserve">, I, Sally Smith, Delegate of the Minister for Planning, hereby </w:t>
      </w:r>
      <w:r w:rsidRPr="001E2F34">
        <w:rPr>
          <w:rFonts w:eastAsia="Times New Roman"/>
          <w:b/>
          <w:szCs w:val="17"/>
        </w:rPr>
        <w:t>revoke</w:t>
      </w:r>
      <w:r w:rsidRPr="001E2F34">
        <w:rPr>
          <w:rFonts w:eastAsia="Times New Roman"/>
          <w:szCs w:val="17"/>
        </w:rPr>
        <w:t xml:space="preserve"> the notice under Section 84(1)(a) and Schedule 8, Clause 13(1)(a) of the </w:t>
      </w:r>
      <w:r w:rsidRPr="001E2F34">
        <w:rPr>
          <w:rFonts w:eastAsia="Times New Roman"/>
          <w:i/>
          <w:szCs w:val="17"/>
        </w:rPr>
        <w:t>Planning, Development and Infrastructure Act 2016</w:t>
      </w:r>
      <w:r w:rsidRPr="001E2F34">
        <w:rPr>
          <w:rFonts w:eastAsia="Times New Roman"/>
          <w:szCs w:val="17"/>
        </w:rPr>
        <w:t xml:space="preserve">, published in the </w:t>
      </w:r>
      <w:r w:rsidRPr="001E2F34">
        <w:rPr>
          <w:rFonts w:eastAsia="Times New Roman"/>
          <w:i/>
          <w:szCs w:val="17"/>
        </w:rPr>
        <w:t>Government Gazette</w:t>
      </w:r>
      <w:r w:rsidRPr="001E2F34">
        <w:rPr>
          <w:rFonts w:eastAsia="Times New Roman"/>
          <w:szCs w:val="17"/>
        </w:rPr>
        <w:t xml:space="preserve"> No. 67 on Friday 29 September 2017, page 4220, titled </w:t>
      </w:r>
      <w:r w:rsidRPr="001E2F34">
        <w:rPr>
          <w:rFonts w:eastAsia="Times New Roman"/>
          <w:i/>
          <w:szCs w:val="17"/>
        </w:rPr>
        <w:t>Constitution of Riverland Regional Assessment Panel</w:t>
      </w:r>
      <w:r w:rsidRPr="001E2F34">
        <w:rPr>
          <w:rFonts w:eastAsia="Times New Roman"/>
          <w:szCs w:val="17"/>
        </w:rPr>
        <w:t xml:space="preserve">, as subsequently varied, effective from 31 July 2020. </w:t>
      </w:r>
    </w:p>
    <w:p w:rsidR="001E2F34" w:rsidRPr="001E2F34" w:rsidRDefault="001E2F34" w:rsidP="001E2F34">
      <w:pPr>
        <w:spacing w:after="0"/>
        <w:rPr>
          <w:rFonts w:eastAsia="Times New Roman"/>
          <w:szCs w:val="17"/>
        </w:rPr>
      </w:pPr>
      <w:r w:rsidRPr="001E2F34">
        <w:rPr>
          <w:rFonts w:eastAsia="Times New Roman"/>
          <w:szCs w:val="17"/>
        </w:rPr>
        <w:t>Dated: 21 July 2020</w:t>
      </w:r>
    </w:p>
    <w:p w:rsidR="001E2F34" w:rsidRPr="001E2F34" w:rsidRDefault="001E2F34" w:rsidP="001E2F34">
      <w:pPr>
        <w:spacing w:after="0"/>
        <w:jc w:val="right"/>
        <w:rPr>
          <w:rFonts w:eastAsia="Times New Roman"/>
          <w:smallCaps/>
          <w:szCs w:val="20"/>
        </w:rPr>
      </w:pPr>
      <w:r w:rsidRPr="001E2F34">
        <w:rPr>
          <w:rFonts w:eastAsia="Times New Roman"/>
          <w:smallCaps/>
          <w:szCs w:val="20"/>
        </w:rPr>
        <w:t>Sally Smith</w:t>
      </w:r>
    </w:p>
    <w:p w:rsidR="001E2F34" w:rsidRPr="001E2F34" w:rsidRDefault="001E2F34" w:rsidP="001E2F34">
      <w:pPr>
        <w:spacing w:after="0"/>
        <w:jc w:val="right"/>
        <w:rPr>
          <w:rFonts w:eastAsia="Times New Roman"/>
          <w:szCs w:val="17"/>
        </w:rPr>
      </w:pPr>
      <w:r w:rsidRPr="001E2F34">
        <w:rPr>
          <w:rFonts w:eastAsia="Times New Roman"/>
          <w:szCs w:val="17"/>
        </w:rPr>
        <w:t>Executive Director, Planning and Land Use Services</w:t>
      </w:r>
    </w:p>
    <w:p w:rsidR="001E2F34" w:rsidRPr="001E2F34" w:rsidRDefault="001E2F34" w:rsidP="001E2F34">
      <w:pPr>
        <w:spacing w:after="0"/>
        <w:jc w:val="right"/>
        <w:rPr>
          <w:rFonts w:eastAsia="Times New Roman"/>
          <w:szCs w:val="17"/>
        </w:rPr>
      </w:pPr>
      <w:r w:rsidRPr="001E2F34">
        <w:rPr>
          <w:rFonts w:eastAsia="Times New Roman"/>
          <w:szCs w:val="17"/>
        </w:rPr>
        <w:t>Department of Planning, Transport and Infrastructure</w:t>
      </w:r>
    </w:p>
    <w:p w:rsidR="001E2F34" w:rsidRPr="001E2F34" w:rsidRDefault="001E2F34" w:rsidP="001E2F34">
      <w:pPr>
        <w:jc w:val="right"/>
        <w:rPr>
          <w:rFonts w:eastAsia="Times New Roman"/>
          <w:szCs w:val="17"/>
        </w:rPr>
      </w:pPr>
      <w:r w:rsidRPr="001E2F34">
        <w:rPr>
          <w:rFonts w:eastAsia="Times New Roman"/>
          <w:szCs w:val="17"/>
        </w:rPr>
        <w:t>as Delegate of</w:t>
      </w:r>
    </w:p>
    <w:p w:rsidR="001E2F34" w:rsidRPr="001E2F34" w:rsidRDefault="001E2F34" w:rsidP="001E2F34">
      <w:pPr>
        <w:spacing w:after="0"/>
        <w:jc w:val="right"/>
        <w:rPr>
          <w:rFonts w:eastAsia="Times New Roman"/>
          <w:smallCaps/>
          <w:szCs w:val="20"/>
        </w:rPr>
      </w:pPr>
      <w:r w:rsidRPr="001E2F34">
        <w:rPr>
          <w:rFonts w:eastAsia="Times New Roman"/>
          <w:smallCaps/>
          <w:szCs w:val="20"/>
        </w:rPr>
        <w:t>Hon Stephan Knoll MP</w:t>
      </w:r>
    </w:p>
    <w:p w:rsidR="001E2F34" w:rsidRPr="001E2F34" w:rsidRDefault="001E2F34" w:rsidP="001E2F34">
      <w:pPr>
        <w:spacing w:after="0"/>
        <w:jc w:val="right"/>
        <w:rPr>
          <w:rFonts w:eastAsia="Times New Roman"/>
          <w:szCs w:val="17"/>
        </w:rPr>
      </w:pPr>
      <w:r w:rsidRPr="001E2F34">
        <w:rPr>
          <w:rFonts w:eastAsia="Times New Roman"/>
          <w:szCs w:val="17"/>
        </w:rPr>
        <w:t>Minister for Planning</w:t>
      </w:r>
    </w:p>
    <w:p w:rsidR="001E2F34" w:rsidRPr="001E2F34" w:rsidRDefault="001E2F34" w:rsidP="001E2F34">
      <w:pPr>
        <w:pBdr>
          <w:top w:val="single" w:sz="4" w:space="1" w:color="auto"/>
        </w:pBdr>
        <w:spacing w:before="100" w:line="14" w:lineRule="exact"/>
        <w:ind w:left="1080" w:right="1080"/>
        <w:jc w:val="center"/>
        <w:rPr>
          <w:rFonts w:eastAsia="Times New Roman"/>
          <w:szCs w:val="17"/>
        </w:rPr>
      </w:pPr>
    </w:p>
    <w:p w:rsidR="001E2F34" w:rsidRPr="001E2F34" w:rsidRDefault="001E2F34" w:rsidP="001E2F34">
      <w:pPr>
        <w:spacing w:after="0" w:line="240" w:lineRule="auto"/>
        <w:jc w:val="left"/>
        <w:rPr>
          <w:rFonts w:eastAsia="Times New Roman"/>
          <w:szCs w:val="17"/>
        </w:rPr>
      </w:pPr>
      <w:r w:rsidRPr="001E2F34">
        <w:rPr>
          <w:rFonts w:eastAsia="Times New Roman"/>
          <w:szCs w:val="20"/>
        </w:rPr>
        <w:br w:type="page"/>
      </w:r>
    </w:p>
    <w:p w:rsidR="001E2F34" w:rsidRPr="001E2F34" w:rsidRDefault="001E2F34" w:rsidP="001E2F3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0" w:lineRule="exact"/>
        <w:rPr>
          <w:rFonts w:eastAsia="Times New Roman"/>
          <w:szCs w:val="17"/>
        </w:rPr>
      </w:pPr>
    </w:p>
    <w:p w:rsidR="001E2F34" w:rsidRPr="001E2F34" w:rsidRDefault="001E2F34" w:rsidP="001E2F34">
      <w:pPr>
        <w:keepLines/>
        <w:autoSpaceDE w:val="0"/>
        <w:autoSpaceDN w:val="0"/>
        <w:adjustRightInd w:val="0"/>
        <w:spacing w:before="240" w:after="0" w:line="240" w:lineRule="auto"/>
        <w:rPr>
          <w:rFonts w:eastAsia="Times New Roman"/>
          <w:color w:val="000000"/>
          <w:sz w:val="28"/>
          <w:szCs w:val="28"/>
        </w:rPr>
      </w:pPr>
      <w:r w:rsidRPr="001E2F34">
        <w:rPr>
          <w:rFonts w:eastAsia="Times New Roman"/>
          <w:color w:val="000000"/>
          <w:sz w:val="28"/>
          <w:szCs w:val="28"/>
        </w:rPr>
        <w:t>South Australia</w:t>
      </w:r>
    </w:p>
    <w:p w:rsidR="001E2F34" w:rsidRPr="001E2F34" w:rsidRDefault="001E2F34" w:rsidP="001E2F34">
      <w:pPr>
        <w:keepLines/>
        <w:autoSpaceDE w:val="0"/>
        <w:autoSpaceDN w:val="0"/>
        <w:adjustRightInd w:val="0"/>
        <w:spacing w:before="120" w:after="200" w:line="240" w:lineRule="auto"/>
        <w:rPr>
          <w:rFonts w:eastAsia="Times New Roman"/>
          <w:b/>
          <w:bCs/>
          <w:color w:val="000000"/>
          <w:sz w:val="36"/>
          <w:szCs w:val="36"/>
        </w:rPr>
      </w:pPr>
      <w:r w:rsidRPr="001E2F34">
        <w:rPr>
          <w:rFonts w:eastAsia="Times New Roman"/>
          <w:b/>
          <w:bCs/>
          <w:color w:val="000000"/>
          <w:sz w:val="36"/>
          <w:szCs w:val="36"/>
        </w:rPr>
        <w:t>Riverland Regional Assessment Panel Notice 2020</w:t>
      </w:r>
    </w:p>
    <w:p w:rsidR="001E2F34" w:rsidRPr="001E2F34" w:rsidRDefault="001E2F34" w:rsidP="001E2F34">
      <w:pPr>
        <w:keepLines/>
        <w:autoSpaceDE w:val="0"/>
        <w:autoSpaceDN w:val="0"/>
        <w:adjustRightInd w:val="0"/>
        <w:spacing w:before="80" w:after="240" w:line="240" w:lineRule="auto"/>
        <w:rPr>
          <w:rFonts w:eastAsia="Times New Roman"/>
          <w:color w:val="000000"/>
          <w:sz w:val="24"/>
          <w:szCs w:val="24"/>
        </w:rPr>
      </w:pPr>
      <w:r w:rsidRPr="001E2F34">
        <w:rPr>
          <w:rFonts w:eastAsia="Times New Roman"/>
          <w:color w:val="000000"/>
          <w:sz w:val="24"/>
          <w:szCs w:val="24"/>
        </w:rPr>
        <w:t xml:space="preserve">under section 84 of the </w:t>
      </w:r>
      <w:r w:rsidRPr="001E2F34">
        <w:rPr>
          <w:rFonts w:eastAsia="Times New Roman"/>
          <w:i/>
          <w:iCs/>
          <w:color w:val="000000"/>
          <w:sz w:val="24"/>
          <w:szCs w:val="24"/>
        </w:rPr>
        <w:t>Planning, Development and Infrastructure Act 2016</w:t>
      </w:r>
    </w:p>
    <w:p w:rsidR="001E2F34" w:rsidRPr="001E2F34" w:rsidRDefault="001E2F34" w:rsidP="001E2F34">
      <w:pPr>
        <w:keepLines/>
        <w:pBdr>
          <w:top w:val="single" w:sz="4" w:space="0" w:color="auto"/>
        </w:pBdr>
        <w:autoSpaceDE w:val="0"/>
        <w:autoSpaceDN w:val="0"/>
        <w:adjustRightInd w:val="0"/>
        <w:spacing w:before="120" w:after="120" w:line="240" w:lineRule="auto"/>
        <w:rPr>
          <w:rFonts w:eastAsia="Times New Roman"/>
          <w:color w:val="000000"/>
          <w:sz w:val="2"/>
          <w:szCs w:val="2"/>
        </w:rPr>
      </w:pPr>
    </w:p>
    <w:p w:rsidR="001E2F34" w:rsidRPr="001E2F34" w:rsidRDefault="001E2F34" w:rsidP="001E2F3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E2F34">
        <w:rPr>
          <w:rFonts w:eastAsia="Times New Roman"/>
          <w:b/>
          <w:bCs/>
          <w:color w:val="000000"/>
          <w:sz w:val="32"/>
          <w:szCs w:val="32"/>
          <w:lang w:eastAsia="en-AU"/>
        </w:rPr>
        <w:t>Part 1—Preliminary</w:t>
      </w:r>
    </w:p>
    <w:p w:rsidR="001E2F34" w:rsidRPr="001E2F34" w:rsidRDefault="001E2F34" w:rsidP="001E2F3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E2F34">
        <w:rPr>
          <w:rFonts w:eastAsia="Times New Roman"/>
          <w:b/>
          <w:bCs/>
          <w:color w:val="000000"/>
          <w:sz w:val="26"/>
          <w:szCs w:val="26"/>
          <w:lang w:eastAsia="en-AU"/>
        </w:rPr>
        <w:t>1—Short title</w:t>
      </w:r>
    </w:p>
    <w:p w:rsidR="001E2F34" w:rsidRPr="001E2F34" w:rsidRDefault="001E2F34" w:rsidP="001E2F34">
      <w:pPr>
        <w:keepLines/>
        <w:autoSpaceDE w:val="0"/>
        <w:autoSpaceDN w:val="0"/>
        <w:adjustRightInd w:val="0"/>
        <w:spacing w:before="120" w:after="0" w:line="240" w:lineRule="auto"/>
        <w:ind w:left="794"/>
        <w:rPr>
          <w:rFonts w:eastAsia="Times New Roman"/>
          <w:color w:val="000000"/>
          <w:sz w:val="23"/>
          <w:szCs w:val="23"/>
        </w:rPr>
      </w:pPr>
      <w:r w:rsidRPr="001E2F34">
        <w:rPr>
          <w:rFonts w:eastAsia="Times New Roman"/>
          <w:color w:val="000000"/>
          <w:sz w:val="23"/>
          <w:szCs w:val="23"/>
        </w:rPr>
        <w:t xml:space="preserve">This notice may be cited as the </w:t>
      </w:r>
      <w:r w:rsidRPr="001E2F34">
        <w:rPr>
          <w:rFonts w:eastAsia="Times New Roman"/>
          <w:i/>
          <w:iCs/>
          <w:color w:val="000000"/>
          <w:sz w:val="23"/>
          <w:szCs w:val="23"/>
        </w:rPr>
        <w:t>Riverland Regional Assessment Panel Notice 2020</w:t>
      </w:r>
      <w:r w:rsidRPr="001E2F34">
        <w:rPr>
          <w:rFonts w:eastAsia="Times New Roman"/>
          <w:color w:val="000000"/>
          <w:sz w:val="23"/>
          <w:szCs w:val="23"/>
        </w:rPr>
        <w:t>.</w:t>
      </w:r>
    </w:p>
    <w:p w:rsidR="001E2F34" w:rsidRPr="001E2F34" w:rsidRDefault="001E2F34" w:rsidP="001E2F3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E2F34">
        <w:rPr>
          <w:rFonts w:eastAsia="Times New Roman"/>
          <w:b/>
          <w:bCs/>
          <w:color w:val="000000"/>
          <w:sz w:val="26"/>
          <w:szCs w:val="26"/>
          <w:lang w:eastAsia="en-AU"/>
        </w:rPr>
        <w:t>2—Commencement</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r>
      <w:r w:rsidRPr="001E2F34">
        <w:rPr>
          <w:rFonts w:eastAsia="Times New Roman"/>
          <w:color w:val="000000"/>
          <w:sz w:val="23"/>
          <w:szCs w:val="23"/>
        </w:rPr>
        <w:tab/>
        <w:t>This notice comes into operation on 31 July 2020.</w:t>
      </w:r>
    </w:p>
    <w:p w:rsidR="001E2F34" w:rsidRPr="001E2F34" w:rsidRDefault="001E2F34" w:rsidP="001E2F3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E2F34">
        <w:rPr>
          <w:rFonts w:eastAsia="Times New Roman"/>
          <w:b/>
          <w:bCs/>
          <w:color w:val="000000"/>
          <w:sz w:val="26"/>
          <w:szCs w:val="26"/>
          <w:lang w:eastAsia="en-AU"/>
        </w:rPr>
        <w:t>3—Interpretation</w:t>
      </w:r>
    </w:p>
    <w:p w:rsidR="001E2F34" w:rsidRPr="001E2F34" w:rsidRDefault="001E2F34" w:rsidP="001E2F34">
      <w:pPr>
        <w:keepNext/>
        <w:keepLines/>
        <w:autoSpaceDE w:val="0"/>
        <w:autoSpaceDN w:val="0"/>
        <w:adjustRightInd w:val="0"/>
        <w:spacing w:before="120" w:after="0" w:line="240" w:lineRule="auto"/>
        <w:ind w:left="794"/>
        <w:rPr>
          <w:rFonts w:eastAsia="Times New Roman"/>
          <w:color w:val="000000"/>
          <w:sz w:val="23"/>
          <w:szCs w:val="23"/>
        </w:rPr>
      </w:pPr>
      <w:r w:rsidRPr="001E2F34">
        <w:rPr>
          <w:rFonts w:eastAsia="Times New Roman"/>
          <w:color w:val="000000"/>
          <w:sz w:val="23"/>
          <w:szCs w:val="23"/>
        </w:rPr>
        <w:t>In this notice—</w:t>
      </w:r>
    </w:p>
    <w:p w:rsidR="001E2F34" w:rsidRPr="001E2F34" w:rsidRDefault="001E2F34" w:rsidP="001E2F34">
      <w:pPr>
        <w:keepLines/>
        <w:autoSpaceDE w:val="0"/>
        <w:autoSpaceDN w:val="0"/>
        <w:adjustRightInd w:val="0"/>
        <w:spacing w:before="120" w:after="0" w:line="240" w:lineRule="auto"/>
        <w:ind w:left="794"/>
        <w:rPr>
          <w:rFonts w:eastAsia="Times New Roman"/>
          <w:sz w:val="24"/>
          <w:szCs w:val="24"/>
        </w:rPr>
      </w:pPr>
      <w:r w:rsidRPr="001E2F34">
        <w:rPr>
          <w:rFonts w:eastAsia="Times New Roman"/>
          <w:b/>
          <w:bCs/>
          <w:i/>
          <w:iCs/>
          <w:color w:val="000000"/>
          <w:sz w:val="23"/>
          <w:szCs w:val="23"/>
        </w:rPr>
        <w:t>Act</w:t>
      </w:r>
      <w:r w:rsidRPr="001E2F34">
        <w:rPr>
          <w:rFonts w:eastAsia="Times New Roman"/>
          <w:color w:val="000000"/>
          <w:sz w:val="23"/>
          <w:szCs w:val="23"/>
        </w:rPr>
        <w:t xml:space="preserve"> means the </w:t>
      </w:r>
      <w:hyperlink r:id="rId94" w:history="1">
        <w:r w:rsidRPr="001E2F34">
          <w:rPr>
            <w:rFonts w:eastAsia="Times New Roman"/>
            <w:i/>
            <w:iCs/>
            <w:color w:val="000000"/>
            <w:sz w:val="23"/>
            <w:szCs w:val="23"/>
          </w:rPr>
          <w:t>Planning,</w:t>
        </w:r>
      </w:hyperlink>
      <w:r w:rsidRPr="001E2F34">
        <w:rPr>
          <w:rFonts w:eastAsia="Times New Roman"/>
          <w:i/>
          <w:iCs/>
          <w:color w:val="000000"/>
          <w:sz w:val="23"/>
          <w:szCs w:val="23"/>
        </w:rPr>
        <w:t xml:space="preserve"> Development and Infrastructure Act 2016</w:t>
      </w:r>
      <w:r w:rsidRPr="001E2F34">
        <w:rPr>
          <w:rFonts w:eastAsia="Times New Roman"/>
          <w:color w:val="000000"/>
          <w:sz w:val="23"/>
          <w:szCs w:val="23"/>
        </w:rPr>
        <w:t>;</w:t>
      </w:r>
    </w:p>
    <w:p w:rsidR="001E2F34" w:rsidRPr="001E2F34" w:rsidRDefault="001E2F34" w:rsidP="001E2F34">
      <w:pPr>
        <w:keepLines/>
        <w:autoSpaceDE w:val="0"/>
        <w:autoSpaceDN w:val="0"/>
        <w:adjustRightInd w:val="0"/>
        <w:spacing w:before="120" w:after="0" w:line="240" w:lineRule="auto"/>
        <w:ind w:left="794"/>
        <w:rPr>
          <w:rFonts w:eastAsia="Times New Roman"/>
          <w:color w:val="000000"/>
          <w:sz w:val="23"/>
          <w:szCs w:val="23"/>
        </w:rPr>
      </w:pPr>
      <w:r w:rsidRPr="001E2F34">
        <w:rPr>
          <w:rFonts w:eastAsia="Times New Roman"/>
          <w:b/>
          <w:bCs/>
          <w:i/>
          <w:iCs/>
          <w:color w:val="000000"/>
          <w:sz w:val="23"/>
          <w:szCs w:val="23"/>
        </w:rPr>
        <w:t>panel</w:t>
      </w:r>
      <w:r w:rsidRPr="001E2F34">
        <w:rPr>
          <w:rFonts w:eastAsia="Times New Roman"/>
          <w:color w:val="000000"/>
          <w:sz w:val="23"/>
          <w:szCs w:val="23"/>
        </w:rPr>
        <w:t xml:space="preserve"> means the assessment panel constituted under clause 4;</w:t>
      </w:r>
    </w:p>
    <w:p w:rsidR="001E2F34" w:rsidRPr="001E2F34" w:rsidRDefault="001E2F34" w:rsidP="001E2F34">
      <w:pPr>
        <w:keepLines/>
        <w:autoSpaceDE w:val="0"/>
        <w:autoSpaceDN w:val="0"/>
        <w:adjustRightInd w:val="0"/>
        <w:spacing w:before="120" w:after="0" w:line="240" w:lineRule="auto"/>
        <w:ind w:left="794"/>
        <w:rPr>
          <w:rFonts w:eastAsia="Times New Roman"/>
          <w:color w:val="000000"/>
          <w:sz w:val="23"/>
          <w:szCs w:val="23"/>
        </w:rPr>
      </w:pPr>
      <w:r w:rsidRPr="001E2F34">
        <w:rPr>
          <w:rFonts w:eastAsia="Times New Roman"/>
          <w:b/>
          <w:bCs/>
          <w:i/>
          <w:iCs/>
          <w:color w:val="000000"/>
          <w:sz w:val="23"/>
          <w:szCs w:val="23"/>
        </w:rPr>
        <w:t xml:space="preserve">relevant council </w:t>
      </w:r>
      <w:r w:rsidRPr="001E2F34">
        <w:rPr>
          <w:rFonts w:eastAsia="Times New Roman"/>
          <w:color w:val="000000"/>
          <w:sz w:val="23"/>
          <w:szCs w:val="23"/>
        </w:rPr>
        <w:t>means a council for an area in relation to which the panel is constituted.</w:t>
      </w:r>
    </w:p>
    <w:p w:rsidR="001E2F34" w:rsidRPr="001E2F34" w:rsidRDefault="001E2F34" w:rsidP="001E2F3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E2F34">
        <w:rPr>
          <w:rFonts w:eastAsia="Times New Roman"/>
          <w:b/>
          <w:bCs/>
          <w:color w:val="000000"/>
          <w:sz w:val="32"/>
          <w:szCs w:val="32"/>
          <w:lang w:eastAsia="en-AU"/>
        </w:rPr>
        <w:t>Part 2—Constitution of assessment panel</w:t>
      </w:r>
    </w:p>
    <w:p w:rsidR="001E2F34" w:rsidRPr="001E2F34" w:rsidRDefault="001E2F34" w:rsidP="001E2F3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E2F34">
        <w:rPr>
          <w:rFonts w:eastAsia="Times New Roman"/>
          <w:b/>
          <w:bCs/>
          <w:color w:val="000000"/>
          <w:sz w:val="26"/>
          <w:szCs w:val="26"/>
          <w:lang w:eastAsia="en-AU"/>
        </w:rPr>
        <w:t>4—Constitution of assessment panel</w:t>
      </w:r>
    </w:p>
    <w:p w:rsidR="001E2F34" w:rsidRPr="001E2F34" w:rsidRDefault="001E2F34" w:rsidP="001E2F34">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(1)</w:t>
      </w:r>
      <w:r w:rsidRPr="001E2F34">
        <w:rPr>
          <w:rFonts w:eastAsia="Times New Roman"/>
          <w:color w:val="000000"/>
          <w:sz w:val="23"/>
          <w:szCs w:val="23"/>
        </w:rPr>
        <w:tab/>
        <w:t xml:space="preserve">For the purposes of section 84(1)(a) of the Act, the </w:t>
      </w:r>
      <w:r w:rsidRPr="001E2F34">
        <w:rPr>
          <w:rFonts w:eastAsia="Times New Roman"/>
          <w:i/>
          <w:iCs/>
          <w:color w:val="000000"/>
          <w:sz w:val="23"/>
          <w:szCs w:val="23"/>
        </w:rPr>
        <w:t>Riverland Regional Assessment Panel</w:t>
      </w:r>
      <w:r w:rsidRPr="001E2F34">
        <w:rPr>
          <w:rFonts w:eastAsia="Times New Roman"/>
          <w:color w:val="000000"/>
          <w:sz w:val="23"/>
          <w:szCs w:val="23"/>
        </w:rPr>
        <w:t xml:space="preserve"> is constituted.</w:t>
      </w:r>
    </w:p>
    <w:p w:rsidR="001E2F34" w:rsidRPr="001E2F34" w:rsidRDefault="001E2F34" w:rsidP="001E2F34">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(2)</w:t>
      </w:r>
      <w:r w:rsidRPr="001E2F34">
        <w:rPr>
          <w:rFonts w:eastAsia="Times New Roman"/>
          <w:color w:val="000000"/>
          <w:sz w:val="23"/>
          <w:szCs w:val="23"/>
        </w:rPr>
        <w:tab/>
        <w:t>The panel is constituted in relation to the areas of the following councils:</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ab/>
        <w:t>(a)</w:t>
      </w:r>
      <w:r w:rsidRPr="001E2F34">
        <w:rPr>
          <w:rFonts w:eastAsia="Times New Roman"/>
          <w:color w:val="000000"/>
          <w:sz w:val="23"/>
          <w:szCs w:val="23"/>
        </w:rPr>
        <w:tab/>
        <w:t>Berri Barmera Council;</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ab/>
        <w:t>(b)</w:t>
      </w:r>
      <w:r w:rsidRPr="001E2F34">
        <w:rPr>
          <w:rFonts w:eastAsia="Times New Roman"/>
          <w:color w:val="000000"/>
          <w:sz w:val="23"/>
          <w:szCs w:val="23"/>
        </w:rPr>
        <w:tab/>
        <w:t>District Council of Loxton Waikerie;</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ab/>
        <w:t>(c)</w:t>
      </w:r>
      <w:r w:rsidRPr="001E2F34">
        <w:rPr>
          <w:rFonts w:eastAsia="Times New Roman"/>
          <w:color w:val="000000"/>
          <w:sz w:val="23"/>
          <w:szCs w:val="23"/>
        </w:rPr>
        <w:tab/>
        <w:t>Renmark Paringa Council.</w:t>
      </w:r>
    </w:p>
    <w:p w:rsidR="001E2F34" w:rsidRPr="001E2F34" w:rsidRDefault="001E2F34" w:rsidP="001E2F34">
      <w:pPr>
        <w:keepNext/>
        <w:keepLines/>
        <w:autoSpaceDE w:val="0"/>
        <w:autoSpaceDN w:val="0"/>
        <w:adjustRightInd w:val="0"/>
        <w:spacing w:before="280" w:after="0" w:line="240" w:lineRule="auto"/>
        <w:ind w:left="567" w:hanging="567"/>
        <w:jc w:val="left"/>
        <w:rPr>
          <w:rFonts w:eastAsia="Times New Roman"/>
          <w:b/>
          <w:bCs/>
          <w:color w:val="000000"/>
          <w:sz w:val="23"/>
          <w:szCs w:val="23"/>
          <w:lang w:eastAsia="en-AU"/>
        </w:rPr>
      </w:pPr>
      <w:r w:rsidRPr="001E2F34">
        <w:rPr>
          <w:rFonts w:eastAsia="Times New Roman"/>
          <w:b/>
          <w:bCs/>
          <w:color w:val="000000"/>
          <w:sz w:val="32"/>
          <w:szCs w:val="32"/>
          <w:lang w:eastAsia="en-AU"/>
        </w:rPr>
        <w:t>Part 3—Core provisions</w:t>
      </w:r>
    </w:p>
    <w:p w:rsidR="001E2F34" w:rsidRPr="001E2F34" w:rsidRDefault="001E2F34" w:rsidP="001E2F3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E2F34">
        <w:rPr>
          <w:rFonts w:eastAsia="Times New Roman"/>
          <w:b/>
          <w:bCs/>
          <w:color w:val="000000"/>
          <w:sz w:val="26"/>
          <w:szCs w:val="26"/>
          <w:lang w:eastAsia="en-AU"/>
        </w:rPr>
        <w:t>5—Core provisions</w:t>
      </w:r>
    </w:p>
    <w:p w:rsidR="001E2F34" w:rsidRPr="001E2F34" w:rsidRDefault="001E2F34" w:rsidP="001E2F34">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r>
      <w:r w:rsidRPr="001E2F34">
        <w:rPr>
          <w:rFonts w:eastAsia="Times New Roman"/>
          <w:color w:val="000000"/>
          <w:sz w:val="23"/>
          <w:szCs w:val="23"/>
        </w:rPr>
        <w:tab/>
        <w:t>The following provisions are made for the purposes of section 84(1)(e) of the Act.</w:t>
      </w:r>
    </w:p>
    <w:p w:rsidR="001E2F34" w:rsidRPr="001E2F34" w:rsidRDefault="001E2F34" w:rsidP="001E2F3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E2F34">
        <w:rPr>
          <w:rFonts w:eastAsia="Times New Roman"/>
          <w:b/>
          <w:bCs/>
          <w:color w:val="000000"/>
          <w:sz w:val="26"/>
          <w:szCs w:val="26"/>
          <w:lang w:eastAsia="en-AU"/>
        </w:rPr>
        <w:t>6—Number of members</w:t>
      </w:r>
    </w:p>
    <w:p w:rsidR="001E2F34" w:rsidRPr="001E2F34" w:rsidRDefault="001E2F34" w:rsidP="001E2F34">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r>
      <w:r w:rsidRPr="001E2F34">
        <w:rPr>
          <w:rFonts w:eastAsia="Times New Roman"/>
          <w:color w:val="000000"/>
          <w:sz w:val="23"/>
          <w:szCs w:val="23"/>
        </w:rPr>
        <w:tab/>
        <w:t>The panel will consist of five members.</w:t>
      </w:r>
    </w:p>
    <w:p w:rsidR="001E2F34" w:rsidRPr="001E2F34" w:rsidRDefault="001E2F34" w:rsidP="001E2F34">
      <w:pPr>
        <w:spacing w:after="0" w:line="240" w:lineRule="auto"/>
        <w:jc w:val="left"/>
        <w:rPr>
          <w:rFonts w:eastAsia="Times New Roman"/>
          <w:b/>
          <w:bCs/>
          <w:color w:val="000000"/>
          <w:sz w:val="26"/>
          <w:szCs w:val="26"/>
          <w:lang w:eastAsia="en-AU"/>
        </w:rPr>
      </w:pPr>
      <w:r w:rsidRPr="001E2F34">
        <w:rPr>
          <w:rFonts w:eastAsia="Times New Roman"/>
          <w:szCs w:val="20"/>
        </w:rPr>
        <w:br w:type="page"/>
      </w:r>
    </w:p>
    <w:p w:rsidR="001E2F34" w:rsidRPr="001E2F34" w:rsidRDefault="001E2F34" w:rsidP="001E2F34">
      <w:pPr>
        <w:keepNext/>
        <w:keepLines/>
        <w:autoSpaceDE w:val="0"/>
        <w:autoSpaceDN w:val="0"/>
        <w:adjustRightInd w:val="0"/>
        <w:spacing w:after="0" w:line="20" w:lineRule="exact"/>
        <w:ind w:left="567" w:hanging="567"/>
        <w:jc w:val="left"/>
        <w:rPr>
          <w:rFonts w:eastAsia="Times New Roman"/>
          <w:bCs/>
          <w:color w:val="000000"/>
          <w:szCs w:val="17"/>
          <w:lang w:eastAsia="en-AU"/>
        </w:rPr>
      </w:pPr>
    </w:p>
    <w:p w:rsidR="001E2F34" w:rsidRPr="001E2F34" w:rsidRDefault="001E2F34" w:rsidP="001E2F3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E2F34">
        <w:rPr>
          <w:rFonts w:eastAsia="Times New Roman"/>
          <w:b/>
          <w:bCs/>
          <w:color w:val="000000"/>
          <w:sz w:val="26"/>
          <w:szCs w:val="26"/>
          <w:lang w:eastAsia="en-AU"/>
        </w:rPr>
        <w:t>7—Requirements with respect to the appointment of members</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(1)</w:t>
      </w:r>
      <w:r w:rsidRPr="001E2F34">
        <w:rPr>
          <w:rFonts w:eastAsia="Times New Roman"/>
          <w:color w:val="000000"/>
          <w:sz w:val="23"/>
          <w:szCs w:val="23"/>
        </w:rPr>
        <w:tab/>
        <w:t>A person who is a member of a council or a member of the Parliament of the State is not eligible for appointment as a member of the panel.</w:t>
      </w:r>
    </w:p>
    <w:p w:rsidR="001E2F34" w:rsidRPr="001E2F34" w:rsidRDefault="001E2F34" w:rsidP="001E2F3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E2F34">
        <w:rPr>
          <w:rFonts w:eastAsia="Times New Roman"/>
          <w:b/>
          <w:bCs/>
          <w:color w:val="000000"/>
          <w:sz w:val="26"/>
          <w:szCs w:val="26"/>
          <w:lang w:eastAsia="en-AU"/>
        </w:rPr>
        <w:t>8—Procedures for appointment</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iCs/>
          <w:color w:val="000000"/>
          <w:sz w:val="23"/>
          <w:szCs w:val="23"/>
        </w:rPr>
      </w:pPr>
      <w:r w:rsidRPr="001E2F34">
        <w:rPr>
          <w:rFonts w:eastAsia="Times New Roman"/>
          <w:color w:val="000000"/>
          <w:sz w:val="23"/>
          <w:szCs w:val="23"/>
        </w:rPr>
        <w:tab/>
        <w:t>(1)</w:t>
      </w:r>
      <w:r w:rsidRPr="001E2F34">
        <w:rPr>
          <w:rFonts w:eastAsia="Times New Roman"/>
          <w:color w:val="000000"/>
          <w:sz w:val="23"/>
          <w:szCs w:val="23"/>
        </w:rPr>
        <w:tab/>
      </w:r>
      <w:r w:rsidRPr="001E2F34">
        <w:rPr>
          <w:rFonts w:eastAsia="Times New Roman"/>
          <w:iCs/>
          <w:color w:val="000000"/>
          <w:sz w:val="23"/>
          <w:szCs w:val="23"/>
        </w:rPr>
        <w:t>The members of the panel will be appointed by the relevant councils taking into account the following requirements:</w:t>
      </w:r>
    </w:p>
    <w:p w:rsidR="001E2F34" w:rsidRPr="001E2F34" w:rsidRDefault="00451891" w:rsidP="00451891">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Pr>
          <w:rFonts w:eastAsia="Times New Roman"/>
          <w:iCs/>
          <w:color w:val="000000"/>
          <w:sz w:val="23"/>
          <w:szCs w:val="23"/>
        </w:rPr>
        <w:tab/>
      </w:r>
      <w:r>
        <w:rPr>
          <w:rFonts w:eastAsia="Times New Roman"/>
          <w:iCs/>
          <w:color w:val="000000"/>
          <w:sz w:val="23"/>
          <w:szCs w:val="23"/>
        </w:rPr>
        <w:tab/>
        <w:t>(a)</w:t>
      </w:r>
      <w:r>
        <w:rPr>
          <w:rFonts w:eastAsia="Times New Roman"/>
          <w:iCs/>
          <w:color w:val="000000"/>
          <w:sz w:val="23"/>
          <w:szCs w:val="23"/>
        </w:rPr>
        <w:tab/>
      </w:r>
      <w:r w:rsidR="001E2F34" w:rsidRPr="001E2F34">
        <w:rPr>
          <w:rFonts w:eastAsia="Times New Roman"/>
          <w:iCs/>
          <w:color w:val="000000"/>
          <w:sz w:val="23"/>
          <w:szCs w:val="23"/>
        </w:rPr>
        <w:t>only 1 member of the panel may be a member of a council; and</w:t>
      </w:r>
    </w:p>
    <w:p w:rsidR="001E2F34" w:rsidRPr="001E2F34" w:rsidRDefault="001E2F34" w:rsidP="001E2F34">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sidRPr="001E2F34">
        <w:rPr>
          <w:rFonts w:eastAsia="Times New Roman"/>
          <w:iCs/>
          <w:color w:val="000000"/>
          <w:sz w:val="23"/>
          <w:szCs w:val="23"/>
        </w:rPr>
        <w:tab/>
      </w:r>
      <w:r w:rsidRPr="001E2F34">
        <w:rPr>
          <w:rFonts w:eastAsia="Times New Roman"/>
          <w:iCs/>
          <w:color w:val="000000"/>
          <w:sz w:val="23"/>
          <w:szCs w:val="23"/>
        </w:rPr>
        <w:tab/>
        <w:t>(b)</w:t>
      </w:r>
      <w:r w:rsidRPr="001E2F34">
        <w:rPr>
          <w:rFonts w:eastAsia="Times New Roman"/>
          <w:iCs/>
          <w:color w:val="000000"/>
          <w:sz w:val="23"/>
          <w:szCs w:val="23"/>
        </w:rPr>
        <w:tab/>
        <w:t>a person appointed as a member of the panel must be an accredited professional – planning level 2.</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iCs/>
          <w:color w:val="000000"/>
          <w:sz w:val="23"/>
          <w:szCs w:val="23"/>
        </w:rPr>
      </w:pPr>
      <w:r w:rsidRPr="001E2F34">
        <w:rPr>
          <w:rFonts w:eastAsia="Times New Roman"/>
          <w:iCs/>
          <w:color w:val="000000"/>
          <w:sz w:val="23"/>
          <w:szCs w:val="23"/>
        </w:rPr>
        <w:tab/>
        <w:t>(2)</w:t>
      </w:r>
      <w:r w:rsidRPr="001E2F34">
        <w:rPr>
          <w:rFonts w:eastAsia="Times New Roman"/>
          <w:iCs/>
          <w:color w:val="000000"/>
          <w:sz w:val="23"/>
          <w:szCs w:val="23"/>
        </w:rPr>
        <w:tab/>
        <w:t>Subclause (1)(b) does not apply if –</w:t>
      </w:r>
    </w:p>
    <w:p w:rsidR="001E2F34" w:rsidRPr="001E2F34" w:rsidRDefault="00384ABF" w:rsidP="00384ABF">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Pr>
          <w:rFonts w:eastAsia="Times New Roman"/>
          <w:iCs/>
          <w:color w:val="000000"/>
          <w:sz w:val="23"/>
          <w:szCs w:val="23"/>
        </w:rPr>
        <w:tab/>
      </w:r>
      <w:r>
        <w:rPr>
          <w:rFonts w:eastAsia="Times New Roman"/>
          <w:iCs/>
          <w:color w:val="000000"/>
          <w:sz w:val="23"/>
          <w:szCs w:val="23"/>
        </w:rPr>
        <w:tab/>
        <w:t>(a)</w:t>
      </w:r>
      <w:r>
        <w:rPr>
          <w:rFonts w:eastAsia="Times New Roman"/>
          <w:iCs/>
          <w:color w:val="000000"/>
          <w:sz w:val="23"/>
          <w:szCs w:val="23"/>
        </w:rPr>
        <w:tab/>
      </w:r>
      <w:r w:rsidR="001E2F34" w:rsidRPr="001E2F34">
        <w:rPr>
          <w:rFonts w:eastAsia="Times New Roman"/>
          <w:iCs/>
          <w:color w:val="000000"/>
          <w:sz w:val="23"/>
          <w:szCs w:val="23"/>
        </w:rPr>
        <w:t>the person is a member of a council; and</w:t>
      </w:r>
    </w:p>
    <w:p w:rsidR="001E2F34" w:rsidRPr="001E2F34" w:rsidRDefault="001E2F34" w:rsidP="001E2F34">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sidRPr="001E2F34">
        <w:rPr>
          <w:rFonts w:eastAsia="Times New Roman"/>
          <w:iCs/>
          <w:color w:val="000000"/>
          <w:sz w:val="23"/>
          <w:szCs w:val="23"/>
        </w:rPr>
        <w:tab/>
      </w:r>
      <w:r w:rsidRPr="001E2F34">
        <w:rPr>
          <w:rFonts w:eastAsia="Times New Roman"/>
          <w:iCs/>
          <w:color w:val="000000"/>
          <w:sz w:val="23"/>
          <w:szCs w:val="23"/>
        </w:rPr>
        <w:tab/>
        <w:t>(b)</w:t>
      </w:r>
      <w:r w:rsidRPr="001E2F34">
        <w:rPr>
          <w:rFonts w:eastAsia="Times New Roman"/>
          <w:iCs/>
          <w:color w:val="000000"/>
          <w:sz w:val="23"/>
          <w:szCs w:val="23"/>
        </w:rPr>
        <w:tab/>
        <w:t>the relevant councils are satisfied that the person is appropriately qualified to act as member of the panel on account of the persons experience in local government.</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(3)</w:t>
      </w:r>
      <w:r w:rsidRPr="001E2F34">
        <w:rPr>
          <w:rFonts w:eastAsia="Times New Roman"/>
          <w:color w:val="000000"/>
          <w:sz w:val="23"/>
          <w:szCs w:val="23"/>
        </w:rPr>
        <w:tab/>
        <w:t>The process to be adopted for appointing a person as a member of the panel must be set out in an agreement entered into between the councils.</w:t>
      </w:r>
    </w:p>
    <w:p w:rsidR="001E2F34" w:rsidRPr="001E2F34" w:rsidRDefault="001E2F34" w:rsidP="001E2F3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E2F34">
        <w:rPr>
          <w:rFonts w:eastAsia="Times New Roman"/>
          <w:b/>
          <w:bCs/>
          <w:color w:val="000000"/>
          <w:sz w:val="26"/>
          <w:szCs w:val="26"/>
          <w:lang w:eastAsia="en-AU"/>
        </w:rPr>
        <w:t>9—Term of office</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(1)</w:t>
      </w:r>
      <w:r w:rsidRPr="001E2F34">
        <w:rPr>
          <w:rFonts w:eastAsia="Times New Roman"/>
          <w:color w:val="000000"/>
          <w:sz w:val="23"/>
          <w:szCs w:val="23"/>
        </w:rPr>
        <w:tab/>
        <w:t>The term of office of a member of the panel will be 2 years.</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(2)</w:t>
      </w:r>
      <w:r w:rsidRPr="001E2F34">
        <w:rPr>
          <w:rFonts w:eastAsia="Times New Roman"/>
          <w:color w:val="000000"/>
          <w:sz w:val="23"/>
          <w:szCs w:val="23"/>
        </w:rPr>
        <w:tab/>
        <w:t>A person may continue to act as a member of the panel after the expiration of a term of office for the purpose of completing any matter before the panel at the time of the expiration of the term.</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sz w:val="23"/>
          <w:szCs w:val="23"/>
        </w:rPr>
      </w:pPr>
      <w:r w:rsidRPr="001E2F34">
        <w:rPr>
          <w:rFonts w:eastAsia="Times New Roman"/>
          <w:color w:val="000000"/>
          <w:sz w:val="23"/>
          <w:szCs w:val="23"/>
        </w:rPr>
        <w:tab/>
        <w:t>(3)</w:t>
      </w:r>
      <w:r w:rsidRPr="001E2F34">
        <w:rPr>
          <w:rFonts w:eastAsia="Times New Roman"/>
          <w:color w:val="000000"/>
          <w:sz w:val="23"/>
          <w:szCs w:val="23"/>
        </w:rPr>
        <w:tab/>
        <w:t>A member of a panel is eligible for reappointment at the expiration of a term of office.</w:t>
      </w:r>
    </w:p>
    <w:p w:rsidR="001E2F34" w:rsidRPr="001E2F34" w:rsidRDefault="001E2F34" w:rsidP="001E2F3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E2F34">
        <w:rPr>
          <w:rFonts w:eastAsia="Times New Roman"/>
          <w:b/>
          <w:bCs/>
          <w:color w:val="000000"/>
          <w:sz w:val="26"/>
          <w:szCs w:val="26"/>
          <w:lang w:eastAsia="en-AU"/>
        </w:rPr>
        <w:t>10—Conditions of appointment</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(1)</w:t>
      </w:r>
      <w:r w:rsidRPr="001E2F34">
        <w:rPr>
          <w:rFonts w:eastAsia="Times New Roman"/>
          <w:color w:val="000000"/>
          <w:sz w:val="23"/>
          <w:szCs w:val="23"/>
        </w:rPr>
        <w:tab/>
        <w:t>It will be a condition of appointment of a member of the panel that the member continues to be an accredited professional while holding office (unless such accreditation was not required at the time of appointment).</w:t>
      </w:r>
    </w:p>
    <w:p w:rsidR="001E2F34" w:rsidRPr="001E2F34" w:rsidRDefault="001E2F34" w:rsidP="001E2F34">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(2)</w:t>
      </w:r>
      <w:r w:rsidRPr="001E2F34">
        <w:rPr>
          <w:rFonts w:eastAsia="Times New Roman"/>
          <w:color w:val="000000"/>
          <w:sz w:val="23"/>
          <w:szCs w:val="23"/>
        </w:rPr>
        <w:tab/>
        <w:t>An appointment will be subject to such other conditions (including as to their remuneration) as the relevant councils may specify at the time of the appointment of the member.</w:t>
      </w:r>
    </w:p>
    <w:p w:rsidR="001E2F34" w:rsidRPr="001E2F34" w:rsidRDefault="001E2F34" w:rsidP="001E2F34">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(3)</w:t>
      </w:r>
      <w:r w:rsidRPr="001E2F34">
        <w:rPr>
          <w:rFonts w:eastAsia="Times New Roman"/>
          <w:color w:val="000000"/>
          <w:sz w:val="23"/>
          <w:szCs w:val="23"/>
        </w:rPr>
        <w:tab/>
        <w:t>The Minister may, on the recommendation of the relevant councils, remove a member of the panel from office—</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ab/>
        <w:t>(a)</w:t>
      </w:r>
      <w:r w:rsidRPr="001E2F34">
        <w:rPr>
          <w:rFonts w:eastAsia="Times New Roman"/>
          <w:color w:val="000000"/>
          <w:sz w:val="23"/>
          <w:szCs w:val="23"/>
        </w:rPr>
        <w:tab/>
        <w:t>for breach of, or non-compliance with, a condition of appointment; or</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ab/>
        <w:t>(b)</w:t>
      </w:r>
      <w:r w:rsidRPr="001E2F34">
        <w:rPr>
          <w:rFonts w:eastAsia="Times New Roman"/>
          <w:color w:val="000000"/>
          <w:sz w:val="23"/>
          <w:szCs w:val="23"/>
        </w:rPr>
        <w:tab/>
        <w:t>for misconduct or neglect of duty; or</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ab/>
        <w:t>(c)</w:t>
      </w:r>
      <w:r w:rsidRPr="001E2F34">
        <w:rPr>
          <w:rFonts w:eastAsia="Times New Roman"/>
          <w:color w:val="000000"/>
          <w:sz w:val="23"/>
          <w:szCs w:val="23"/>
        </w:rPr>
        <w:tab/>
        <w:t>for failure or incapacity to carry out official duties satisfactorily; or</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ab/>
        <w:t>(d)</w:t>
      </w:r>
      <w:r w:rsidRPr="001E2F34">
        <w:rPr>
          <w:rFonts w:eastAsia="Times New Roman"/>
          <w:color w:val="000000"/>
          <w:sz w:val="23"/>
          <w:szCs w:val="23"/>
        </w:rPr>
        <w:tab/>
        <w:t>for failing to comply with section 84(1)(f) or (g) of the Act; or</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ab/>
        <w:t>(e)</w:t>
      </w:r>
      <w:r w:rsidRPr="001E2F34">
        <w:rPr>
          <w:rFonts w:eastAsia="Times New Roman"/>
          <w:color w:val="000000"/>
          <w:sz w:val="23"/>
          <w:szCs w:val="23"/>
        </w:rPr>
        <w:tab/>
        <w:t xml:space="preserve">on the recommendation of the Commission under regulation 11 of the </w:t>
      </w:r>
      <w:r w:rsidRPr="001E2F34">
        <w:rPr>
          <w:rFonts w:eastAsia="Times New Roman"/>
          <w:i/>
          <w:iCs/>
          <w:color w:val="000000"/>
          <w:sz w:val="23"/>
          <w:szCs w:val="23"/>
        </w:rPr>
        <w:t>Planning, Development and Infrastructure (General) Regulations 2017</w:t>
      </w:r>
      <w:r w:rsidRPr="001E2F34">
        <w:rPr>
          <w:rFonts w:eastAsia="Times New Roman"/>
          <w:color w:val="000000"/>
          <w:sz w:val="23"/>
          <w:szCs w:val="23"/>
        </w:rPr>
        <w:t>; or</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ab/>
        <w:t>(f)</w:t>
      </w:r>
      <w:r w:rsidRPr="001E2F34">
        <w:rPr>
          <w:rFonts w:eastAsia="Times New Roman"/>
          <w:color w:val="000000"/>
          <w:sz w:val="23"/>
          <w:szCs w:val="23"/>
        </w:rPr>
        <w:tab/>
        <w:t xml:space="preserve">for failure to comply with a condition of appointment set out in a notice of appointment under regulation 11A of the </w:t>
      </w:r>
      <w:r w:rsidRPr="001E2F34">
        <w:rPr>
          <w:rFonts w:eastAsia="Times New Roman"/>
          <w:i/>
          <w:iCs/>
          <w:color w:val="000000"/>
          <w:sz w:val="23"/>
          <w:szCs w:val="23"/>
        </w:rPr>
        <w:t>Planning, Development and Infrastructure (General) Regulations 2017.</w:t>
      </w:r>
    </w:p>
    <w:p w:rsidR="001E2F34" w:rsidRPr="001E2F34" w:rsidRDefault="001E2F34" w:rsidP="001E2F34">
      <w:pPr>
        <w:spacing w:after="0" w:line="240" w:lineRule="auto"/>
        <w:jc w:val="left"/>
        <w:rPr>
          <w:rFonts w:eastAsia="Times New Roman"/>
          <w:color w:val="000000"/>
          <w:sz w:val="23"/>
          <w:szCs w:val="23"/>
        </w:rPr>
      </w:pPr>
      <w:r w:rsidRPr="001E2F34">
        <w:rPr>
          <w:rFonts w:eastAsia="Times New Roman"/>
          <w:color w:val="000000"/>
          <w:sz w:val="23"/>
          <w:szCs w:val="23"/>
        </w:rPr>
        <w:br w:type="page"/>
      </w:r>
    </w:p>
    <w:p w:rsidR="001E2F34" w:rsidRPr="001E2F34" w:rsidRDefault="001E2F34" w:rsidP="001E2F34">
      <w:pPr>
        <w:keepNext/>
        <w:keepLines/>
        <w:tabs>
          <w:tab w:val="center" w:pos="397"/>
          <w:tab w:val="left" w:pos="794"/>
        </w:tabs>
        <w:autoSpaceDE w:val="0"/>
        <w:autoSpaceDN w:val="0"/>
        <w:adjustRightInd w:val="0"/>
        <w:spacing w:after="0" w:line="20" w:lineRule="exact"/>
        <w:ind w:left="794" w:hanging="794"/>
        <w:rPr>
          <w:rFonts w:eastAsia="Times New Roman"/>
          <w:color w:val="000000"/>
          <w:szCs w:val="17"/>
        </w:rPr>
      </w:pPr>
    </w:p>
    <w:p w:rsidR="001E2F34" w:rsidRPr="001E2F34" w:rsidRDefault="001E2F34" w:rsidP="001E2F34">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(4)</w:t>
      </w:r>
      <w:r w:rsidRPr="001E2F34">
        <w:rPr>
          <w:rFonts w:eastAsia="Times New Roman"/>
          <w:color w:val="000000"/>
          <w:sz w:val="23"/>
          <w:szCs w:val="23"/>
        </w:rPr>
        <w:tab/>
        <w:t>The office of a member of the panel becomes vacant if the member—</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ab/>
        <w:t>(a)</w:t>
      </w:r>
      <w:r w:rsidRPr="001E2F34">
        <w:rPr>
          <w:rFonts w:eastAsia="Times New Roman"/>
          <w:color w:val="000000"/>
          <w:sz w:val="23"/>
          <w:szCs w:val="23"/>
        </w:rPr>
        <w:tab/>
        <w:t>dies; or</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ab/>
        <w:t>(b)</w:t>
      </w:r>
      <w:r w:rsidRPr="001E2F34">
        <w:rPr>
          <w:rFonts w:eastAsia="Times New Roman"/>
          <w:color w:val="000000"/>
          <w:sz w:val="23"/>
          <w:szCs w:val="23"/>
        </w:rPr>
        <w:tab/>
        <w:t>completes a term of office and is not reappointed (subject to the operation of clause 9(2)); or</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ab/>
        <w:t>(c)</w:t>
      </w:r>
      <w:r w:rsidRPr="001E2F34">
        <w:rPr>
          <w:rFonts w:eastAsia="Times New Roman"/>
          <w:color w:val="000000"/>
          <w:sz w:val="23"/>
          <w:szCs w:val="23"/>
        </w:rPr>
        <w:tab/>
        <w:t>resigns by written notice to the relevant councils; or</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ab/>
        <w:t>(d)</w:t>
      </w:r>
      <w:r w:rsidRPr="001E2F34">
        <w:rPr>
          <w:rFonts w:eastAsia="Times New Roman"/>
          <w:color w:val="000000"/>
          <w:sz w:val="23"/>
          <w:szCs w:val="23"/>
        </w:rPr>
        <w:tab/>
        <w:t>is convicted of an indictable offence or is sentenced to imprisonment for an offence; or</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ab/>
        <w:t>(e)</w:t>
      </w:r>
      <w:r w:rsidRPr="001E2F34">
        <w:rPr>
          <w:rFonts w:eastAsia="Times New Roman"/>
          <w:color w:val="000000"/>
          <w:sz w:val="23"/>
          <w:szCs w:val="23"/>
        </w:rPr>
        <w:tab/>
        <w:t>becomes bankrupt or applies to take the benefit of a law for the relief of insolvent debtors; or</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ab/>
        <w:t>(f)</w:t>
      </w:r>
      <w:r w:rsidRPr="001E2F34">
        <w:rPr>
          <w:rFonts w:eastAsia="Times New Roman"/>
          <w:color w:val="000000"/>
          <w:sz w:val="23"/>
          <w:szCs w:val="23"/>
        </w:rPr>
        <w:tab/>
        <w:t>is removed from office under subclause (3).</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(5)</w:t>
      </w:r>
      <w:r w:rsidRPr="001E2F34">
        <w:rPr>
          <w:rFonts w:eastAsia="Times New Roman"/>
          <w:color w:val="000000"/>
          <w:sz w:val="23"/>
          <w:szCs w:val="23"/>
        </w:rPr>
        <w:tab/>
        <w:t>The relevant councils will be responsible for the remuneration payable to a member of the panel under an agreement entered into between the councils.</w:t>
      </w:r>
    </w:p>
    <w:p w:rsidR="001E2F34" w:rsidRPr="001E2F34" w:rsidRDefault="001E2F34" w:rsidP="001E2F34">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(6)</w:t>
      </w:r>
      <w:r w:rsidRPr="001E2F34">
        <w:rPr>
          <w:rFonts w:eastAsia="Times New Roman"/>
          <w:color w:val="000000"/>
          <w:sz w:val="23"/>
          <w:szCs w:val="23"/>
        </w:rPr>
        <w:tab/>
        <w:t>When there is a vacancy in the membership of the panel, the relevant councils must take steps to fill the vacancy at the earliest opportunity.</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(7)</w:t>
      </w:r>
      <w:r w:rsidRPr="001E2F34">
        <w:rPr>
          <w:rFonts w:eastAsia="Times New Roman"/>
          <w:color w:val="000000"/>
          <w:sz w:val="23"/>
          <w:szCs w:val="23"/>
        </w:rPr>
        <w:tab/>
        <w:t>An act or proceeding of the panel is not invalid by reason only of a vacancy in the membership of the panel.</w:t>
      </w:r>
    </w:p>
    <w:p w:rsidR="001E2F34" w:rsidRPr="001E2F34" w:rsidRDefault="001E2F34" w:rsidP="001E2F3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E2F34">
        <w:rPr>
          <w:rFonts w:eastAsia="Times New Roman"/>
          <w:b/>
          <w:bCs/>
          <w:color w:val="000000"/>
          <w:sz w:val="26"/>
          <w:szCs w:val="26"/>
          <w:lang w:eastAsia="en-AU"/>
        </w:rPr>
        <w:t>11—Appointment of deputy members</w:t>
      </w:r>
    </w:p>
    <w:p w:rsidR="001E2F34" w:rsidRPr="001E2F34" w:rsidRDefault="001E2F34" w:rsidP="001E2F34">
      <w:pPr>
        <w:keepLines/>
        <w:autoSpaceDE w:val="0"/>
        <w:autoSpaceDN w:val="0"/>
        <w:adjustRightInd w:val="0"/>
        <w:spacing w:before="120" w:after="0" w:line="240" w:lineRule="auto"/>
        <w:ind w:left="794"/>
        <w:rPr>
          <w:rFonts w:eastAsia="Times New Roman"/>
          <w:color w:val="000000"/>
          <w:sz w:val="23"/>
          <w:szCs w:val="23"/>
        </w:rPr>
      </w:pPr>
      <w:r w:rsidRPr="001E2F34">
        <w:rPr>
          <w:rFonts w:eastAsia="Times New Roman"/>
          <w:color w:val="000000"/>
          <w:sz w:val="23"/>
          <w:szCs w:val="23"/>
        </w:rPr>
        <w:t>Each member may have a deputy member and deputy members will be appointed in the same way (and be subject to the same terms and conditions) as ordinary members.</w:t>
      </w:r>
    </w:p>
    <w:p w:rsidR="001E2F34" w:rsidRPr="001E2F34" w:rsidRDefault="001E2F34" w:rsidP="001E2F3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E2F34">
        <w:rPr>
          <w:rFonts w:eastAsia="Times New Roman"/>
          <w:b/>
          <w:bCs/>
          <w:color w:val="000000"/>
          <w:sz w:val="26"/>
          <w:szCs w:val="26"/>
          <w:lang w:eastAsia="en-AU"/>
        </w:rPr>
        <w:t>12—Appointment of presiding member and acting presiding member</w:t>
      </w:r>
    </w:p>
    <w:p w:rsidR="001E2F34" w:rsidRPr="001E2F34" w:rsidRDefault="001E2F34" w:rsidP="001E2F34">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(1)</w:t>
      </w:r>
      <w:r w:rsidRPr="001E2F34">
        <w:rPr>
          <w:rFonts w:eastAsia="Times New Roman"/>
          <w:color w:val="000000"/>
          <w:sz w:val="23"/>
          <w:szCs w:val="23"/>
        </w:rPr>
        <w:tab/>
        <w:t>The presiding member of the panel will be appointed by the relevant councils.</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(2)</w:t>
      </w:r>
      <w:r w:rsidRPr="001E2F34">
        <w:rPr>
          <w:rFonts w:eastAsia="Times New Roman"/>
          <w:color w:val="000000"/>
          <w:sz w:val="23"/>
          <w:szCs w:val="23"/>
        </w:rPr>
        <w:tab/>
        <w:t>The presiding member must be an accredited professional – planning level 2.</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(3)</w:t>
      </w:r>
      <w:r w:rsidRPr="001E2F34">
        <w:rPr>
          <w:rFonts w:eastAsia="Times New Roman"/>
          <w:color w:val="000000"/>
          <w:sz w:val="23"/>
          <w:szCs w:val="23"/>
        </w:rPr>
        <w:tab/>
        <w:t>An acting presiding member may be appointed by members of the panel.</w:t>
      </w:r>
    </w:p>
    <w:p w:rsidR="001E2F34" w:rsidRPr="001E2F34" w:rsidRDefault="001E2F34" w:rsidP="001E2F3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E2F34">
        <w:rPr>
          <w:rFonts w:eastAsia="Times New Roman"/>
          <w:b/>
          <w:bCs/>
          <w:color w:val="000000"/>
          <w:sz w:val="26"/>
          <w:szCs w:val="26"/>
          <w:lang w:eastAsia="en-AU"/>
        </w:rPr>
        <w:t>13—Procedures of panel</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(1)</w:t>
      </w:r>
      <w:r w:rsidRPr="001E2F34">
        <w:rPr>
          <w:rFonts w:eastAsia="Times New Roman"/>
          <w:color w:val="000000"/>
          <w:sz w:val="23"/>
          <w:szCs w:val="23"/>
        </w:rPr>
        <w:tab/>
        <w:t>A quorum at a meeting of the panel consists of a number ascertained by dividing the total number of members by half, ignoring any fraction resulting from the division, and adding 1 (and no business may be transacted at a meeting of the panel unless a quorum is present).</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(2)</w:t>
      </w:r>
      <w:r w:rsidRPr="001E2F34">
        <w:rPr>
          <w:rFonts w:eastAsia="Times New Roman"/>
          <w:color w:val="000000"/>
          <w:sz w:val="23"/>
          <w:szCs w:val="23"/>
        </w:rPr>
        <w:tab/>
        <w:t>A decision carried by a majority of the votes cast by members at a meeting is a decision of the panel.</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(3)</w:t>
      </w:r>
      <w:r w:rsidRPr="001E2F34">
        <w:rPr>
          <w:rFonts w:eastAsia="Times New Roman"/>
          <w:color w:val="000000"/>
          <w:sz w:val="23"/>
          <w:szCs w:val="23"/>
        </w:rPr>
        <w:tab/>
        <w:t>Each member present at a meeting of the panel is entitled to 1 vote on any matter arising for decision and, if votes are equal, the member presiding at the meeting has a second or casting vote.</w:t>
      </w:r>
    </w:p>
    <w:p w:rsidR="001E2F34" w:rsidRPr="001E2F34" w:rsidRDefault="001E2F34" w:rsidP="001E2F34">
      <w:pPr>
        <w:spacing w:after="0" w:line="240" w:lineRule="auto"/>
        <w:jc w:val="left"/>
        <w:rPr>
          <w:rFonts w:eastAsia="Times New Roman"/>
          <w:color w:val="000000"/>
          <w:sz w:val="23"/>
          <w:szCs w:val="23"/>
        </w:rPr>
      </w:pPr>
      <w:r w:rsidRPr="001E2F34">
        <w:rPr>
          <w:rFonts w:eastAsia="Times New Roman"/>
          <w:color w:val="000000"/>
          <w:sz w:val="23"/>
          <w:szCs w:val="23"/>
        </w:rPr>
        <w:br w:type="page"/>
      </w:r>
    </w:p>
    <w:p w:rsidR="001E2F34" w:rsidRPr="001E2F34" w:rsidRDefault="001E2F34" w:rsidP="001E2F34">
      <w:pPr>
        <w:keepNext/>
        <w:keepLines/>
        <w:tabs>
          <w:tab w:val="center" w:pos="397"/>
          <w:tab w:val="left" w:pos="794"/>
        </w:tabs>
        <w:autoSpaceDE w:val="0"/>
        <w:autoSpaceDN w:val="0"/>
        <w:adjustRightInd w:val="0"/>
        <w:spacing w:after="0" w:line="20" w:lineRule="exact"/>
        <w:ind w:left="794" w:hanging="794"/>
        <w:rPr>
          <w:rFonts w:eastAsia="Times New Roman"/>
          <w:color w:val="000000"/>
          <w:szCs w:val="17"/>
        </w:rPr>
      </w:pPr>
    </w:p>
    <w:p w:rsidR="001E2F34" w:rsidRPr="001E2F34" w:rsidRDefault="001E2F34" w:rsidP="001E2F34">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(4)</w:t>
      </w:r>
      <w:r w:rsidRPr="001E2F34">
        <w:rPr>
          <w:rFonts w:eastAsia="Times New Roman"/>
          <w:color w:val="000000"/>
          <w:sz w:val="23"/>
          <w:szCs w:val="23"/>
        </w:rPr>
        <w:tab/>
        <w:t>A meeting between members constituting a quorum by telephone or audio-visual means is a valid meeting of the panel if—</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ab/>
        <w:t>(a)</w:t>
      </w:r>
      <w:r w:rsidRPr="001E2F34">
        <w:rPr>
          <w:rFonts w:eastAsia="Times New Roman"/>
          <w:color w:val="000000"/>
          <w:sz w:val="23"/>
          <w:szCs w:val="23"/>
        </w:rPr>
        <w:tab/>
        <w:t>a notice of the meeting is given to all members of the panel in the manner determined by the panel for the purpose; and</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ab/>
        <w:t>(b)</w:t>
      </w:r>
      <w:r w:rsidRPr="001E2F34">
        <w:rPr>
          <w:rFonts w:eastAsia="Times New Roman"/>
          <w:color w:val="000000"/>
          <w:sz w:val="23"/>
          <w:szCs w:val="23"/>
        </w:rPr>
        <w:tab/>
        <w:t>the system of communication allows a participating member to communicate with any other participating member during the meeting.</w:t>
      </w:r>
    </w:p>
    <w:p w:rsidR="001E2F34" w:rsidRPr="001E2F34" w:rsidRDefault="001E2F34" w:rsidP="001E2F34">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(5)</w:t>
      </w:r>
      <w:r w:rsidRPr="001E2F34">
        <w:rPr>
          <w:rFonts w:eastAsia="Times New Roman"/>
          <w:color w:val="000000"/>
          <w:sz w:val="23"/>
          <w:szCs w:val="23"/>
        </w:rPr>
        <w:tab/>
        <w:t>A resolution of the panel—</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ab/>
        <w:t>(a)</w:t>
      </w:r>
      <w:r w:rsidRPr="001E2F34">
        <w:rPr>
          <w:rFonts w:eastAsia="Times New Roman"/>
          <w:color w:val="000000"/>
          <w:sz w:val="23"/>
          <w:szCs w:val="23"/>
        </w:rPr>
        <w:tab/>
        <w:t>of which notice is given to members in accordance with procedures determined or agreed by members of the panel; and</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ab/>
        <w:t>(b)</w:t>
      </w:r>
      <w:r w:rsidRPr="001E2F34">
        <w:rPr>
          <w:rFonts w:eastAsia="Times New Roman"/>
          <w:color w:val="000000"/>
          <w:sz w:val="23"/>
          <w:szCs w:val="23"/>
        </w:rPr>
        <w:tab/>
        <w:t>in which at least the majority of members of the panel express their concurrence in writing or by electronic communication,</w:t>
      </w:r>
    </w:p>
    <w:p w:rsidR="001E2F34" w:rsidRPr="001E2F34" w:rsidRDefault="001E2F34" w:rsidP="001E2F34">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1E2F34">
        <w:rPr>
          <w:rFonts w:eastAsia="Times New Roman"/>
          <w:color w:val="000000"/>
          <w:sz w:val="23"/>
          <w:szCs w:val="23"/>
        </w:rPr>
        <w:t>will be taken to be a decision of the panel.</w:t>
      </w:r>
    </w:p>
    <w:p w:rsidR="001E2F34" w:rsidRPr="001E2F34" w:rsidRDefault="001E2F34" w:rsidP="001E2F34">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(6)</w:t>
      </w:r>
      <w:r w:rsidRPr="001E2F34">
        <w:rPr>
          <w:rFonts w:eastAsia="Times New Roman"/>
          <w:color w:val="000000"/>
          <w:sz w:val="23"/>
          <w:szCs w:val="23"/>
        </w:rPr>
        <w:tab/>
        <w:t>A person who is taken to be a member of the panel under section 85 of the Act is not to be counted or considered for the purposes of subclauses (2), (3) and (5)(b).</w:t>
      </w:r>
    </w:p>
    <w:p w:rsidR="001E2F34" w:rsidRPr="001E2F34" w:rsidRDefault="001E2F34" w:rsidP="001E2F34">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(7)</w:t>
      </w:r>
      <w:r w:rsidRPr="001E2F34">
        <w:rPr>
          <w:rFonts w:eastAsia="Times New Roman"/>
          <w:color w:val="000000"/>
          <w:sz w:val="23"/>
          <w:szCs w:val="23"/>
        </w:rPr>
        <w:tab/>
        <w:t>Subject to this clause and any relevant provisions of regulations made under the Act, the procedures to be observed in relation to the conduct of the business of the panel will be determined by the panel.</w:t>
      </w:r>
    </w:p>
    <w:p w:rsidR="001E2F34" w:rsidRPr="001E2F34" w:rsidRDefault="001E2F34" w:rsidP="001E2F3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E2F34">
        <w:rPr>
          <w:rFonts w:eastAsia="Times New Roman"/>
          <w:b/>
          <w:bCs/>
          <w:color w:val="000000"/>
          <w:sz w:val="32"/>
          <w:szCs w:val="32"/>
          <w:lang w:eastAsia="en-AU"/>
        </w:rPr>
        <w:t>Part 4—Sharing of costs</w:t>
      </w:r>
    </w:p>
    <w:p w:rsidR="001E2F34" w:rsidRPr="001E2F34" w:rsidRDefault="001E2F34" w:rsidP="001E2F3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E2F34">
        <w:rPr>
          <w:rFonts w:eastAsia="Times New Roman"/>
          <w:b/>
          <w:bCs/>
          <w:color w:val="000000"/>
          <w:sz w:val="26"/>
          <w:szCs w:val="26"/>
          <w:lang w:eastAsia="en-AU"/>
        </w:rPr>
        <w:t>14—Sharing of costs</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(1)</w:t>
      </w:r>
      <w:r w:rsidRPr="001E2F34">
        <w:rPr>
          <w:rFonts w:eastAsia="Times New Roman"/>
          <w:color w:val="000000"/>
          <w:sz w:val="23"/>
          <w:szCs w:val="23"/>
        </w:rPr>
        <w:tab/>
        <w:t>This clause sets out a scheme for the purposes of section 84(1)(i) of the Act.</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(2)</w:t>
      </w:r>
      <w:r w:rsidRPr="001E2F34">
        <w:rPr>
          <w:rFonts w:eastAsia="Times New Roman"/>
          <w:color w:val="000000"/>
          <w:sz w:val="23"/>
          <w:szCs w:val="23"/>
        </w:rPr>
        <w:tab/>
        <w:t>Except as otherwise agreed between the relevant councils, the costs associated with the Assessment Manager for the panel will be borne by the relevant councils in equal shares.</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(3)</w:t>
      </w:r>
      <w:r w:rsidRPr="001E2F34">
        <w:rPr>
          <w:rFonts w:eastAsia="Times New Roman"/>
          <w:color w:val="000000"/>
          <w:sz w:val="23"/>
          <w:szCs w:val="23"/>
        </w:rPr>
        <w:tab/>
        <w:t>In the event of a claim against a member of the panel in respect of the performance, exercise or discharge (or purported performance, exercise or discharge) of their functions, powers or duties under the Act as a member of the panel, the relevant council for the area where the particular development is to be undertaken will be liable for the cost of the claim.</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(4)</w:t>
      </w:r>
      <w:r w:rsidRPr="001E2F34">
        <w:rPr>
          <w:rFonts w:eastAsia="Times New Roman"/>
          <w:color w:val="000000"/>
          <w:sz w:val="23"/>
          <w:szCs w:val="23"/>
        </w:rPr>
        <w:tab/>
        <w:t>Except as otherwise agreed between the relevant councils, all other costs will be shared between the relevant councils in equal shares.</w:t>
      </w:r>
    </w:p>
    <w:p w:rsidR="001E2F34" w:rsidRPr="001E2F34" w:rsidRDefault="001E2F34" w:rsidP="001E2F34">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1E2F34">
        <w:rPr>
          <w:rFonts w:eastAsia="Times New Roman"/>
          <w:color w:val="000000"/>
          <w:sz w:val="23"/>
          <w:szCs w:val="23"/>
        </w:rPr>
        <w:tab/>
        <w:t>(5)</w:t>
      </w:r>
      <w:r w:rsidRPr="001E2F34">
        <w:rPr>
          <w:rFonts w:eastAsia="Times New Roman"/>
          <w:color w:val="000000"/>
          <w:sz w:val="23"/>
          <w:szCs w:val="23"/>
        </w:rPr>
        <w:tab/>
        <w:t>The relevant councils may enter into an agreement relating to the incurring of costs by a particular council on behalf of the other councils, and the provision of invoices for the recovery of costs.</w:t>
      </w:r>
    </w:p>
    <w:p w:rsidR="001E2F34" w:rsidRPr="001E2F34" w:rsidRDefault="001E2F34" w:rsidP="001E2F34">
      <w:pPr>
        <w:keepNext/>
        <w:keepLines/>
        <w:autoSpaceDE w:val="0"/>
        <w:autoSpaceDN w:val="0"/>
        <w:adjustRightInd w:val="0"/>
        <w:spacing w:before="120" w:after="0" w:line="240" w:lineRule="auto"/>
        <w:rPr>
          <w:rFonts w:eastAsia="Times New Roman"/>
          <w:b/>
          <w:bCs/>
          <w:color w:val="000000"/>
          <w:sz w:val="26"/>
          <w:szCs w:val="26"/>
        </w:rPr>
      </w:pPr>
      <w:r w:rsidRPr="001E2F34">
        <w:rPr>
          <w:rFonts w:eastAsia="Times New Roman"/>
          <w:b/>
          <w:bCs/>
          <w:color w:val="000000"/>
          <w:sz w:val="26"/>
          <w:szCs w:val="26"/>
        </w:rPr>
        <w:t xml:space="preserve">Made by the Executive Director, Planning and Land Use Services, Department of Planning, Transport and Infrastructure </w:t>
      </w:r>
    </w:p>
    <w:p w:rsidR="001E2F34" w:rsidRPr="001E2F34" w:rsidRDefault="001E2F34" w:rsidP="001E2F34">
      <w:pPr>
        <w:keepNext/>
        <w:keepLines/>
        <w:autoSpaceDE w:val="0"/>
        <w:autoSpaceDN w:val="0"/>
        <w:adjustRightInd w:val="0"/>
        <w:spacing w:before="120" w:after="0" w:line="240" w:lineRule="auto"/>
        <w:rPr>
          <w:rFonts w:eastAsia="Times New Roman"/>
          <w:b/>
          <w:bCs/>
          <w:color w:val="000000"/>
          <w:sz w:val="26"/>
          <w:szCs w:val="26"/>
        </w:rPr>
      </w:pPr>
      <w:r w:rsidRPr="001E2F34">
        <w:rPr>
          <w:rFonts w:eastAsia="Times New Roman"/>
          <w:b/>
          <w:bCs/>
          <w:color w:val="000000"/>
          <w:sz w:val="26"/>
          <w:szCs w:val="26"/>
        </w:rPr>
        <w:t>as Delegate of the Minister for Planning</w:t>
      </w:r>
    </w:p>
    <w:p w:rsidR="001E2F34" w:rsidRPr="001E2F34" w:rsidRDefault="001E2F34" w:rsidP="001E2F34">
      <w:pPr>
        <w:keepNext/>
        <w:keepLines/>
        <w:autoSpaceDE w:val="0"/>
        <w:autoSpaceDN w:val="0"/>
        <w:adjustRightInd w:val="0"/>
        <w:spacing w:after="0" w:line="240" w:lineRule="auto"/>
        <w:rPr>
          <w:rFonts w:eastAsia="Times New Roman"/>
          <w:color w:val="000000"/>
          <w:sz w:val="23"/>
          <w:szCs w:val="23"/>
        </w:rPr>
      </w:pPr>
      <w:r w:rsidRPr="001E2F34">
        <w:rPr>
          <w:rFonts w:eastAsia="Times New Roman"/>
          <w:color w:val="000000"/>
          <w:sz w:val="23"/>
          <w:szCs w:val="23"/>
        </w:rPr>
        <w:t>on 21 July 2020</w:t>
      </w:r>
    </w:p>
    <w:p w:rsidR="001E2F34" w:rsidRPr="001E2F34" w:rsidRDefault="001E2F34" w:rsidP="001E2F34">
      <w:pPr>
        <w:pBdr>
          <w:top w:val="single" w:sz="4" w:space="1" w:color="auto"/>
        </w:pBdr>
        <w:autoSpaceDE w:val="0"/>
        <w:autoSpaceDN w:val="0"/>
        <w:adjustRightInd w:val="0"/>
        <w:spacing w:before="100" w:after="0" w:line="14" w:lineRule="exact"/>
        <w:jc w:val="center"/>
        <w:rPr>
          <w:rFonts w:eastAsia="Times New Roman"/>
          <w:color w:val="000000"/>
          <w:sz w:val="23"/>
          <w:szCs w:val="23"/>
        </w:rPr>
      </w:pPr>
    </w:p>
    <w:p w:rsidR="001E2F34" w:rsidRPr="001E2F34" w:rsidRDefault="001E2F34" w:rsidP="001E2F3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622757" w:rsidRDefault="00622757">
      <w:pPr>
        <w:spacing w:after="0" w:line="240" w:lineRule="auto"/>
        <w:jc w:val="left"/>
        <w:rPr>
          <w:lang w:val="en-US"/>
        </w:rPr>
      </w:pPr>
      <w:r>
        <w:rPr>
          <w:lang w:val="en-US"/>
        </w:rPr>
        <w:br w:type="page"/>
      </w:r>
    </w:p>
    <w:p w:rsidR="00622757" w:rsidRPr="00622757" w:rsidRDefault="00622757" w:rsidP="00715A82">
      <w:pPr>
        <w:jc w:val="center"/>
        <w:rPr>
          <w:caps/>
          <w:szCs w:val="17"/>
        </w:rPr>
      </w:pPr>
      <w:r w:rsidRPr="00622757">
        <w:rPr>
          <w:caps/>
          <w:szCs w:val="17"/>
        </w:rPr>
        <w:t>Planning, Development and Infrastructure Act 2016</w:t>
      </w:r>
    </w:p>
    <w:p w:rsidR="00622757" w:rsidRPr="00622757" w:rsidRDefault="00622757" w:rsidP="00715A82">
      <w:pPr>
        <w:jc w:val="center"/>
        <w:rPr>
          <w:smallCaps/>
          <w:szCs w:val="17"/>
        </w:rPr>
      </w:pPr>
      <w:r w:rsidRPr="00622757">
        <w:rPr>
          <w:smallCaps/>
          <w:szCs w:val="17"/>
        </w:rPr>
        <w:t>SECTION 84(1)</w:t>
      </w:r>
      <w:r w:rsidRPr="00622757">
        <w:rPr>
          <w:szCs w:val="17"/>
        </w:rPr>
        <w:t>(j)</w:t>
      </w:r>
    </w:p>
    <w:p w:rsidR="00622757" w:rsidRPr="00622757" w:rsidRDefault="00622757" w:rsidP="00715A82">
      <w:pPr>
        <w:jc w:val="center"/>
        <w:rPr>
          <w:i/>
          <w:szCs w:val="17"/>
        </w:rPr>
      </w:pPr>
      <w:r w:rsidRPr="00622757">
        <w:rPr>
          <w:i/>
          <w:szCs w:val="17"/>
        </w:rPr>
        <w:t>Revocation of Notices of Constitution of Flinders Regional Assessment Panel</w:t>
      </w:r>
    </w:p>
    <w:p w:rsidR="00622757" w:rsidRPr="00622757" w:rsidRDefault="00622757" w:rsidP="00622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i/>
          <w:szCs w:val="17"/>
        </w:rPr>
      </w:pPr>
      <w:r w:rsidRPr="00622757">
        <w:rPr>
          <w:rFonts w:eastAsia="Times New Roman"/>
          <w:i/>
          <w:szCs w:val="17"/>
        </w:rPr>
        <w:t>Preamble</w:t>
      </w:r>
    </w:p>
    <w:p w:rsidR="00622757" w:rsidRPr="00622757" w:rsidRDefault="00622757" w:rsidP="00622757">
      <w:pPr>
        <w:ind w:left="284" w:hanging="284"/>
        <w:rPr>
          <w:rFonts w:eastAsia="Times New Roman"/>
          <w:szCs w:val="17"/>
        </w:rPr>
      </w:pPr>
      <w:r w:rsidRPr="00622757">
        <w:rPr>
          <w:rFonts w:eastAsia="Times New Roman"/>
          <w:szCs w:val="17"/>
        </w:rPr>
        <w:t>1.</w:t>
      </w:r>
      <w:r w:rsidRPr="00622757">
        <w:rPr>
          <w:rFonts w:eastAsia="Times New Roman"/>
          <w:szCs w:val="17"/>
        </w:rPr>
        <w:tab/>
        <w:t xml:space="preserve">Section 84(1)(j) of the </w:t>
      </w:r>
      <w:r w:rsidRPr="00622757">
        <w:rPr>
          <w:rFonts w:eastAsia="Times New Roman"/>
          <w:i/>
          <w:szCs w:val="17"/>
        </w:rPr>
        <w:t>Planning, Development and Infrastructure Act 2016</w:t>
      </w:r>
      <w:r w:rsidRPr="00622757">
        <w:rPr>
          <w:rFonts w:eastAsia="Times New Roman"/>
          <w:szCs w:val="17"/>
        </w:rPr>
        <w:t xml:space="preserve"> provides that the Minister for Planning may, by subsequent notice published in the Gazette, vary or revoke a notice under Section 84(1)(a).</w:t>
      </w:r>
    </w:p>
    <w:p w:rsidR="00622757" w:rsidRPr="00622757" w:rsidRDefault="00622757" w:rsidP="00622757">
      <w:pPr>
        <w:ind w:left="284" w:hanging="284"/>
        <w:rPr>
          <w:rFonts w:eastAsia="Times New Roman"/>
          <w:szCs w:val="17"/>
        </w:rPr>
      </w:pPr>
      <w:r w:rsidRPr="00622757">
        <w:rPr>
          <w:rFonts w:eastAsia="Times New Roman"/>
          <w:szCs w:val="17"/>
        </w:rPr>
        <w:t>2.</w:t>
      </w:r>
      <w:r w:rsidRPr="00622757">
        <w:rPr>
          <w:rFonts w:eastAsia="Times New Roman"/>
          <w:szCs w:val="17"/>
        </w:rPr>
        <w:tab/>
        <w:t xml:space="preserve">Under Section 84(1)(a) and Schedule 8, Clause 13(1)(a) of the </w:t>
      </w:r>
      <w:r w:rsidRPr="00622757">
        <w:rPr>
          <w:rFonts w:eastAsia="Times New Roman"/>
          <w:i/>
          <w:szCs w:val="17"/>
        </w:rPr>
        <w:t>Planning, Development and Infrastructure Act 2016</w:t>
      </w:r>
      <w:r w:rsidRPr="00622757">
        <w:rPr>
          <w:rFonts w:eastAsia="Times New Roman"/>
          <w:szCs w:val="17"/>
        </w:rPr>
        <w:t xml:space="preserve">, the Minister for Planning constituted the Flinders Regional Assessment Panel by notice published in the </w:t>
      </w:r>
      <w:r w:rsidRPr="00622757">
        <w:rPr>
          <w:rFonts w:eastAsia="Times New Roman"/>
          <w:i/>
          <w:szCs w:val="17"/>
        </w:rPr>
        <w:t>Government Gazette</w:t>
      </w:r>
      <w:r w:rsidRPr="00622757">
        <w:rPr>
          <w:rFonts w:eastAsia="Times New Roman"/>
          <w:szCs w:val="17"/>
        </w:rPr>
        <w:t xml:space="preserve"> No. 8 on Tuesday 6 February 2018, page 608, titled </w:t>
      </w:r>
      <w:r w:rsidRPr="00622757">
        <w:rPr>
          <w:rFonts w:eastAsia="Times New Roman"/>
          <w:i/>
          <w:szCs w:val="17"/>
        </w:rPr>
        <w:t>Constitution of Flinders Regional Assessment Panel</w:t>
      </w:r>
      <w:r w:rsidRPr="00622757">
        <w:rPr>
          <w:rFonts w:eastAsia="Times New Roman"/>
          <w:szCs w:val="17"/>
        </w:rPr>
        <w:t>.</w:t>
      </w:r>
    </w:p>
    <w:p w:rsidR="00622757" w:rsidRPr="00622757" w:rsidRDefault="00622757" w:rsidP="00622757">
      <w:pPr>
        <w:ind w:left="284" w:hanging="284"/>
        <w:rPr>
          <w:rFonts w:eastAsia="Times New Roman"/>
          <w:szCs w:val="17"/>
        </w:rPr>
      </w:pPr>
      <w:r w:rsidRPr="00622757">
        <w:rPr>
          <w:rFonts w:eastAsia="Times New Roman"/>
          <w:szCs w:val="17"/>
        </w:rPr>
        <w:t>3.</w:t>
      </w:r>
      <w:r w:rsidRPr="00622757">
        <w:rPr>
          <w:rFonts w:eastAsia="Times New Roman"/>
          <w:szCs w:val="17"/>
        </w:rPr>
        <w:tab/>
        <w:t xml:space="preserve">Under Section 84(1)(a) and Schedule 8, Clause 13(1)(a) of the </w:t>
      </w:r>
      <w:r w:rsidRPr="00622757">
        <w:rPr>
          <w:rFonts w:eastAsia="Times New Roman"/>
          <w:i/>
          <w:szCs w:val="17"/>
        </w:rPr>
        <w:t>Planning, Development and Infrastructure Act 2016</w:t>
      </w:r>
      <w:r w:rsidRPr="00622757">
        <w:rPr>
          <w:rFonts w:eastAsia="Times New Roman"/>
          <w:szCs w:val="17"/>
        </w:rPr>
        <w:t xml:space="preserve">, the Minister for Planning again constituted the Flinders Regional Assessment Panel by notice published in the </w:t>
      </w:r>
      <w:r w:rsidRPr="00622757">
        <w:rPr>
          <w:rFonts w:eastAsia="Times New Roman"/>
          <w:i/>
          <w:szCs w:val="17"/>
        </w:rPr>
        <w:t>Government Gazette</w:t>
      </w:r>
      <w:r w:rsidRPr="00622757">
        <w:rPr>
          <w:rFonts w:eastAsia="Times New Roman"/>
          <w:szCs w:val="17"/>
        </w:rPr>
        <w:t xml:space="preserve"> No. 50 on Thursday 17 October 2019, page 3528, titled </w:t>
      </w:r>
      <w:r w:rsidRPr="00622757">
        <w:rPr>
          <w:rFonts w:eastAsia="Times New Roman"/>
          <w:i/>
          <w:szCs w:val="17"/>
        </w:rPr>
        <w:t>Constitution of Flinders Regional Assessment Panel</w:t>
      </w:r>
      <w:r w:rsidRPr="00622757">
        <w:rPr>
          <w:rFonts w:eastAsia="Times New Roman"/>
          <w:szCs w:val="17"/>
        </w:rPr>
        <w:t>.</w:t>
      </w:r>
    </w:p>
    <w:p w:rsidR="00622757" w:rsidRPr="00622757" w:rsidRDefault="00622757" w:rsidP="00715A82">
      <w:pPr>
        <w:jc w:val="center"/>
        <w:rPr>
          <w:smallCaps/>
          <w:szCs w:val="17"/>
        </w:rPr>
      </w:pPr>
      <w:r w:rsidRPr="00622757">
        <w:rPr>
          <w:smallCaps/>
          <w:szCs w:val="17"/>
        </w:rPr>
        <w:t>Notice</w:t>
      </w:r>
    </w:p>
    <w:p w:rsidR="00622757" w:rsidRPr="00622757" w:rsidRDefault="00622757" w:rsidP="00622757">
      <w:pPr>
        <w:rPr>
          <w:rFonts w:eastAsia="Times New Roman"/>
          <w:szCs w:val="17"/>
        </w:rPr>
      </w:pPr>
      <w:r w:rsidRPr="00622757">
        <w:rPr>
          <w:rFonts w:eastAsia="Times New Roman"/>
          <w:szCs w:val="17"/>
        </w:rPr>
        <w:t xml:space="preserve">PURSUANT to Section 84(1)(j) of the </w:t>
      </w:r>
      <w:r w:rsidRPr="00622757">
        <w:rPr>
          <w:rFonts w:eastAsia="Times New Roman"/>
          <w:i/>
          <w:szCs w:val="17"/>
        </w:rPr>
        <w:t>Planning, Development and Infrastructure Act 2016</w:t>
      </w:r>
      <w:r w:rsidRPr="00622757">
        <w:rPr>
          <w:rFonts w:eastAsia="Times New Roman"/>
          <w:szCs w:val="17"/>
        </w:rPr>
        <w:t xml:space="preserve">, I, Sally Smith, Delegate of the Minister for Planning, hereby </w:t>
      </w:r>
      <w:r w:rsidRPr="00622757">
        <w:rPr>
          <w:rFonts w:eastAsia="Times New Roman"/>
          <w:b/>
          <w:szCs w:val="17"/>
        </w:rPr>
        <w:t>revoke</w:t>
      </w:r>
      <w:r w:rsidRPr="00622757">
        <w:rPr>
          <w:rFonts w:eastAsia="Times New Roman"/>
          <w:szCs w:val="17"/>
        </w:rPr>
        <w:t xml:space="preserve"> the notices under Section 84(1)(a) and Schedule 8, Clause 13(1)(a) of the </w:t>
      </w:r>
      <w:r w:rsidRPr="00622757">
        <w:rPr>
          <w:rFonts w:eastAsia="Times New Roman"/>
          <w:i/>
          <w:szCs w:val="17"/>
        </w:rPr>
        <w:t>Planning, Development and Infrastructure Act 2016</w:t>
      </w:r>
      <w:r w:rsidRPr="00622757">
        <w:rPr>
          <w:rFonts w:eastAsia="Times New Roman"/>
          <w:szCs w:val="17"/>
        </w:rPr>
        <w:t xml:space="preserve">, published in the </w:t>
      </w:r>
      <w:r w:rsidRPr="00622757">
        <w:rPr>
          <w:rFonts w:eastAsia="Times New Roman"/>
          <w:i/>
          <w:szCs w:val="17"/>
        </w:rPr>
        <w:t>Government Gazette</w:t>
      </w:r>
      <w:r w:rsidRPr="00622757">
        <w:rPr>
          <w:rFonts w:eastAsia="Times New Roman"/>
          <w:szCs w:val="17"/>
        </w:rPr>
        <w:t xml:space="preserve"> No. 67 on Friday 29 September 2017, page 4220, and No. 50 on Thursday 17 October 2019, page 3528, titled </w:t>
      </w:r>
      <w:r w:rsidRPr="00622757">
        <w:rPr>
          <w:rFonts w:eastAsia="Times New Roman"/>
          <w:i/>
          <w:szCs w:val="17"/>
        </w:rPr>
        <w:t>Constitution of Flinders Regional Assessment Panel effective from 31 July 2020</w:t>
      </w:r>
      <w:r w:rsidRPr="00622757">
        <w:rPr>
          <w:rFonts w:eastAsia="Times New Roman"/>
          <w:szCs w:val="17"/>
        </w:rPr>
        <w:t>.</w:t>
      </w:r>
    </w:p>
    <w:p w:rsidR="00622757" w:rsidRPr="00622757" w:rsidRDefault="00622757" w:rsidP="00622757">
      <w:pPr>
        <w:spacing w:after="0"/>
        <w:rPr>
          <w:rFonts w:eastAsia="Times New Roman"/>
          <w:szCs w:val="17"/>
        </w:rPr>
      </w:pPr>
      <w:r w:rsidRPr="00622757">
        <w:rPr>
          <w:rFonts w:eastAsia="Times New Roman"/>
          <w:szCs w:val="17"/>
        </w:rPr>
        <w:t>Dated: 21 July 2020</w:t>
      </w:r>
    </w:p>
    <w:p w:rsidR="00622757" w:rsidRPr="00622757" w:rsidRDefault="00622757" w:rsidP="00622757">
      <w:pPr>
        <w:spacing w:after="0"/>
        <w:jc w:val="right"/>
        <w:rPr>
          <w:rFonts w:eastAsia="Times New Roman"/>
          <w:smallCaps/>
          <w:szCs w:val="20"/>
        </w:rPr>
      </w:pPr>
      <w:r w:rsidRPr="00622757">
        <w:rPr>
          <w:rFonts w:eastAsia="Times New Roman"/>
          <w:smallCaps/>
          <w:szCs w:val="20"/>
        </w:rPr>
        <w:t>Sally Smith</w:t>
      </w:r>
    </w:p>
    <w:p w:rsidR="00622757" w:rsidRPr="00622757" w:rsidRDefault="00622757" w:rsidP="00622757">
      <w:pPr>
        <w:spacing w:after="0"/>
        <w:jc w:val="right"/>
        <w:rPr>
          <w:rFonts w:eastAsia="Times New Roman"/>
          <w:szCs w:val="17"/>
        </w:rPr>
      </w:pPr>
      <w:r w:rsidRPr="00622757">
        <w:rPr>
          <w:rFonts w:eastAsia="Times New Roman"/>
          <w:szCs w:val="17"/>
        </w:rPr>
        <w:t>Executive Director, Planning and Land Use Services</w:t>
      </w:r>
    </w:p>
    <w:p w:rsidR="00622757" w:rsidRPr="00622757" w:rsidRDefault="00622757" w:rsidP="00622757">
      <w:pPr>
        <w:spacing w:after="0"/>
        <w:jc w:val="right"/>
        <w:rPr>
          <w:rFonts w:eastAsia="Times New Roman"/>
          <w:szCs w:val="17"/>
        </w:rPr>
      </w:pPr>
      <w:r w:rsidRPr="00622757">
        <w:rPr>
          <w:rFonts w:eastAsia="Times New Roman"/>
          <w:szCs w:val="17"/>
        </w:rPr>
        <w:t>Department of Planning, Transport and Infrastructure</w:t>
      </w:r>
    </w:p>
    <w:p w:rsidR="00622757" w:rsidRPr="00622757" w:rsidRDefault="00622757" w:rsidP="00622757">
      <w:pPr>
        <w:jc w:val="right"/>
        <w:rPr>
          <w:rFonts w:eastAsia="Times New Roman"/>
          <w:szCs w:val="17"/>
        </w:rPr>
      </w:pPr>
      <w:r w:rsidRPr="00622757">
        <w:rPr>
          <w:rFonts w:eastAsia="Times New Roman"/>
          <w:szCs w:val="17"/>
        </w:rPr>
        <w:t>as Delegate of</w:t>
      </w:r>
    </w:p>
    <w:p w:rsidR="00622757" w:rsidRPr="00622757" w:rsidRDefault="00622757" w:rsidP="00622757">
      <w:pPr>
        <w:spacing w:after="0"/>
        <w:jc w:val="right"/>
        <w:rPr>
          <w:rFonts w:eastAsia="Times New Roman"/>
          <w:smallCaps/>
          <w:szCs w:val="20"/>
        </w:rPr>
      </w:pPr>
      <w:r w:rsidRPr="00622757">
        <w:rPr>
          <w:rFonts w:eastAsia="Times New Roman"/>
          <w:smallCaps/>
          <w:szCs w:val="20"/>
        </w:rPr>
        <w:t>Hon Stephan Knoll MP</w:t>
      </w:r>
    </w:p>
    <w:p w:rsidR="00622757" w:rsidRPr="00622757" w:rsidRDefault="00622757" w:rsidP="00622757">
      <w:pPr>
        <w:spacing w:after="0"/>
        <w:jc w:val="right"/>
        <w:rPr>
          <w:rFonts w:eastAsia="Times New Roman"/>
          <w:szCs w:val="17"/>
        </w:rPr>
      </w:pPr>
      <w:r w:rsidRPr="00622757">
        <w:rPr>
          <w:rFonts w:eastAsia="Times New Roman"/>
          <w:szCs w:val="17"/>
        </w:rPr>
        <w:t>Minister for Planning</w:t>
      </w:r>
    </w:p>
    <w:p w:rsidR="00622757" w:rsidRPr="00622757" w:rsidRDefault="00622757" w:rsidP="00622757">
      <w:pPr>
        <w:pBdr>
          <w:top w:val="single" w:sz="4" w:space="1" w:color="auto"/>
        </w:pBdr>
        <w:spacing w:before="100" w:line="14" w:lineRule="exact"/>
        <w:ind w:left="1080" w:right="1080"/>
        <w:jc w:val="center"/>
        <w:rPr>
          <w:rFonts w:eastAsia="Times New Roman"/>
          <w:szCs w:val="17"/>
        </w:rPr>
      </w:pPr>
    </w:p>
    <w:p w:rsidR="00622757" w:rsidRPr="00622757" w:rsidRDefault="00622757" w:rsidP="00622757">
      <w:pPr>
        <w:spacing w:after="0" w:line="240" w:lineRule="auto"/>
        <w:jc w:val="left"/>
        <w:rPr>
          <w:rFonts w:eastAsia="Times New Roman"/>
          <w:szCs w:val="17"/>
        </w:rPr>
      </w:pPr>
      <w:r w:rsidRPr="00622757">
        <w:rPr>
          <w:rFonts w:eastAsia="Times New Roman"/>
          <w:szCs w:val="20"/>
        </w:rPr>
        <w:br w:type="page"/>
      </w:r>
    </w:p>
    <w:p w:rsidR="00622757" w:rsidRPr="00622757" w:rsidRDefault="00622757" w:rsidP="00622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0" w:lineRule="exact"/>
        <w:rPr>
          <w:rFonts w:eastAsia="Times New Roman"/>
          <w:szCs w:val="17"/>
        </w:rPr>
      </w:pPr>
    </w:p>
    <w:p w:rsidR="00622757" w:rsidRPr="00622757" w:rsidRDefault="00622757" w:rsidP="00622757">
      <w:pPr>
        <w:keepLines/>
        <w:autoSpaceDE w:val="0"/>
        <w:autoSpaceDN w:val="0"/>
        <w:adjustRightInd w:val="0"/>
        <w:spacing w:before="240" w:after="0" w:line="240" w:lineRule="auto"/>
        <w:rPr>
          <w:rFonts w:eastAsia="Times New Roman"/>
          <w:color w:val="000000"/>
          <w:sz w:val="28"/>
          <w:szCs w:val="28"/>
        </w:rPr>
      </w:pPr>
      <w:r w:rsidRPr="00622757">
        <w:rPr>
          <w:rFonts w:eastAsia="Times New Roman"/>
          <w:color w:val="000000"/>
          <w:sz w:val="28"/>
          <w:szCs w:val="28"/>
        </w:rPr>
        <w:t>South Australia</w:t>
      </w:r>
    </w:p>
    <w:p w:rsidR="00622757" w:rsidRPr="00622757" w:rsidRDefault="00622757" w:rsidP="00622757">
      <w:pPr>
        <w:keepLines/>
        <w:autoSpaceDE w:val="0"/>
        <w:autoSpaceDN w:val="0"/>
        <w:adjustRightInd w:val="0"/>
        <w:spacing w:before="120" w:after="200" w:line="240" w:lineRule="auto"/>
        <w:rPr>
          <w:rFonts w:eastAsia="Times New Roman"/>
          <w:b/>
          <w:bCs/>
          <w:color w:val="000000"/>
          <w:sz w:val="36"/>
          <w:szCs w:val="36"/>
        </w:rPr>
      </w:pPr>
      <w:r w:rsidRPr="00622757">
        <w:rPr>
          <w:rFonts w:eastAsia="Times New Roman"/>
          <w:b/>
          <w:bCs/>
          <w:color w:val="000000"/>
          <w:sz w:val="36"/>
          <w:szCs w:val="36"/>
        </w:rPr>
        <w:t>Flinders Regional Assessment Panel Notice 2020</w:t>
      </w:r>
    </w:p>
    <w:p w:rsidR="00622757" w:rsidRPr="00622757" w:rsidRDefault="00622757" w:rsidP="00622757">
      <w:pPr>
        <w:keepLines/>
        <w:autoSpaceDE w:val="0"/>
        <w:autoSpaceDN w:val="0"/>
        <w:adjustRightInd w:val="0"/>
        <w:spacing w:before="80" w:after="240" w:line="240" w:lineRule="auto"/>
        <w:rPr>
          <w:rFonts w:eastAsia="Times New Roman"/>
          <w:color w:val="000000"/>
          <w:sz w:val="24"/>
          <w:szCs w:val="24"/>
        </w:rPr>
      </w:pPr>
      <w:r w:rsidRPr="00622757">
        <w:rPr>
          <w:rFonts w:eastAsia="Times New Roman"/>
          <w:color w:val="000000"/>
          <w:sz w:val="24"/>
          <w:szCs w:val="24"/>
        </w:rPr>
        <w:t xml:space="preserve">under section 84 of the </w:t>
      </w:r>
      <w:r w:rsidRPr="00622757">
        <w:rPr>
          <w:rFonts w:eastAsia="Times New Roman"/>
          <w:i/>
          <w:iCs/>
          <w:color w:val="000000"/>
          <w:sz w:val="24"/>
          <w:szCs w:val="24"/>
        </w:rPr>
        <w:t>Planning, Development and Infrastructure Act 2016</w:t>
      </w:r>
    </w:p>
    <w:p w:rsidR="00622757" w:rsidRPr="00622757" w:rsidRDefault="00622757" w:rsidP="00622757">
      <w:pPr>
        <w:keepLines/>
        <w:pBdr>
          <w:top w:val="single" w:sz="4" w:space="0" w:color="auto"/>
        </w:pBdr>
        <w:autoSpaceDE w:val="0"/>
        <w:autoSpaceDN w:val="0"/>
        <w:adjustRightInd w:val="0"/>
        <w:spacing w:before="120" w:after="120" w:line="240" w:lineRule="auto"/>
        <w:rPr>
          <w:rFonts w:eastAsia="Times New Roman"/>
          <w:color w:val="000000"/>
          <w:sz w:val="2"/>
          <w:szCs w:val="2"/>
        </w:rPr>
      </w:pPr>
    </w:p>
    <w:p w:rsidR="00622757" w:rsidRPr="00622757" w:rsidRDefault="00622757" w:rsidP="0062275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22757">
        <w:rPr>
          <w:rFonts w:eastAsia="Times New Roman"/>
          <w:b/>
          <w:bCs/>
          <w:color w:val="000000"/>
          <w:sz w:val="32"/>
          <w:szCs w:val="32"/>
          <w:lang w:eastAsia="en-AU"/>
        </w:rPr>
        <w:t>Part 1—Preliminary</w:t>
      </w:r>
    </w:p>
    <w:p w:rsidR="00622757" w:rsidRPr="00622757" w:rsidRDefault="00622757" w:rsidP="0062275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2757">
        <w:rPr>
          <w:rFonts w:eastAsia="Times New Roman"/>
          <w:b/>
          <w:bCs/>
          <w:color w:val="000000"/>
          <w:sz w:val="26"/>
          <w:szCs w:val="26"/>
          <w:lang w:eastAsia="en-AU"/>
        </w:rPr>
        <w:t>1—Short title</w:t>
      </w:r>
    </w:p>
    <w:p w:rsidR="00622757" w:rsidRPr="00622757" w:rsidRDefault="00622757" w:rsidP="00622757">
      <w:pPr>
        <w:keepLines/>
        <w:autoSpaceDE w:val="0"/>
        <w:autoSpaceDN w:val="0"/>
        <w:adjustRightInd w:val="0"/>
        <w:spacing w:before="120" w:after="0" w:line="240" w:lineRule="auto"/>
        <w:ind w:left="794"/>
        <w:rPr>
          <w:rFonts w:eastAsia="Times New Roman"/>
          <w:color w:val="000000"/>
          <w:sz w:val="23"/>
          <w:szCs w:val="23"/>
        </w:rPr>
      </w:pPr>
      <w:r w:rsidRPr="00622757">
        <w:rPr>
          <w:rFonts w:eastAsia="Times New Roman"/>
          <w:color w:val="000000"/>
          <w:sz w:val="23"/>
          <w:szCs w:val="23"/>
        </w:rPr>
        <w:t xml:space="preserve">This notice may be cited as the </w:t>
      </w:r>
      <w:r w:rsidRPr="00622757">
        <w:rPr>
          <w:rFonts w:eastAsia="Times New Roman"/>
          <w:i/>
          <w:iCs/>
          <w:color w:val="000000"/>
          <w:sz w:val="23"/>
          <w:szCs w:val="23"/>
        </w:rPr>
        <w:t>Flinders Regional Assessment Panel Notice 2020</w:t>
      </w:r>
      <w:r w:rsidRPr="00622757">
        <w:rPr>
          <w:rFonts w:eastAsia="Times New Roman"/>
          <w:color w:val="000000"/>
          <w:sz w:val="23"/>
          <w:szCs w:val="23"/>
        </w:rPr>
        <w:t>.</w:t>
      </w:r>
    </w:p>
    <w:p w:rsidR="00622757" w:rsidRPr="00622757" w:rsidRDefault="00622757" w:rsidP="0062275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2757">
        <w:rPr>
          <w:rFonts w:eastAsia="Times New Roman"/>
          <w:b/>
          <w:bCs/>
          <w:color w:val="000000"/>
          <w:sz w:val="26"/>
          <w:szCs w:val="26"/>
          <w:lang w:eastAsia="en-AU"/>
        </w:rPr>
        <w:t>2—Commencement</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r>
      <w:r w:rsidRPr="00622757">
        <w:rPr>
          <w:rFonts w:eastAsia="Times New Roman"/>
          <w:color w:val="000000"/>
          <w:sz w:val="23"/>
          <w:szCs w:val="23"/>
        </w:rPr>
        <w:tab/>
        <w:t>This notice comes into operation on 31 July 2020.</w:t>
      </w:r>
    </w:p>
    <w:p w:rsidR="00622757" w:rsidRPr="00622757" w:rsidRDefault="00622757" w:rsidP="0062275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2757">
        <w:rPr>
          <w:rFonts w:eastAsia="Times New Roman"/>
          <w:b/>
          <w:bCs/>
          <w:color w:val="000000"/>
          <w:sz w:val="26"/>
          <w:szCs w:val="26"/>
          <w:lang w:eastAsia="en-AU"/>
        </w:rPr>
        <w:t>3—Interpretation</w:t>
      </w:r>
    </w:p>
    <w:p w:rsidR="00622757" w:rsidRPr="00622757" w:rsidRDefault="00622757" w:rsidP="00622757">
      <w:pPr>
        <w:keepNext/>
        <w:keepLines/>
        <w:autoSpaceDE w:val="0"/>
        <w:autoSpaceDN w:val="0"/>
        <w:adjustRightInd w:val="0"/>
        <w:spacing w:before="120" w:after="0" w:line="240" w:lineRule="auto"/>
        <w:ind w:left="794"/>
        <w:rPr>
          <w:rFonts w:eastAsia="Times New Roman"/>
          <w:color w:val="000000"/>
          <w:sz w:val="23"/>
          <w:szCs w:val="23"/>
        </w:rPr>
      </w:pPr>
      <w:r w:rsidRPr="00622757">
        <w:rPr>
          <w:rFonts w:eastAsia="Times New Roman"/>
          <w:color w:val="000000"/>
          <w:sz w:val="23"/>
          <w:szCs w:val="23"/>
        </w:rPr>
        <w:t>In this notice—</w:t>
      </w:r>
    </w:p>
    <w:p w:rsidR="00622757" w:rsidRPr="00622757" w:rsidRDefault="00622757" w:rsidP="00622757">
      <w:pPr>
        <w:keepLines/>
        <w:autoSpaceDE w:val="0"/>
        <w:autoSpaceDN w:val="0"/>
        <w:adjustRightInd w:val="0"/>
        <w:spacing w:before="120" w:after="0" w:line="240" w:lineRule="auto"/>
        <w:ind w:left="794"/>
        <w:rPr>
          <w:rFonts w:eastAsia="Times New Roman"/>
          <w:sz w:val="24"/>
          <w:szCs w:val="24"/>
        </w:rPr>
      </w:pPr>
      <w:r w:rsidRPr="00622757">
        <w:rPr>
          <w:rFonts w:eastAsia="Times New Roman"/>
          <w:b/>
          <w:bCs/>
          <w:i/>
          <w:iCs/>
          <w:color w:val="000000"/>
          <w:sz w:val="23"/>
          <w:szCs w:val="23"/>
        </w:rPr>
        <w:t>Act</w:t>
      </w:r>
      <w:r w:rsidRPr="00622757">
        <w:rPr>
          <w:rFonts w:eastAsia="Times New Roman"/>
          <w:color w:val="000000"/>
          <w:sz w:val="23"/>
          <w:szCs w:val="23"/>
        </w:rPr>
        <w:t xml:space="preserve"> means the </w:t>
      </w:r>
      <w:hyperlink r:id="rId95" w:history="1">
        <w:r w:rsidRPr="00622757">
          <w:rPr>
            <w:rFonts w:eastAsia="Times New Roman"/>
            <w:i/>
            <w:iCs/>
            <w:color w:val="000000"/>
            <w:sz w:val="23"/>
            <w:szCs w:val="23"/>
          </w:rPr>
          <w:t>Planning,</w:t>
        </w:r>
      </w:hyperlink>
      <w:r w:rsidRPr="00622757">
        <w:rPr>
          <w:rFonts w:eastAsia="Times New Roman"/>
          <w:i/>
          <w:iCs/>
          <w:color w:val="000000"/>
          <w:sz w:val="23"/>
          <w:szCs w:val="23"/>
        </w:rPr>
        <w:t xml:space="preserve"> Development and Infrastructure Act 2016</w:t>
      </w:r>
      <w:r w:rsidRPr="00622757">
        <w:rPr>
          <w:rFonts w:eastAsia="Times New Roman"/>
          <w:color w:val="000000"/>
          <w:sz w:val="23"/>
          <w:szCs w:val="23"/>
        </w:rPr>
        <w:t>;</w:t>
      </w:r>
    </w:p>
    <w:p w:rsidR="00622757" w:rsidRPr="00622757" w:rsidRDefault="00622757" w:rsidP="00622757">
      <w:pPr>
        <w:keepLines/>
        <w:autoSpaceDE w:val="0"/>
        <w:autoSpaceDN w:val="0"/>
        <w:adjustRightInd w:val="0"/>
        <w:spacing w:before="120" w:after="0" w:line="240" w:lineRule="auto"/>
        <w:ind w:left="794"/>
        <w:rPr>
          <w:rFonts w:eastAsia="Times New Roman"/>
          <w:color w:val="000000"/>
          <w:sz w:val="23"/>
          <w:szCs w:val="23"/>
        </w:rPr>
      </w:pPr>
      <w:r w:rsidRPr="00622757">
        <w:rPr>
          <w:rFonts w:eastAsia="Times New Roman"/>
          <w:b/>
          <w:bCs/>
          <w:i/>
          <w:iCs/>
          <w:color w:val="000000"/>
          <w:sz w:val="23"/>
          <w:szCs w:val="23"/>
        </w:rPr>
        <w:t>panel</w:t>
      </w:r>
      <w:r w:rsidRPr="00622757">
        <w:rPr>
          <w:rFonts w:eastAsia="Times New Roman"/>
          <w:color w:val="000000"/>
          <w:sz w:val="23"/>
          <w:szCs w:val="23"/>
        </w:rPr>
        <w:t xml:space="preserve"> means the assessment panel constituted under clause 4;</w:t>
      </w:r>
    </w:p>
    <w:p w:rsidR="00622757" w:rsidRPr="00622757" w:rsidRDefault="00622757" w:rsidP="00622757">
      <w:pPr>
        <w:keepLines/>
        <w:autoSpaceDE w:val="0"/>
        <w:autoSpaceDN w:val="0"/>
        <w:adjustRightInd w:val="0"/>
        <w:spacing w:before="120" w:after="0" w:line="240" w:lineRule="auto"/>
        <w:ind w:left="794"/>
        <w:rPr>
          <w:rFonts w:eastAsia="Times New Roman"/>
          <w:color w:val="000000"/>
          <w:sz w:val="23"/>
          <w:szCs w:val="23"/>
        </w:rPr>
      </w:pPr>
      <w:r w:rsidRPr="00622757">
        <w:rPr>
          <w:rFonts w:eastAsia="Times New Roman"/>
          <w:b/>
          <w:bCs/>
          <w:i/>
          <w:iCs/>
          <w:color w:val="000000"/>
          <w:sz w:val="23"/>
          <w:szCs w:val="23"/>
        </w:rPr>
        <w:t xml:space="preserve">relevant council </w:t>
      </w:r>
      <w:r w:rsidRPr="00622757">
        <w:rPr>
          <w:rFonts w:eastAsia="Times New Roman"/>
          <w:color w:val="000000"/>
          <w:sz w:val="23"/>
          <w:szCs w:val="23"/>
        </w:rPr>
        <w:t>means a council for an area in relation to which the panel is constituted.</w:t>
      </w:r>
    </w:p>
    <w:p w:rsidR="00622757" w:rsidRPr="00622757" w:rsidRDefault="00622757" w:rsidP="0062275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22757">
        <w:rPr>
          <w:rFonts w:eastAsia="Times New Roman"/>
          <w:b/>
          <w:bCs/>
          <w:color w:val="000000"/>
          <w:sz w:val="32"/>
          <w:szCs w:val="32"/>
          <w:lang w:eastAsia="en-AU"/>
        </w:rPr>
        <w:t>Part 2—Constitution of assessment panel</w:t>
      </w:r>
    </w:p>
    <w:p w:rsidR="00622757" w:rsidRPr="00622757" w:rsidRDefault="00622757" w:rsidP="0062275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2757">
        <w:rPr>
          <w:rFonts w:eastAsia="Times New Roman"/>
          <w:b/>
          <w:bCs/>
          <w:color w:val="000000"/>
          <w:sz w:val="26"/>
          <w:szCs w:val="26"/>
          <w:lang w:eastAsia="en-AU"/>
        </w:rPr>
        <w:t>4—Constitution of assessment panel</w:t>
      </w:r>
    </w:p>
    <w:p w:rsidR="00622757" w:rsidRPr="00622757" w:rsidRDefault="00622757" w:rsidP="00622757">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(1)</w:t>
      </w:r>
      <w:r w:rsidRPr="00622757">
        <w:rPr>
          <w:rFonts w:eastAsia="Times New Roman"/>
          <w:color w:val="000000"/>
          <w:sz w:val="23"/>
          <w:szCs w:val="23"/>
        </w:rPr>
        <w:tab/>
        <w:t xml:space="preserve">For the purposes of section 84(1)(a) of the Act, the </w:t>
      </w:r>
      <w:r w:rsidRPr="00622757">
        <w:rPr>
          <w:rFonts w:eastAsia="Times New Roman"/>
          <w:i/>
          <w:iCs/>
          <w:color w:val="000000"/>
          <w:sz w:val="23"/>
          <w:szCs w:val="23"/>
        </w:rPr>
        <w:t>Flinders Regional Assessment Panel</w:t>
      </w:r>
      <w:r w:rsidRPr="00622757">
        <w:rPr>
          <w:rFonts w:eastAsia="Times New Roman"/>
          <w:color w:val="000000"/>
          <w:sz w:val="23"/>
          <w:szCs w:val="23"/>
        </w:rPr>
        <w:t xml:space="preserve"> is constituted.</w:t>
      </w:r>
    </w:p>
    <w:p w:rsidR="00622757" w:rsidRPr="00622757" w:rsidRDefault="00622757" w:rsidP="00622757">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(2)</w:t>
      </w:r>
      <w:r w:rsidRPr="00622757">
        <w:rPr>
          <w:rFonts w:eastAsia="Times New Roman"/>
          <w:color w:val="000000"/>
          <w:sz w:val="23"/>
          <w:szCs w:val="23"/>
        </w:rPr>
        <w:tab/>
        <w:t>The panel is constituted in relation to the areas of the following councils:</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(a)</w:t>
      </w:r>
      <w:r w:rsidRPr="00622757">
        <w:rPr>
          <w:rFonts w:eastAsia="Times New Roman"/>
          <w:color w:val="000000"/>
          <w:sz w:val="23"/>
          <w:szCs w:val="23"/>
        </w:rPr>
        <w:tab/>
        <w:t>The Flinders Ranges Council;</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(b)</w:t>
      </w:r>
      <w:r w:rsidRPr="00622757">
        <w:rPr>
          <w:rFonts w:eastAsia="Times New Roman"/>
          <w:color w:val="000000"/>
          <w:sz w:val="23"/>
          <w:szCs w:val="23"/>
        </w:rPr>
        <w:tab/>
        <w:t>District Council of Mount Remarkable;</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(c)</w:t>
      </w:r>
      <w:r w:rsidRPr="00622757">
        <w:rPr>
          <w:rFonts w:eastAsia="Times New Roman"/>
          <w:color w:val="000000"/>
          <w:sz w:val="23"/>
          <w:szCs w:val="23"/>
        </w:rPr>
        <w:tab/>
        <w:t>District Council of Orroroo Carrieton;</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(d)</w:t>
      </w:r>
      <w:r w:rsidRPr="00622757">
        <w:rPr>
          <w:rFonts w:eastAsia="Times New Roman"/>
          <w:color w:val="000000"/>
          <w:sz w:val="23"/>
          <w:szCs w:val="23"/>
        </w:rPr>
        <w:tab/>
        <w:t>District Council of Peterborough.</w:t>
      </w:r>
    </w:p>
    <w:p w:rsidR="00622757" w:rsidRPr="00622757" w:rsidRDefault="00622757" w:rsidP="00622757">
      <w:pPr>
        <w:keepNext/>
        <w:keepLines/>
        <w:autoSpaceDE w:val="0"/>
        <w:autoSpaceDN w:val="0"/>
        <w:adjustRightInd w:val="0"/>
        <w:spacing w:before="280" w:after="0" w:line="240" w:lineRule="auto"/>
        <w:ind w:left="567" w:hanging="567"/>
        <w:jc w:val="left"/>
        <w:rPr>
          <w:rFonts w:eastAsia="Times New Roman"/>
          <w:b/>
          <w:bCs/>
          <w:color w:val="000000"/>
          <w:sz w:val="23"/>
          <w:szCs w:val="23"/>
          <w:lang w:eastAsia="en-AU"/>
        </w:rPr>
      </w:pPr>
      <w:r w:rsidRPr="00622757">
        <w:rPr>
          <w:rFonts w:eastAsia="Times New Roman"/>
          <w:b/>
          <w:bCs/>
          <w:color w:val="000000"/>
          <w:sz w:val="32"/>
          <w:szCs w:val="32"/>
          <w:lang w:eastAsia="en-AU"/>
        </w:rPr>
        <w:t>Part 3—Core provisions</w:t>
      </w:r>
    </w:p>
    <w:p w:rsidR="00622757" w:rsidRPr="00622757" w:rsidRDefault="00622757" w:rsidP="0062275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2757">
        <w:rPr>
          <w:rFonts w:eastAsia="Times New Roman"/>
          <w:b/>
          <w:bCs/>
          <w:color w:val="000000"/>
          <w:sz w:val="26"/>
          <w:szCs w:val="26"/>
          <w:lang w:eastAsia="en-AU"/>
        </w:rPr>
        <w:t>5—Core provisions</w:t>
      </w:r>
    </w:p>
    <w:p w:rsidR="00622757" w:rsidRPr="00622757" w:rsidRDefault="00622757" w:rsidP="00622757">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r>
      <w:r w:rsidRPr="00622757">
        <w:rPr>
          <w:rFonts w:eastAsia="Times New Roman"/>
          <w:color w:val="000000"/>
          <w:sz w:val="23"/>
          <w:szCs w:val="23"/>
        </w:rPr>
        <w:tab/>
        <w:t>The following provisions are made for the purposes of section 84(1)(e) of the Act.</w:t>
      </w:r>
    </w:p>
    <w:p w:rsidR="00622757" w:rsidRPr="00622757" w:rsidRDefault="00622757" w:rsidP="0062275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2757">
        <w:rPr>
          <w:rFonts w:eastAsia="Times New Roman"/>
          <w:b/>
          <w:bCs/>
          <w:color w:val="000000"/>
          <w:sz w:val="26"/>
          <w:szCs w:val="26"/>
          <w:lang w:eastAsia="en-AU"/>
        </w:rPr>
        <w:t>6—Number of members</w:t>
      </w:r>
    </w:p>
    <w:p w:rsidR="00622757" w:rsidRPr="00622757" w:rsidRDefault="00622757" w:rsidP="00622757">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r>
      <w:r w:rsidRPr="00622757">
        <w:rPr>
          <w:rFonts w:eastAsia="Times New Roman"/>
          <w:color w:val="000000"/>
          <w:sz w:val="23"/>
          <w:szCs w:val="23"/>
        </w:rPr>
        <w:tab/>
        <w:t>The panel will consist of three members.</w:t>
      </w:r>
    </w:p>
    <w:p w:rsidR="00622757" w:rsidRPr="00622757" w:rsidRDefault="00622757" w:rsidP="00622757">
      <w:pPr>
        <w:rPr>
          <w:rFonts w:eastAsia="Times New Roman"/>
          <w:szCs w:val="20"/>
        </w:rPr>
      </w:pPr>
      <w:r w:rsidRPr="00622757">
        <w:rPr>
          <w:rFonts w:eastAsia="Times New Roman"/>
          <w:szCs w:val="20"/>
        </w:rPr>
        <w:br w:type="page"/>
      </w:r>
    </w:p>
    <w:p w:rsidR="00622757" w:rsidRPr="00622757" w:rsidRDefault="00622757" w:rsidP="00622757">
      <w:pPr>
        <w:keepNext/>
        <w:keepLines/>
        <w:autoSpaceDE w:val="0"/>
        <w:autoSpaceDN w:val="0"/>
        <w:adjustRightInd w:val="0"/>
        <w:spacing w:after="0" w:line="20" w:lineRule="exact"/>
        <w:ind w:left="567" w:hanging="567"/>
        <w:jc w:val="left"/>
        <w:rPr>
          <w:rFonts w:eastAsia="Times New Roman"/>
          <w:bCs/>
          <w:color w:val="000000"/>
          <w:szCs w:val="17"/>
          <w:lang w:eastAsia="en-AU"/>
        </w:rPr>
      </w:pPr>
    </w:p>
    <w:p w:rsidR="00622757" w:rsidRPr="00622757" w:rsidRDefault="00622757" w:rsidP="0062275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2757">
        <w:rPr>
          <w:rFonts w:eastAsia="Times New Roman"/>
          <w:b/>
          <w:bCs/>
          <w:color w:val="000000"/>
          <w:sz w:val="26"/>
          <w:szCs w:val="26"/>
          <w:lang w:eastAsia="en-AU"/>
        </w:rPr>
        <w:t>7—Requirements with respect to the appointment of members</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(1)</w:t>
      </w:r>
      <w:r w:rsidRPr="00622757">
        <w:rPr>
          <w:rFonts w:eastAsia="Times New Roman"/>
          <w:color w:val="000000"/>
          <w:sz w:val="23"/>
          <w:szCs w:val="23"/>
        </w:rPr>
        <w:tab/>
        <w:t>A person who is a member of a council or a member of the Parliament of the State is not eligible for appointment as a member of the panel.</w:t>
      </w:r>
    </w:p>
    <w:p w:rsidR="00622757" w:rsidRPr="00622757" w:rsidRDefault="00622757" w:rsidP="0062275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2757">
        <w:rPr>
          <w:rFonts w:eastAsia="Times New Roman"/>
          <w:b/>
          <w:bCs/>
          <w:color w:val="000000"/>
          <w:sz w:val="26"/>
          <w:szCs w:val="26"/>
          <w:lang w:eastAsia="en-AU"/>
        </w:rPr>
        <w:t>8—Procedures for appointment</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iCs/>
          <w:color w:val="000000"/>
          <w:sz w:val="23"/>
          <w:szCs w:val="23"/>
        </w:rPr>
      </w:pPr>
      <w:r w:rsidRPr="00622757">
        <w:rPr>
          <w:rFonts w:eastAsia="Times New Roman"/>
          <w:color w:val="000000"/>
          <w:sz w:val="23"/>
          <w:szCs w:val="23"/>
        </w:rPr>
        <w:tab/>
        <w:t>(1)</w:t>
      </w:r>
      <w:r w:rsidRPr="00622757">
        <w:rPr>
          <w:rFonts w:eastAsia="Times New Roman"/>
          <w:color w:val="000000"/>
          <w:sz w:val="23"/>
          <w:szCs w:val="23"/>
        </w:rPr>
        <w:tab/>
      </w:r>
      <w:r w:rsidRPr="00622757">
        <w:rPr>
          <w:rFonts w:eastAsia="Times New Roman"/>
          <w:iCs/>
          <w:color w:val="000000"/>
          <w:sz w:val="23"/>
          <w:szCs w:val="23"/>
        </w:rPr>
        <w:t>The members of the panel will be appointed by the relevant councils taking into account the following requirements:</w:t>
      </w:r>
    </w:p>
    <w:p w:rsidR="00622757" w:rsidRPr="00622757" w:rsidRDefault="00BA6552" w:rsidP="00BA6552">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Pr>
          <w:rFonts w:eastAsia="Times New Roman"/>
          <w:iCs/>
          <w:color w:val="000000"/>
          <w:sz w:val="23"/>
          <w:szCs w:val="23"/>
        </w:rPr>
        <w:tab/>
      </w:r>
      <w:r>
        <w:rPr>
          <w:rFonts w:eastAsia="Times New Roman"/>
          <w:iCs/>
          <w:color w:val="000000"/>
          <w:sz w:val="23"/>
          <w:szCs w:val="23"/>
        </w:rPr>
        <w:tab/>
        <w:t>(a)</w:t>
      </w:r>
      <w:r>
        <w:rPr>
          <w:rFonts w:eastAsia="Times New Roman"/>
          <w:iCs/>
          <w:color w:val="000000"/>
          <w:sz w:val="23"/>
          <w:szCs w:val="23"/>
        </w:rPr>
        <w:tab/>
      </w:r>
      <w:r w:rsidR="00622757" w:rsidRPr="00622757">
        <w:rPr>
          <w:rFonts w:eastAsia="Times New Roman"/>
          <w:iCs/>
          <w:color w:val="000000"/>
          <w:sz w:val="23"/>
          <w:szCs w:val="23"/>
        </w:rPr>
        <w:t>only 1 member of the panel may be a member of a council; and</w:t>
      </w:r>
    </w:p>
    <w:p w:rsidR="00622757" w:rsidRPr="00622757" w:rsidRDefault="00622757" w:rsidP="00622757">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sidRPr="00622757">
        <w:rPr>
          <w:rFonts w:eastAsia="Times New Roman"/>
          <w:iCs/>
          <w:color w:val="000000"/>
          <w:sz w:val="23"/>
          <w:szCs w:val="23"/>
        </w:rPr>
        <w:tab/>
      </w:r>
      <w:r w:rsidRPr="00622757">
        <w:rPr>
          <w:rFonts w:eastAsia="Times New Roman"/>
          <w:iCs/>
          <w:color w:val="000000"/>
          <w:sz w:val="23"/>
          <w:szCs w:val="23"/>
        </w:rPr>
        <w:tab/>
        <w:t>(b)</w:t>
      </w:r>
      <w:r w:rsidRPr="00622757">
        <w:rPr>
          <w:rFonts w:eastAsia="Times New Roman"/>
          <w:iCs/>
          <w:color w:val="000000"/>
          <w:sz w:val="23"/>
          <w:szCs w:val="23"/>
        </w:rPr>
        <w:tab/>
        <w:t>a person appointed as a member of the panel must be an accredited professional – planning level 2.</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iCs/>
          <w:color w:val="000000"/>
          <w:sz w:val="23"/>
          <w:szCs w:val="23"/>
        </w:rPr>
      </w:pPr>
      <w:r w:rsidRPr="00622757">
        <w:rPr>
          <w:rFonts w:eastAsia="Times New Roman"/>
          <w:iCs/>
          <w:color w:val="000000"/>
          <w:sz w:val="23"/>
          <w:szCs w:val="23"/>
        </w:rPr>
        <w:tab/>
        <w:t>(2)</w:t>
      </w:r>
      <w:r w:rsidRPr="00622757">
        <w:rPr>
          <w:rFonts w:eastAsia="Times New Roman"/>
          <w:iCs/>
          <w:color w:val="000000"/>
          <w:sz w:val="23"/>
          <w:szCs w:val="23"/>
        </w:rPr>
        <w:tab/>
        <w:t>Subclause (1)(b) does not apply if –</w:t>
      </w:r>
    </w:p>
    <w:p w:rsidR="00622757" w:rsidRPr="00622757" w:rsidRDefault="00BA6552" w:rsidP="00BA6552">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Pr>
          <w:rFonts w:eastAsia="Times New Roman"/>
          <w:iCs/>
          <w:color w:val="000000"/>
          <w:sz w:val="23"/>
          <w:szCs w:val="23"/>
        </w:rPr>
        <w:tab/>
      </w:r>
      <w:r>
        <w:rPr>
          <w:rFonts w:eastAsia="Times New Roman"/>
          <w:iCs/>
          <w:color w:val="000000"/>
          <w:sz w:val="23"/>
          <w:szCs w:val="23"/>
        </w:rPr>
        <w:tab/>
        <w:t>(a)</w:t>
      </w:r>
      <w:r>
        <w:rPr>
          <w:rFonts w:eastAsia="Times New Roman"/>
          <w:iCs/>
          <w:color w:val="000000"/>
          <w:sz w:val="23"/>
          <w:szCs w:val="23"/>
        </w:rPr>
        <w:tab/>
      </w:r>
      <w:r w:rsidR="00622757" w:rsidRPr="00622757">
        <w:rPr>
          <w:rFonts w:eastAsia="Times New Roman"/>
          <w:iCs/>
          <w:color w:val="000000"/>
          <w:sz w:val="23"/>
          <w:szCs w:val="23"/>
        </w:rPr>
        <w:t>the person is a member of a council; and</w:t>
      </w:r>
    </w:p>
    <w:p w:rsidR="00622757" w:rsidRPr="00622757" w:rsidRDefault="00622757" w:rsidP="00622757">
      <w:pPr>
        <w:keepLines/>
        <w:tabs>
          <w:tab w:val="center" w:pos="397"/>
          <w:tab w:val="left" w:pos="794"/>
        </w:tabs>
        <w:autoSpaceDE w:val="0"/>
        <w:autoSpaceDN w:val="0"/>
        <w:adjustRightInd w:val="0"/>
        <w:spacing w:before="120" w:after="0" w:line="240" w:lineRule="auto"/>
        <w:ind w:left="1440" w:hanging="1440"/>
        <w:rPr>
          <w:rFonts w:eastAsia="Times New Roman"/>
          <w:iCs/>
          <w:color w:val="000000"/>
          <w:sz w:val="23"/>
          <w:szCs w:val="23"/>
        </w:rPr>
      </w:pPr>
      <w:r w:rsidRPr="00622757">
        <w:rPr>
          <w:rFonts w:eastAsia="Times New Roman"/>
          <w:iCs/>
          <w:color w:val="000000"/>
          <w:sz w:val="23"/>
          <w:szCs w:val="23"/>
        </w:rPr>
        <w:tab/>
      </w:r>
      <w:r w:rsidRPr="00622757">
        <w:rPr>
          <w:rFonts w:eastAsia="Times New Roman"/>
          <w:iCs/>
          <w:color w:val="000000"/>
          <w:sz w:val="23"/>
          <w:szCs w:val="23"/>
        </w:rPr>
        <w:tab/>
        <w:t>(b)</w:t>
      </w:r>
      <w:r w:rsidRPr="00622757">
        <w:rPr>
          <w:rFonts w:eastAsia="Times New Roman"/>
          <w:iCs/>
          <w:color w:val="000000"/>
          <w:sz w:val="23"/>
          <w:szCs w:val="23"/>
        </w:rPr>
        <w:tab/>
        <w:t>the relevant councils are satisfied that the person is appropriately qualified to act as member of the panel on account of the persons experience in local government.</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iCs/>
          <w:color w:val="000000"/>
          <w:sz w:val="23"/>
          <w:szCs w:val="23"/>
        </w:rPr>
      </w:pPr>
      <w:r w:rsidRPr="00622757">
        <w:rPr>
          <w:rFonts w:eastAsia="Times New Roman"/>
          <w:iCs/>
          <w:color w:val="000000"/>
          <w:sz w:val="23"/>
          <w:szCs w:val="23"/>
        </w:rPr>
        <w:tab/>
        <w:t>(3)</w:t>
      </w:r>
      <w:r w:rsidRPr="00622757">
        <w:rPr>
          <w:rFonts w:eastAsia="Times New Roman"/>
          <w:iCs/>
          <w:color w:val="000000"/>
          <w:sz w:val="23"/>
          <w:szCs w:val="23"/>
        </w:rPr>
        <w:tab/>
        <w:t>The process to be adopted for appointing a person as a member of the panel must be set out in an agreement entered into between the councils.</w:t>
      </w:r>
    </w:p>
    <w:p w:rsidR="00622757" w:rsidRPr="00622757" w:rsidRDefault="00622757" w:rsidP="0062275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2757">
        <w:rPr>
          <w:rFonts w:eastAsia="Times New Roman"/>
          <w:b/>
          <w:bCs/>
          <w:color w:val="000000"/>
          <w:sz w:val="26"/>
          <w:szCs w:val="26"/>
          <w:lang w:eastAsia="en-AU"/>
        </w:rPr>
        <w:t>9—Term of office</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(1)</w:t>
      </w:r>
      <w:r w:rsidRPr="00622757">
        <w:rPr>
          <w:rFonts w:eastAsia="Times New Roman"/>
          <w:color w:val="000000"/>
          <w:sz w:val="23"/>
          <w:szCs w:val="23"/>
        </w:rPr>
        <w:tab/>
        <w:t>The term of office of a member of the panel will be 2 years.</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(2)</w:t>
      </w:r>
      <w:r w:rsidRPr="00622757">
        <w:rPr>
          <w:rFonts w:eastAsia="Times New Roman"/>
          <w:color w:val="000000"/>
          <w:sz w:val="23"/>
          <w:szCs w:val="23"/>
        </w:rPr>
        <w:tab/>
        <w:t>A person may continue to act as a member of the panel after the expiration of a term of office for the purpose of completing any matter before the panel at the time of the expiration of the term.</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(3)</w:t>
      </w:r>
      <w:r w:rsidRPr="00622757">
        <w:rPr>
          <w:rFonts w:eastAsia="Times New Roman"/>
          <w:color w:val="000000"/>
          <w:sz w:val="23"/>
          <w:szCs w:val="23"/>
        </w:rPr>
        <w:tab/>
        <w:t>A member of a panel is eligible for reappointment at the expiration of a term of office.</w:t>
      </w:r>
    </w:p>
    <w:p w:rsidR="00622757" w:rsidRPr="00622757" w:rsidRDefault="00622757" w:rsidP="0062275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2757">
        <w:rPr>
          <w:rFonts w:eastAsia="Times New Roman"/>
          <w:b/>
          <w:bCs/>
          <w:color w:val="000000"/>
          <w:sz w:val="26"/>
          <w:szCs w:val="26"/>
          <w:lang w:eastAsia="en-AU"/>
        </w:rPr>
        <w:t>10—Conditions of appointment</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(1)</w:t>
      </w:r>
      <w:r w:rsidRPr="00622757">
        <w:rPr>
          <w:rFonts w:eastAsia="Times New Roman"/>
          <w:color w:val="000000"/>
          <w:sz w:val="23"/>
          <w:szCs w:val="23"/>
        </w:rPr>
        <w:tab/>
        <w:t>It will be a condition of appointment of a member of the panel that the member continues to be an accredited professional while holding office (unless such accreditation was not required at the time of appointment).</w:t>
      </w:r>
    </w:p>
    <w:p w:rsidR="00622757" w:rsidRPr="00622757" w:rsidRDefault="00622757" w:rsidP="00622757">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(2)</w:t>
      </w:r>
      <w:r w:rsidRPr="00622757">
        <w:rPr>
          <w:rFonts w:eastAsia="Times New Roman"/>
          <w:color w:val="000000"/>
          <w:sz w:val="23"/>
          <w:szCs w:val="23"/>
        </w:rPr>
        <w:tab/>
        <w:t>An appointment will be subject to such other conditions (including as to their remuneration) as the relevant councils may specify at the time of the appointment of the member.</w:t>
      </w:r>
    </w:p>
    <w:p w:rsidR="00622757" w:rsidRPr="00622757" w:rsidRDefault="00622757" w:rsidP="00622757">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(3)</w:t>
      </w:r>
      <w:r w:rsidRPr="00622757">
        <w:rPr>
          <w:rFonts w:eastAsia="Times New Roman"/>
          <w:color w:val="000000"/>
          <w:sz w:val="23"/>
          <w:szCs w:val="23"/>
        </w:rPr>
        <w:tab/>
        <w:t>The Minister may, on the recommendation of the relevant councils, remove a member of the panel from office—</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(a)</w:t>
      </w:r>
      <w:r w:rsidRPr="00622757">
        <w:rPr>
          <w:rFonts w:eastAsia="Times New Roman"/>
          <w:color w:val="000000"/>
          <w:sz w:val="23"/>
          <w:szCs w:val="23"/>
        </w:rPr>
        <w:tab/>
        <w:t>for breach of, or non-compliance with, a condition of appointment; or</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(b)</w:t>
      </w:r>
      <w:r w:rsidRPr="00622757">
        <w:rPr>
          <w:rFonts w:eastAsia="Times New Roman"/>
          <w:color w:val="000000"/>
          <w:sz w:val="23"/>
          <w:szCs w:val="23"/>
        </w:rPr>
        <w:tab/>
        <w:t>for misconduct or neglect of duty; or</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(c)</w:t>
      </w:r>
      <w:r w:rsidRPr="00622757">
        <w:rPr>
          <w:rFonts w:eastAsia="Times New Roman"/>
          <w:color w:val="000000"/>
          <w:sz w:val="23"/>
          <w:szCs w:val="23"/>
        </w:rPr>
        <w:tab/>
        <w:t>for failure or incapacity to carry out official duties satisfactorily; or</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(d)</w:t>
      </w:r>
      <w:r w:rsidRPr="00622757">
        <w:rPr>
          <w:rFonts w:eastAsia="Times New Roman"/>
          <w:color w:val="000000"/>
          <w:sz w:val="23"/>
          <w:szCs w:val="23"/>
        </w:rPr>
        <w:tab/>
        <w:t>for failing to comply with section 84(1)(f) or (g) of the Act; or</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(e)</w:t>
      </w:r>
      <w:r w:rsidRPr="00622757">
        <w:rPr>
          <w:rFonts w:eastAsia="Times New Roman"/>
          <w:color w:val="000000"/>
          <w:sz w:val="23"/>
          <w:szCs w:val="23"/>
        </w:rPr>
        <w:tab/>
        <w:t xml:space="preserve">on the recommendation of the Commission under regulation 11 of the </w:t>
      </w:r>
      <w:r w:rsidRPr="00622757">
        <w:rPr>
          <w:rFonts w:eastAsia="Times New Roman"/>
          <w:i/>
          <w:iCs/>
          <w:color w:val="000000"/>
          <w:sz w:val="23"/>
          <w:szCs w:val="23"/>
        </w:rPr>
        <w:t>Planning, Development and Infrastructure (General) Regulations 2017</w:t>
      </w:r>
      <w:r w:rsidRPr="00622757">
        <w:rPr>
          <w:rFonts w:eastAsia="Times New Roman"/>
          <w:color w:val="000000"/>
          <w:sz w:val="23"/>
          <w:szCs w:val="23"/>
        </w:rPr>
        <w:t>; or</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(f)</w:t>
      </w:r>
      <w:r w:rsidRPr="00622757">
        <w:rPr>
          <w:rFonts w:eastAsia="Times New Roman"/>
          <w:color w:val="000000"/>
          <w:sz w:val="23"/>
          <w:szCs w:val="23"/>
        </w:rPr>
        <w:tab/>
        <w:t xml:space="preserve">for failure to comply with a condition of appointment set out in a notice of appointment under regulation 11A of the </w:t>
      </w:r>
      <w:r w:rsidRPr="00622757">
        <w:rPr>
          <w:rFonts w:eastAsia="Times New Roman"/>
          <w:i/>
          <w:iCs/>
          <w:color w:val="000000"/>
          <w:sz w:val="23"/>
          <w:szCs w:val="23"/>
        </w:rPr>
        <w:t>Planning, Development and Infrastructure (General) Regulations 2017.</w:t>
      </w:r>
    </w:p>
    <w:p w:rsidR="00622757" w:rsidRPr="00622757" w:rsidRDefault="00622757" w:rsidP="00622757">
      <w:pPr>
        <w:spacing w:after="0" w:line="240" w:lineRule="auto"/>
        <w:jc w:val="left"/>
        <w:rPr>
          <w:rFonts w:eastAsia="Times New Roman"/>
          <w:color w:val="000000"/>
          <w:sz w:val="23"/>
          <w:szCs w:val="23"/>
        </w:rPr>
      </w:pPr>
      <w:r w:rsidRPr="00622757">
        <w:rPr>
          <w:rFonts w:eastAsia="Times New Roman"/>
          <w:color w:val="000000"/>
          <w:sz w:val="23"/>
          <w:szCs w:val="23"/>
        </w:rPr>
        <w:br w:type="page"/>
      </w:r>
    </w:p>
    <w:p w:rsidR="00622757" w:rsidRPr="00622757" w:rsidRDefault="00622757" w:rsidP="00622757">
      <w:pPr>
        <w:keepNext/>
        <w:keepLines/>
        <w:autoSpaceDE w:val="0"/>
        <w:autoSpaceDN w:val="0"/>
        <w:adjustRightInd w:val="0"/>
        <w:spacing w:after="0" w:line="20" w:lineRule="exact"/>
        <w:ind w:left="567" w:hanging="567"/>
        <w:jc w:val="left"/>
        <w:rPr>
          <w:rFonts w:eastAsia="Times New Roman"/>
          <w:bCs/>
          <w:color w:val="000000"/>
          <w:sz w:val="23"/>
          <w:szCs w:val="23"/>
          <w:lang w:eastAsia="en-AU"/>
        </w:rPr>
      </w:pPr>
    </w:p>
    <w:p w:rsidR="00622757" w:rsidRPr="00622757" w:rsidRDefault="00622757" w:rsidP="00622757">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(4)</w:t>
      </w:r>
      <w:r w:rsidRPr="00622757">
        <w:rPr>
          <w:rFonts w:eastAsia="Times New Roman"/>
          <w:color w:val="000000"/>
          <w:sz w:val="23"/>
          <w:szCs w:val="23"/>
        </w:rPr>
        <w:tab/>
        <w:t>The office of a member of the panel becomes vacant if the member—</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(a)</w:t>
      </w:r>
      <w:r w:rsidRPr="00622757">
        <w:rPr>
          <w:rFonts w:eastAsia="Times New Roman"/>
          <w:color w:val="000000"/>
          <w:sz w:val="23"/>
          <w:szCs w:val="23"/>
        </w:rPr>
        <w:tab/>
        <w:t>dies; or</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(b)</w:t>
      </w:r>
      <w:r w:rsidRPr="00622757">
        <w:rPr>
          <w:rFonts w:eastAsia="Times New Roman"/>
          <w:color w:val="000000"/>
          <w:sz w:val="23"/>
          <w:szCs w:val="23"/>
        </w:rPr>
        <w:tab/>
        <w:t>completes a term of office and is not reappointed (subject to the operation of clause 9(2)); or</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(c)</w:t>
      </w:r>
      <w:r w:rsidRPr="00622757">
        <w:rPr>
          <w:rFonts w:eastAsia="Times New Roman"/>
          <w:color w:val="000000"/>
          <w:sz w:val="23"/>
          <w:szCs w:val="23"/>
        </w:rPr>
        <w:tab/>
        <w:t>resigns by written notice to the relevant councils; or</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(d)</w:t>
      </w:r>
      <w:r w:rsidRPr="00622757">
        <w:rPr>
          <w:rFonts w:eastAsia="Times New Roman"/>
          <w:color w:val="000000"/>
          <w:sz w:val="23"/>
          <w:szCs w:val="23"/>
        </w:rPr>
        <w:tab/>
        <w:t>is convicted of an indictable offence or is sentenced to imprisonment for an offence; or</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(e)</w:t>
      </w:r>
      <w:r w:rsidRPr="00622757">
        <w:rPr>
          <w:rFonts w:eastAsia="Times New Roman"/>
          <w:color w:val="000000"/>
          <w:sz w:val="23"/>
          <w:szCs w:val="23"/>
        </w:rPr>
        <w:tab/>
        <w:t>becomes bankrupt or applies to take the benefit of a law for the relief of insolvent debtors; or</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(f)</w:t>
      </w:r>
      <w:r w:rsidRPr="00622757">
        <w:rPr>
          <w:rFonts w:eastAsia="Times New Roman"/>
          <w:color w:val="000000"/>
          <w:sz w:val="23"/>
          <w:szCs w:val="23"/>
        </w:rPr>
        <w:tab/>
        <w:t>is removed from office under subclause (3).</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(5)</w:t>
      </w:r>
      <w:r w:rsidRPr="00622757">
        <w:rPr>
          <w:rFonts w:eastAsia="Times New Roman"/>
          <w:color w:val="000000"/>
          <w:sz w:val="23"/>
          <w:szCs w:val="23"/>
        </w:rPr>
        <w:tab/>
        <w:t>The relevant councils will be responsible for the remuneration payable to a member of the panel under an agreement entered into between the councils.</w:t>
      </w:r>
    </w:p>
    <w:p w:rsidR="00622757" w:rsidRPr="00622757" w:rsidRDefault="00622757" w:rsidP="00622757">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(6)</w:t>
      </w:r>
      <w:r w:rsidRPr="00622757">
        <w:rPr>
          <w:rFonts w:eastAsia="Times New Roman"/>
          <w:color w:val="000000"/>
          <w:sz w:val="23"/>
          <w:szCs w:val="23"/>
        </w:rPr>
        <w:tab/>
        <w:t>When there is a vacancy in the membership of the panel, the relevant councils must take steps to fill the vacancy at the earliest opportunity.</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(7)</w:t>
      </w:r>
      <w:r w:rsidRPr="00622757">
        <w:rPr>
          <w:rFonts w:eastAsia="Times New Roman"/>
          <w:color w:val="000000"/>
          <w:sz w:val="23"/>
          <w:szCs w:val="23"/>
        </w:rPr>
        <w:tab/>
        <w:t>An act or proceeding of the panel is not invalid by reason only of a vacancy in the membership of the panel.</w:t>
      </w:r>
    </w:p>
    <w:p w:rsidR="00622757" w:rsidRPr="00622757" w:rsidRDefault="00622757" w:rsidP="0062275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2757">
        <w:rPr>
          <w:rFonts w:eastAsia="Times New Roman"/>
          <w:b/>
          <w:bCs/>
          <w:color w:val="000000"/>
          <w:sz w:val="26"/>
          <w:szCs w:val="26"/>
          <w:lang w:eastAsia="en-AU"/>
        </w:rPr>
        <w:t>11—Appointment of deputy members</w:t>
      </w:r>
    </w:p>
    <w:p w:rsidR="00622757" w:rsidRPr="00622757" w:rsidRDefault="00622757" w:rsidP="00622757">
      <w:pPr>
        <w:keepLines/>
        <w:autoSpaceDE w:val="0"/>
        <w:autoSpaceDN w:val="0"/>
        <w:adjustRightInd w:val="0"/>
        <w:spacing w:before="120" w:after="0" w:line="240" w:lineRule="auto"/>
        <w:ind w:left="794"/>
        <w:rPr>
          <w:rFonts w:eastAsia="Times New Roman"/>
          <w:color w:val="000000"/>
          <w:sz w:val="23"/>
          <w:szCs w:val="23"/>
        </w:rPr>
      </w:pPr>
      <w:r w:rsidRPr="00622757">
        <w:rPr>
          <w:rFonts w:eastAsia="Times New Roman"/>
          <w:color w:val="000000"/>
          <w:sz w:val="23"/>
          <w:szCs w:val="23"/>
        </w:rPr>
        <w:t>Each member may have a deputy member and deputy members will be appointed in the same way (and be subject to the same terms and conditions) as ordinary members.</w:t>
      </w:r>
    </w:p>
    <w:p w:rsidR="00622757" w:rsidRPr="00622757" w:rsidRDefault="00622757" w:rsidP="0062275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2757">
        <w:rPr>
          <w:rFonts w:eastAsia="Times New Roman"/>
          <w:b/>
          <w:bCs/>
          <w:color w:val="000000"/>
          <w:sz w:val="26"/>
          <w:szCs w:val="26"/>
          <w:lang w:eastAsia="en-AU"/>
        </w:rPr>
        <w:t>12—Appointment of presiding member and acting presiding member</w:t>
      </w:r>
    </w:p>
    <w:p w:rsidR="00622757" w:rsidRPr="00622757" w:rsidRDefault="00622757" w:rsidP="00622757">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(1)</w:t>
      </w:r>
      <w:r w:rsidRPr="00622757">
        <w:rPr>
          <w:rFonts w:eastAsia="Times New Roman"/>
          <w:color w:val="000000"/>
          <w:sz w:val="23"/>
          <w:szCs w:val="23"/>
        </w:rPr>
        <w:tab/>
        <w:t>The presiding member of the panel will be appointed by the relevant councils.</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(2)</w:t>
      </w:r>
      <w:r w:rsidRPr="00622757">
        <w:rPr>
          <w:rFonts w:eastAsia="Times New Roman"/>
          <w:color w:val="000000"/>
          <w:sz w:val="23"/>
          <w:szCs w:val="23"/>
        </w:rPr>
        <w:tab/>
        <w:t>The presiding member must be an accredited professional – planning level 2.</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(3)</w:t>
      </w:r>
      <w:r w:rsidRPr="00622757">
        <w:rPr>
          <w:rFonts w:eastAsia="Times New Roman"/>
          <w:color w:val="000000"/>
          <w:sz w:val="23"/>
          <w:szCs w:val="23"/>
        </w:rPr>
        <w:tab/>
        <w:t>An acting presiding member may be appointed by members of the panel.</w:t>
      </w:r>
    </w:p>
    <w:p w:rsidR="00622757" w:rsidRPr="00622757" w:rsidRDefault="00622757" w:rsidP="0062275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2757">
        <w:rPr>
          <w:rFonts w:eastAsia="Times New Roman"/>
          <w:b/>
          <w:bCs/>
          <w:color w:val="000000"/>
          <w:sz w:val="26"/>
          <w:szCs w:val="26"/>
          <w:lang w:eastAsia="en-AU"/>
        </w:rPr>
        <w:t>13—Procedures of panel</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(1)</w:t>
      </w:r>
      <w:r w:rsidRPr="00622757">
        <w:rPr>
          <w:rFonts w:eastAsia="Times New Roman"/>
          <w:color w:val="000000"/>
          <w:sz w:val="23"/>
          <w:szCs w:val="23"/>
        </w:rPr>
        <w:tab/>
        <w:t>A quorum at a meeting of the panel consists of a number ascertained by dividing the total number of members by half, ignoring any fraction resulting from the division, and adding 1 (and no business may be transacted at a meeting of the panel unless a quorum is present).</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(2)</w:t>
      </w:r>
      <w:r w:rsidRPr="00622757">
        <w:rPr>
          <w:rFonts w:eastAsia="Times New Roman"/>
          <w:color w:val="000000"/>
          <w:sz w:val="23"/>
          <w:szCs w:val="23"/>
        </w:rPr>
        <w:tab/>
        <w:t>A decision carried by a majority of the votes cast by members at a meeting is a decision of the panel.</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(3)</w:t>
      </w:r>
      <w:r w:rsidRPr="00622757">
        <w:rPr>
          <w:rFonts w:eastAsia="Times New Roman"/>
          <w:color w:val="000000"/>
          <w:sz w:val="23"/>
          <w:szCs w:val="23"/>
        </w:rPr>
        <w:tab/>
        <w:t>Each member present at a meeting of the panel is entitled to 1 vote on any matter arising for decision and, if votes are equal, the member presiding at the meeting has a second or casting vote.</w:t>
      </w:r>
    </w:p>
    <w:p w:rsidR="00622757" w:rsidRPr="00622757" w:rsidRDefault="00622757" w:rsidP="00622757">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(4)</w:t>
      </w:r>
      <w:r w:rsidRPr="00622757">
        <w:rPr>
          <w:rFonts w:eastAsia="Times New Roman"/>
          <w:color w:val="000000"/>
          <w:sz w:val="23"/>
          <w:szCs w:val="23"/>
        </w:rPr>
        <w:tab/>
        <w:t>A meeting between members constituting a quorum by telephone or audio-visual means is a valid meeting of the panel if—</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(a)</w:t>
      </w:r>
      <w:r w:rsidRPr="00622757">
        <w:rPr>
          <w:rFonts w:eastAsia="Times New Roman"/>
          <w:color w:val="000000"/>
          <w:sz w:val="23"/>
          <w:szCs w:val="23"/>
        </w:rPr>
        <w:tab/>
        <w:t>a notice of the meeting is given to all members of the panel in the manner determined by the panel for the purpose; and</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(b)</w:t>
      </w:r>
      <w:r w:rsidRPr="00622757">
        <w:rPr>
          <w:rFonts w:eastAsia="Times New Roman"/>
          <w:color w:val="000000"/>
          <w:sz w:val="23"/>
          <w:szCs w:val="23"/>
        </w:rPr>
        <w:tab/>
        <w:t>the system of communication allows a participating member to communicate with any other participating member during the meeting.</w:t>
      </w:r>
    </w:p>
    <w:p w:rsidR="00622757" w:rsidRPr="00622757" w:rsidRDefault="00622757" w:rsidP="00622757">
      <w:pPr>
        <w:spacing w:after="0" w:line="240" w:lineRule="auto"/>
        <w:jc w:val="left"/>
        <w:rPr>
          <w:rFonts w:eastAsia="Times New Roman"/>
          <w:color w:val="000000"/>
          <w:sz w:val="23"/>
          <w:szCs w:val="23"/>
        </w:rPr>
      </w:pPr>
      <w:r w:rsidRPr="00622757">
        <w:rPr>
          <w:rFonts w:eastAsia="Times New Roman"/>
          <w:color w:val="000000"/>
          <w:sz w:val="23"/>
          <w:szCs w:val="23"/>
        </w:rPr>
        <w:br w:type="page"/>
      </w:r>
    </w:p>
    <w:p w:rsidR="00622757" w:rsidRPr="00622757" w:rsidRDefault="00622757" w:rsidP="00622757">
      <w:pPr>
        <w:keepNext/>
        <w:keepLines/>
        <w:autoSpaceDE w:val="0"/>
        <w:autoSpaceDN w:val="0"/>
        <w:adjustRightInd w:val="0"/>
        <w:spacing w:after="0" w:line="20" w:lineRule="exact"/>
        <w:ind w:left="567" w:hanging="567"/>
        <w:jc w:val="left"/>
        <w:rPr>
          <w:rFonts w:eastAsia="Times New Roman"/>
          <w:bCs/>
          <w:color w:val="000000"/>
          <w:sz w:val="23"/>
          <w:szCs w:val="23"/>
          <w:lang w:eastAsia="en-AU"/>
        </w:rPr>
      </w:pPr>
    </w:p>
    <w:p w:rsidR="00622757" w:rsidRPr="00622757" w:rsidRDefault="00622757" w:rsidP="00622757">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(5)</w:t>
      </w:r>
      <w:r w:rsidRPr="00622757">
        <w:rPr>
          <w:rFonts w:eastAsia="Times New Roman"/>
          <w:color w:val="000000"/>
          <w:sz w:val="23"/>
          <w:szCs w:val="23"/>
        </w:rPr>
        <w:tab/>
        <w:t>A resolution of the panel—</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(a)</w:t>
      </w:r>
      <w:r w:rsidRPr="00622757">
        <w:rPr>
          <w:rFonts w:eastAsia="Times New Roman"/>
          <w:color w:val="000000"/>
          <w:sz w:val="23"/>
          <w:szCs w:val="23"/>
        </w:rPr>
        <w:tab/>
        <w:t>of which notice is given to members in accordance with procedures determined or agreed by members of the panel; and</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ab/>
        <w:t>(b)</w:t>
      </w:r>
      <w:r w:rsidRPr="00622757">
        <w:rPr>
          <w:rFonts w:eastAsia="Times New Roman"/>
          <w:color w:val="000000"/>
          <w:sz w:val="23"/>
          <w:szCs w:val="23"/>
        </w:rPr>
        <w:tab/>
        <w:t>in which at least the majority of members of the panel express their concurrence in writing or by electronic communication,</w:t>
      </w:r>
    </w:p>
    <w:p w:rsidR="00622757" w:rsidRPr="00622757" w:rsidRDefault="00622757" w:rsidP="00622757">
      <w:pPr>
        <w:keepLines/>
        <w:tabs>
          <w:tab w:val="center" w:pos="1191"/>
          <w:tab w:val="left" w:pos="1588"/>
        </w:tabs>
        <w:autoSpaceDE w:val="0"/>
        <w:autoSpaceDN w:val="0"/>
        <w:adjustRightInd w:val="0"/>
        <w:spacing w:before="120" w:after="0" w:line="240" w:lineRule="auto"/>
        <w:ind w:left="1588" w:hanging="794"/>
        <w:rPr>
          <w:rFonts w:eastAsia="Times New Roman"/>
          <w:color w:val="000000"/>
          <w:sz w:val="23"/>
          <w:szCs w:val="23"/>
        </w:rPr>
      </w:pPr>
      <w:r w:rsidRPr="00622757">
        <w:rPr>
          <w:rFonts w:eastAsia="Times New Roman"/>
          <w:color w:val="000000"/>
          <w:sz w:val="23"/>
          <w:szCs w:val="23"/>
        </w:rPr>
        <w:t>will be taken to be a decision of the panel.</w:t>
      </w:r>
    </w:p>
    <w:p w:rsidR="00622757" w:rsidRPr="00622757" w:rsidRDefault="00622757" w:rsidP="00622757">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(6)</w:t>
      </w:r>
      <w:r w:rsidRPr="00622757">
        <w:rPr>
          <w:rFonts w:eastAsia="Times New Roman"/>
          <w:color w:val="000000"/>
          <w:sz w:val="23"/>
          <w:szCs w:val="23"/>
        </w:rPr>
        <w:tab/>
        <w:t>A person who is taken to be a member of the panel under section 85 of the Act is not to be counted or considered for the purposes of subclauses (2), (3) and (5)(b).</w:t>
      </w:r>
    </w:p>
    <w:p w:rsidR="00622757" w:rsidRPr="00622757" w:rsidRDefault="00622757" w:rsidP="00622757">
      <w:pPr>
        <w:keepNext/>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(7)</w:t>
      </w:r>
      <w:r w:rsidRPr="00622757">
        <w:rPr>
          <w:rFonts w:eastAsia="Times New Roman"/>
          <w:color w:val="000000"/>
          <w:sz w:val="23"/>
          <w:szCs w:val="23"/>
        </w:rPr>
        <w:tab/>
        <w:t>Subject to this clause and any relevant provisions of regulations made under the Act, the procedures to be observed in relation to the conduct of the business of the panel will be determined by the panel.</w:t>
      </w:r>
    </w:p>
    <w:p w:rsidR="00622757" w:rsidRPr="00622757" w:rsidRDefault="00622757" w:rsidP="0062275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622757">
        <w:rPr>
          <w:rFonts w:eastAsia="Times New Roman"/>
          <w:b/>
          <w:bCs/>
          <w:color w:val="000000"/>
          <w:sz w:val="32"/>
          <w:szCs w:val="32"/>
          <w:lang w:eastAsia="en-AU"/>
        </w:rPr>
        <w:t>Part 4—Sharing of costs</w:t>
      </w:r>
    </w:p>
    <w:p w:rsidR="00622757" w:rsidRPr="00622757" w:rsidRDefault="00622757" w:rsidP="0062275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22757">
        <w:rPr>
          <w:rFonts w:eastAsia="Times New Roman"/>
          <w:b/>
          <w:bCs/>
          <w:color w:val="000000"/>
          <w:sz w:val="26"/>
          <w:szCs w:val="26"/>
          <w:lang w:eastAsia="en-AU"/>
        </w:rPr>
        <w:t>14—Sharing of costs</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(1)</w:t>
      </w:r>
      <w:r w:rsidRPr="00622757">
        <w:rPr>
          <w:rFonts w:eastAsia="Times New Roman"/>
          <w:color w:val="000000"/>
          <w:sz w:val="23"/>
          <w:szCs w:val="23"/>
        </w:rPr>
        <w:tab/>
        <w:t>This clause sets out a scheme for the purposes of section 84(1)(i) of the Act.</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(2)</w:t>
      </w:r>
      <w:r w:rsidRPr="00622757">
        <w:rPr>
          <w:rFonts w:eastAsia="Times New Roman"/>
          <w:color w:val="000000"/>
          <w:sz w:val="23"/>
          <w:szCs w:val="23"/>
        </w:rPr>
        <w:tab/>
        <w:t>Except as otherwise agreed between the relevant councils, the costs associated with the Assessment Manager for the panel will be borne by the relevant councils in equal shares.</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(3)</w:t>
      </w:r>
      <w:r w:rsidRPr="00622757">
        <w:rPr>
          <w:rFonts w:eastAsia="Times New Roman"/>
          <w:color w:val="000000"/>
          <w:sz w:val="23"/>
          <w:szCs w:val="23"/>
        </w:rPr>
        <w:tab/>
        <w:t>In the event of a claim against a member of the panel in respect of the performance, exercise or discharge (or purported performance, exercise or discharge) of their functions, powers or duties under the Act as a member of the panel, the relevant council for the area where the particular development is to be undertaken will be liable for the cost of the claim.</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(4)</w:t>
      </w:r>
      <w:r w:rsidRPr="00622757">
        <w:rPr>
          <w:rFonts w:eastAsia="Times New Roman"/>
          <w:color w:val="000000"/>
          <w:sz w:val="23"/>
          <w:szCs w:val="23"/>
        </w:rPr>
        <w:tab/>
        <w:t>Except as otherwise agreed between the relevant councils, all other costs will be shared between the relevant councils in equal shares.</w:t>
      </w:r>
    </w:p>
    <w:p w:rsidR="00622757" w:rsidRPr="00622757" w:rsidRDefault="00622757" w:rsidP="00622757">
      <w:pPr>
        <w:keepLines/>
        <w:tabs>
          <w:tab w:val="center" w:pos="397"/>
          <w:tab w:val="left" w:pos="794"/>
        </w:tabs>
        <w:autoSpaceDE w:val="0"/>
        <w:autoSpaceDN w:val="0"/>
        <w:adjustRightInd w:val="0"/>
        <w:spacing w:before="120" w:after="0" w:line="240" w:lineRule="auto"/>
        <w:ind w:left="794" w:hanging="794"/>
        <w:rPr>
          <w:rFonts w:eastAsia="Times New Roman"/>
          <w:color w:val="000000"/>
          <w:sz w:val="23"/>
          <w:szCs w:val="23"/>
        </w:rPr>
      </w:pPr>
      <w:r w:rsidRPr="00622757">
        <w:rPr>
          <w:rFonts w:eastAsia="Times New Roman"/>
          <w:color w:val="000000"/>
          <w:sz w:val="23"/>
          <w:szCs w:val="23"/>
        </w:rPr>
        <w:tab/>
        <w:t>(5)</w:t>
      </w:r>
      <w:r w:rsidRPr="00622757">
        <w:rPr>
          <w:rFonts w:eastAsia="Times New Roman"/>
          <w:color w:val="000000"/>
          <w:sz w:val="23"/>
          <w:szCs w:val="23"/>
        </w:rPr>
        <w:tab/>
        <w:t>The relevant councils may enter into an agreement relating to the incurring of costs by a particular council on behalf of the other councils, and the provision of invoices for the recovery of costs.</w:t>
      </w:r>
    </w:p>
    <w:p w:rsidR="00622757" w:rsidRPr="00622757" w:rsidRDefault="00622757" w:rsidP="00622757">
      <w:pPr>
        <w:keepNext/>
        <w:keepLines/>
        <w:autoSpaceDE w:val="0"/>
        <w:autoSpaceDN w:val="0"/>
        <w:adjustRightInd w:val="0"/>
        <w:spacing w:before="120" w:after="0" w:line="240" w:lineRule="auto"/>
        <w:jc w:val="left"/>
        <w:rPr>
          <w:rFonts w:eastAsia="Times New Roman"/>
          <w:b/>
          <w:bCs/>
          <w:color w:val="000000"/>
          <w:sz w:val="26"/>
          <w:szCs w:val="26"/>
        </w:rPr>
      </w:pPr>
      <w:r w:rsidRPr="00622757">
        <w:rPr>
          <w:rFonts w:eastAsia="Times New Roman"/>
          <w:b/>
          <w:bCs/>
          <w:color w:val="000000"/>
          <w:sz w:val="26"/>
          <w:szCs w:val="26"/>
        </w:rPr>
        <w:t>Made by the Executive Director, Planning and Land Use Services, Department of Planning, Transport and Infrastructure</w:t>
      </w:r>
    </w:p>
    <w:p w:rsidR="00622757" w:rsidRPr="00622757" w:rsidRDefault="00622757" w:rsidP="00622757">
      <w:pPr>
        <w:keepNext/>
        <w:keepLines/>
        <w:autoSpaceDE w:val="0"/>
        <w:autoSpaceDN w:val="0"/>
        <w:adjustRightInd w:val="0"/>
        <w:spacing w:before="120" w:after="0" w:line="240" w:lineRule="auto"/>
        <w:rPr>
          <w:rFonts w:eastAsia="Times New Roman"/>
          <w:b/>
          <w:bCs/>
          <w:color w:val="000000"/>
          <w:sz w:val="26"/>
          <w:szCs w:val="26"/>
        </w:rPr>
      </w:pPr>
      <w:r w:rsidRPr="00622757">
        <w:rPr>
          <w:rFonts w:eastAsia="Times New Roman"/>
          <w:b/>
          <w:bCs/>
          <w:color w:val="000000"/>
          <w:sz w:val="26"/>
          <w:szCs w:val="26"/>
        </w:rPr>
        <w:t>as Delegate of the Minister for Planning</w:t>
      </w:r>
    </w:p>
    <w:p w:rsidR="0006624C" w:rsidRDefault="00622757" w:rsidP="00622757">
      <w:pPr>
        <w:keepNext/>
        <w:keepLines/>
        <w:autoSpaceDE w:val="0"/>
        <w:autoSpaceDN w:val="0"/>
        <w:adjustRightInd w:val="0"/>
        <w:spacing w:after="0" w:line="240" w:lineRule="auto"/>
        <w:rPr>
          <w:rFonts w:eastAsia="Times New Roman"/>
          <w:color w:val="000000"/>
          <w:sz w:val="23"/>
          <w:szCs w:val="23"/>
        </w:rPr>
      </w:pPr>
      <w:r w:rsidRPr="00622757">
        <w:rPr>
          <w:rFonts w:eastAsia="Times New Roman"/>
          <w:color w:val="000000"/>
          <w:sz w:val="23"/>
          <w:szCs w:val="23"/>
        </w:rPr>
        <w:t>on 21 July 2020</w:t>
      </w:r>
    </w:p>
    <w:p w:rsidR="00622757" w:rsidRDefault="00622757" w:rsidP="00622757">
      <w:pPr>
        <w:pBdr>
          <w:bottom w:val="single" w:sz="4" w:space="1" w:color="auto"/>
        </w:pBdr>
        <w:spacing w:after="0" w:line="52" w:lineRule="exact"/>
        <w:jc w:val="center"/>
        <w:rPr>
          <w:lang w:val="en-US"/>
        </w:rPr>
      </w:pPr>
    </w:p>
    <w:p w:rsidR="00622757" w:rsidRDefault="00622757" w:rsidP="00622757">
      <w:pPr>
        <w:pBdr>
          <w:top w:val="single" w:sz="4" w:space="1" w:color="auto"/>
        </w:pBdr>
        <w:spacing w:before="34" w:after="0" w:line="14" w:lineRule="exact"/>
        <w:jc w:val="center"/>
        <w:rPr>
          <w:lang w:val="en-US"/>
        </w:rPr>
      </w:pPr>
    </w:p>
    <w:p w:rsidR="00622757" w:rsidRDefault="00622757" w:rsidP="00622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D52222" w:rsidRDefault="00D52222">
      <w:pPr>
        <w:spacing w:after="0" w:line="240" w:lineRule="auto"/>
        <w:jc w:val="left"/>
        <w:rPr>
          <w:lang w:val="en-US"/>
        </w:rPr>
      </w:pPr>
      <w:r>
        <w:rPr>
          <w:lang w:val="en-US"/>
        </w:rPr>
        <w:br w:type="page"/>
      </w:r>
    </w:p>
    <w:p w:rsidR="004B7EB6" w:rsidRPr="004B7EB6" w:rsidRDefault="00407937" w:rsidP="00407937">
      <w:pPr>
        <w:pStyle w:val="Heading2"/>
        <w:rPr>
          <w:sz w:val="21"/>
          <w:szCs w:val="21"/>
        </w:rPr>
      </w:pPr>
      <w:bookmarkStart w:id="767" w:name="_Toc46398103"/>
      <w:r w:rsidRPr="004B7EB6">
        <w:t>Public Sector Act 2009</w:t>
      </w:r>
      <w:bookmarkEnd w:id="767"/>
    </w:p>
    <w:p w:rsidR="004B7EB6" w:rsidRPr="004B7EB6" w:rsidRDefault="004B7EB6" w:rsidP="00472DD2">
      <w:pPr>
        <w:jc w:val="center"/>
        <w:rPr>
          <w:smallCaps/>
          <w:szCs w:val="17"/>
        </w:rPr>
      </w:pPr>
      <w:r w:rsidRPr="004B7EB6">
        <w:rPr>
          <w:smallCaps/>
          <w:szCs w:val="17"/>
        </w:rPr>
        <w:t>Section 71</w:t>
      </w:r>
    </w:p>
    <w:p w:rsidR="004B7EB6" w:rsidRPr="004B7EB6" w:rsidRDefault="004B7EB6" w:rsidP="00472DD2">
      <w:pPr>
        <w:jc w:val="center"/>
        <w:rPr>
          <w:i/>
          <w:szCs w:val="17"/>
        </w:rPr>
      </w:pPr>
      <w:r w:rsidRPr="004B7EB6">
        <w:rPr>
          <w:i/>
          <w:szCs w:val="17"/>
        </w:rPr>
        <w:t>2020 Ministerial Staff Report</w:t>
      </w:r>
    </w:p>
    <w:p w:rsidR="004B7EB6" w:rsidRPr="004B7EB6" w:rsidRDefault="004B7EB6" w:rsidP="004B7EB6">
      <w:pPr>
        <w:rPr>
          <w:szCs w:val="17"/>
          <w:lang w:val="en-US"/>
        </w:rPr>
      </w:pPr>
      <w:r w:rsidRPr="004B7EB6">
        <w:rPr>
          <w:szCs w:val="17"/>
          <w:lang w:val="en-US"/>
        </w:rPr>
        <w:t xml:space="preserve">Pursuant to section 71 of the </w:t>
      </w:r>
      <w:r w:rsidRPr="004B7EB6">
        <w:rPr>
          <w:i/>
          <w:szCs w:val="17"/>
          <w:lang w:val="en-US"/>
        </w:rPr>
        <w:t>Public Sector Act 2009</w:t>
      </w:r>
      <w:r w:rsidRPr="004B7EB6">
        <w:rPr>
          <w:szCs w:val="17"/>
          <w:lang w:val="en-US"/>
        </w:rPr>
        <w:t>, the following details of all appointments to the Minister’s personal staff under this section is provided as at 17 July 2020.</w:t>
      </w:r>
    </w:p>
    <w:p w:rsidR="004B7EB6" w:rsidRPr="004B7EB6" w:rsidRDefault="004B7EB6" w:rsidP="004B7EB6">
      <w:pPr>
        <w:rPr>
          <w:szCs w:val="17"/>
          <w:lang w:val="en-US"/>
        </w:rPr>
      </w:pPr>
      <w:r w:rsidRPr="004B7EB6">
        <w:rPr>
          <w:szCs w:val="17"/>
          <w:lang w:val="en-US"/>
        </w:rPr>
        <w:t xml:space="preserve">In accordance with the standing practice first introduced with the commencement of the </w:t>
      </w:r>
      <w:r w:rsidRPr="004B7EB6">
        <w:rPr>
          <w:i/>
          <w:szCs w:val="17"/>
          <w:lang w:val="en-US"/>
        </w:rPr>
        <w:t>Public Sector Management Act 1995</w:t>
      </w:r>
      <w:r w:rsidRPr="004B7EB6">
        <w:rPr>
          <w:szCs w:val="17"/>
          <w:lang w:val="en-US"/>
        </w:rPr>
        <w:t xml:space="preserve"> details of employer superannuation liabilities and fringe benefits tax for each employee are not included in this report. These liabilities vary from employee to employee and are not paid directly to the employee. This information is included in aggregate form in salary data contained in departmental annual reports.</w:t>
      </w:r>
    </w:p>
    <w:tbl>
      <w:tblPr>
        <w:tblW w:w="5000" w:type="pct"/>
        <w:tblLayout w:type="fixed"/>
        <w:tblLook w:val="04A0" w:firstRow="1" w:lastRow="0" w:firstColumn="1" w:lastColumn="0" w:noHBand="0" w:noVBand="1"/>
      </w:tblPr>
      <w:tblGrid>
        <w:gridCol w:w="2836"/>
        <w:gridCol w:w="5523"/>
        <w:gridCol w:w="995"/>
      </w:tblGrid>
      <w:tr w:rsidR="004B7EB6" w:rsidRPr="004B7EB6" w:rsidTr="00E51E17">
        <w:trPr>
          <w:cantSplit/>
          <w:trHeight w:val="288"/>
        </w:trPr>
        <w:tc>
          <w:tcPr>
            <w:tcW w:w="1516" w:type="pct"/>
            <w:tcBorders>
              <w:top w:val="nil"/>
              <w:left w:val="nil"/>
              <w:bottom w:val="nil"/>
              <w:right w:val="nil"/>
            </w:tcBorders>
            <w:shd w:val="clear" w:color="auto" w:fill="auto"/>
            <w:noWrap/>
            <w:vAlign w:val="bottom"/>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MINISTER: Premier</w:t>
            </w:r>
          </w:p>
        </w:tc>
        <w:tc>
          <w:tcPr>
            <w:tcW w:w="2952" w:type="pct"/>
            <w:tcBorders>
              <w:top w:val="nil"/>
              <w:left w:val="nil"/>
              <w:bottom w:val="nil"/>
              <w:right w:val="nil"/>
            </w:tcBorders>
            <w:shd w:val="clear" w:color="auto" w:fill="auto"/>
            <w:noWrap/>
            <w:vAlign w:val="bottom"/>
            <w:hideMark/>
          </w:tcPr>
          <w:p w:rsidR="004B7EB6" w:rsidRPr="004B7EB6" w:rsidRDefault="004B7EB6" w:rsidP="004B7EB6">
            <w:pPr>
              <w:spacing w:after="0"/>
              <w:jc w:val="right"/>
              <w:rPr>
                <w:rFonts w:eastAsia="Times New Roman"/>
                <w:color w:val="000000"/>
                <w:szCs w:val="17"/>
                <w:lang w:eastAsia="en-AU"/>
              </w:rPr>
            </w:pPr>
            <w:r w:rsidRPr="004B7EB6">
              <w:rPr>
                <w:rFonts w:eastAsia="Times New Roman"/>
                <w:color w:val="000000"/>
                <w:szCs w:val="17"/>
                <w:lang w:eastAsia="en-AU"/>
              </w:rPr>
              <w:t>Number of Ministerial Staff:</w:t>
            </w:r>
          </w:p>
        </w:tc>
        <w:tc>
          <w:tcPr>
            <w:tcW w:w="532" w:type="pct"/>
            <w:tcBorders>
              <w:top w:val="nil"/>
              <w:left w:val="nil"/>
              <w:bottom w:val="nil"/>
              <w:right w:val="nil"/>
            </w:tcBorders>
            <w:shd w:val="clear" w:color="auto" w:fill="auto"/>
            <w:noWrap/>
            <w:vAlign w:val="bottom"/>
            <w:hideMark/>
          </w:tcPr>
          <w:p w:rsidR="004B7EB6" w:rsidRPr="004B7EB6" w:rsidRDefault="004B7EB6" w:rsidP="004B7EB6">
            <w:pPr>
              <w:spacing w:after="0"/>
              <w:jc w:val="center"/>
              <w:rPr>
                <w:rFonts w:eastAsia="Times New Roman"/>
                <w:b/>
                <w:bCs/>
                <w:color w:val="000000"/>
                <w:szCs w:val="17"/>
                <w:lang w:eastAsia="en-AU"/>
              </w:rPr>
            </w:pPr>
            <w:r w:rsidRPr="004B7EB6">
              <w:rPr>
                <w:rFonts w:eastAsia="Times New Roman"/>
                <w:b/>
                <w:bCs/>
                <w:color w:val="000000"/>
                <w:szCs w:val="17"/>
                <w:lang w:eastAsia="en-AU"/>
              </w:rPr>
              <w:t>38.6 FTE</w:t>
            </w:r>
          </w:p>
        </w:tc>
      </w:tr>
    </w:tbl>
    <w:p w:rsidR="004B7EB6" w:rsidRPr="004B7EB6" w:rsidRDefault="004B7EB6" w:rsidP="004B7EB6">
      <w:pPr>
        <w:spacing w:after="0" w:line="20" w:lineRule="exact"/>
        <w:rPr>
          <w:rFonts w:eastAsia="Times New Roman"/>
          <w:szCs w:val="20"/>
        </w:rPr>
      </w:pPr>
    </w:p>
    <w:tbl>
      <w:tblPr>
        <w:tblW w:w="5000" w:type="pct"/>
        <w:tblLayout w:type="fixed"/>
        <w:tblLook w:val="04A0" w:firstRow="1" w:lastRow="0" w:firstColumn="1" w:lastColumn="0" w:noHBand="0" w:noVBand="1"/>
      </w:tblPr>
      <w:tblGrid>
        <w:gridCol w:w="1844"/>
        <w:gridCol w:w="992"/>
        <w:gridCol w:w="5523"/>
        <w:gridCol w:w="995"/>
      </w:tblGrid>
      <w:tr w:rsidR="004B7EB6" w:rsidRPr="004B7EB6" w:rsidTr="00E51E17">
        <w:trPr>
          <w:cantSplit/>
          <w:trHeight w:val="288"/>
          <w:tblHeader/>
        </w:trPr>
        <w:tc>
          <w:tcPr>
            <w:tcW w:w="986"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APPOINTEE</w:t>
            </w:r>
          </w:p>
        </w:tc>
        <w:tc>
          <w:tcPr>
            <w:tcW w:w="530"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p>
        </w:tc>
        <w:tc>
          <w:tcPr>
            <w:tcW w:w="295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POSITION</w:t>
            </w:r>
          </w:p>
        </w:tc>
        <w:tc>
          <w:tcPr>
            <w:tcW w:w="53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SALARY</w:t>
            </w:r>
          </w:p>
        </w:tc>
      </w:tr>
      <w:tr w:rsidR="004B7EB6" w:rsidRPr="004B7EB6" w:rsidTr="00E51E17">
        <w:trPr>
          <w:cantSplit/>
          <w:trHeight w:val="56"/>
          <w:tblHeader/>
        </w:trPr>
        <w:tc>
          <w:tcPr>
            <w:tcW w:w="986"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b/>
                <w:bCs/>
                <w:color w:val="000000"/>
                <w:szCs w:val="17"/>
                <w:lang w:eastAsia="en-AU"/>
              </w:rPr>
            </w:pPr>
          </w:p>
        </w:tc>
        <w:tc>
          <w:tcPr>
            <w:tcW w:w="530"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color w:val="000000"/>
                <w:szCs w:val="17"/>
                <w:lang w:eastAsia="en-AU"/>
              </w:rPr>
            </w:pPr>
          </w:p>
        </w:tc>
        <w:tc>
          <w:tcPr>
            <w:tcW w:w="2952" w:type="pct"/>
            <w:tcBorders>
              <w:top w:val="nil"/>
              <w:left w:val="nil"/>
              <w:bottom w:val="nil"/>
              <w:right w:val="nil"/>
            </w:tcBorders>
            <w:shd w:val="clear" w:color="auto" w:fill="auto"/>
          </w:tcPr>
          <w:p w:rsidR="004B7EB6" w:rsidRPr="004B7EB6" w:rsidRDefault="004B7EB6" w:rsidP="004B7EB6">
            <w:pPr>
              <w:spacing w:after="0" w:line="20" w:lineRule="exact"/>
              <w:jc w:val="left"/>
              <w:rPr>
                <w:rFonts w:eastAsia="Times New Roman"/>
                <w:color w:val="000000"/>
                <w:szCs w:val="17"/>
                <w:lang w:eastAsia="en-AU"/>
              </w:rPr>
            </w:pPr>
          </w:p>
        </w:tc>
        <w:tc>
          <w:tcPr>
            <w:tcW w:w="532" w:type="pct"/>
            <w:tcBorders>
              <w:top w:val="nil"/>
              <w:left w:val="nil"/>
              <w:bottom w:val="nil"/>
              <w:right w:val="nil"/>
            </w:tcBorders>
            <w:shd w:val="clear" w:color="auto" w:fill="auto"/>
            <w:noWrap/>
          </w:tcPr>
          <w:p w:rsidR="004B7EB6" w:rsidRPr="004B7EB6" w:rsidRDefault="004B7EB6" w:rsidP="004B7EB6">
            <w:pPr>
              <w:spacing w:after="0" w:line="20" w:lineRule="exact"/>
              <w:jc w:val="center"/>
              <w:rPr>
                <w:rFonts w:eastAsia="Times New Roman"/>
                <w:color w:val="000000"/>
                <w:szCs w:val="17"/>
                <w:lang w:eastAsia="en-AU"/>
              </w:rPr>
            </w:pP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Morcombe</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Courtney</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Chief of Staff</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home telephone rental and two thirds of calls, reasonable personal use of mobile phone, carpark, private plated motor vehicle, home delivered newspaper</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$212,456</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Yeeles</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Richard</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Principal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$186,354</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Armanas</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Paul</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Deputy Chief of Staff and Policy &amp; Cabinet Director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$173,400</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Hurn</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Ashton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Media and Communications Director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$153,000</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Heggen</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Belinda</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Senior Media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$142,800</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Cooper</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Angelina</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Media Monitoring Service Manager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$138,749</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Kennedy</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Scott</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Senior Strategy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$136,660</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Charter</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Greg</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Senior Media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(on leave until 19/08/20) 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$136,660</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van Den Brink</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Ruth</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Senior 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$136,660</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McFarlane</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Kathryn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Senior Media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$136,660</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McGregor</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Ken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Media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$127,500</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Robertson</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Kimberley</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Media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color w:val="000000"/>
                <w:szCs w:val="17"/>
                <w:lang w:eastAsia="en-AU"/>
              </w:rPr>
              <w:t xml:space="preserve">(on leave </w:t>
            </w:r>
            <w:r w:rsidRPr="004B7EB6">
              <w:rPr>
                <w:rFonts w:eastAsia="Times New Roman"/>
                <w:i/>
                <w:iCs/>
                <w:color w:val="000000"/>
                <w:szCs w:val="17"/>
                <w:lang w:eastAsia="en-AU"/>
              </w:rPr>
              <w:t>until</w:t>
            </w:r>
            <w:r w:rsidRPr="004B7EB6">
              <w:rPr>
                <w:rFonts w:eastAsia="Times New Roman"/>
                <w:i/>
                <w:color w:val="000000"/>
                <w:szCs w:val="17"/>
                <w:lang w:eastAsia="en-AU"/>
              </w:rPr>
              <w:t xml:space="preserve"> 13/09/20) </w:t>
            </w: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$127,500</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Franchitto</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David</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Media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$127,500</w:t>
            </w:r>
          </w:p>
        </w:tc>
      </w:tr>
      <w:tr w:rsidR="004B7EB6" w:rsidRPr="004B7EB6" w:rsidTr="00E51E17">
        <w:trPr>
          <w:cantSplit/>
          <w:trHeight w:val="20"/>
        </w:trPr>
        <w:tc>
          <w:tcPr>
            <w:tcW w:w="986" w:type="pct"/>
            <w:tcBorders>
              <w:top w:val="nil"/>
              <w:left w:val="nil"/>
              <w:bottom w:val="nil"/>
              <w:right w:val="nil"/>
            </w:tcBorders>
            <w:shd w:val="clear" w:color="auto" w:fill="auto"/>
            <w:noWrap/>
          </w:tcPr>
          <w:p w:rsidR="004B7EB6" w:rsidRPr="004B7EB6" w:rsidRDefault="004B7EB6" w:rsidP="004B7EB6">
            <w:pPr>
              <w:spacing w:after="0"/>
              <w:jc w:val="left"/>
              <w:rPr>
                <w:rFonts w:eastAsia="Times New Roman"/>
                <w:color w:val="000000"/>
                <w:szCs w:val="17"/>
                <w:lang w:eastAsia="en-AU"/>
              </w:rPr>
            </w:pPr>
            <w:r w:rsidRPr="004B7EB6">
              <w:rPr>
                <w:rFonts w:eastAsia="Times New Roman"/>
                <w:b/>
                <w:bCs/>
                <w:color w:val="000000"/>
                <w:szCs w:val="17"/>
                <w:lang w:eastAsia="en-AU"/>
              </w:rPr>
              <w:t>Hancock</w:t>
            </w:r>
          </w:p>
        </w:tc>
        <w:tc>
          <w:tcPr>
            <w:tcW w:w="530" w:type="pct"/>
            <w:tcBorders>
              <w:top w:val="nil"/>
              <w:left w:val="nil"/>
              <w:bottom w:val="nil"/>
              <w:right w:val="nil"/>
            </w:tcBorders>
            <w:shd w:val="clear" w:color="auto" w:fill="auto"/>
            <w:noWrap/>
          </w:tcPr>
          <w:p w:rsidR="004B7EB6" w:rsidRPr="004B7EB6" w:rsidRDefault="004B7EB6" w:rsidP="004B7EB6">
            <w:pPr>
              <w:spacing w:after="0"/>
              <w:jc w:val="left"/>
              <w:rPr>
                <w:rFonts w:eastAsia="Times New Roman"/>
                <w:szCs w:val="17"/>
                <w:lang w:eastAsia="en-AU"/>
              </w:rPr>
            </w:pPr>
            <w:r w:rsidRPr="004B7EB6">
              <w:rPr>
                <w:rFonts w:eastAsia="Times New Roman"/>
                <w:color w:val="000000"/>
                <w:szCs w:val="17"/>
                <w:lang w:eastAsia="en-AU"/>
              </w:rPr>
              <w:t>Eleisa</w:t>
            </w:r>
          </w:p>
        </w:tc>
        <w:tc>
          <w:tcPr>
            <w:tcW w:w="2952" w:type="pct"/>
            <w:tcBorders>
              <w:top w:val="nil"/>
              <w:left w:val="nil"/>
              <w:bottom w:val="nil"/>
              <w:right w:val="nil"/>
            </w:tcBorders>
            <w:shd w:val="clear" w:color="auto" w:fill="auto"/>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Media Adviser</w:t>
            </w:r>
          </w:p>
          <w:p w:rsidR="004B7EB6" w:rsidRPr="004B7EB6" w:rsidRDefault="004B7EB6" w:rsidP="004B7EB6">
            <w:pPr>
              <w:spacing w:after="60"/>
              <w:jc w:val="left"/>
              <w:rPr>
                <w:rFonts w:eastAsia="Times New Roman"/>
                <w:iCs/>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tcPr>
          <w:p w:rsidR="004B7EB6" w:rsidRPr="004B7EB6" w:rsidRDefault="004B7EB6" w:rsidP="004B7EB6">
            <w:pPr>
              <w:spacing w:after="0"/>
              <w:jc w:val="center"/>
              <w:rPr>
                <w:rFonts w:eastAsia="Times New Roman"/>
                <w:iCs/>
                <w:color w:val="000000"/>
                <w:szCs w:val="17"/>
                <w:lang w:eastAsia="en-AU"/>
              </w:rPr>
            </w:pPr>
            <w:r w:rsidRPr="004B7EB6">
              <w:rPr>
                <w:rFonts w:eastAsia="Times New Roman"/>
                <w:color w:val="000000"/>
                <w:szCs w:val="17"/>
                <w:lang w:eastAsia="en-AU"/>
              </w:rPr>
              <w:t>$120,095</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Stokes</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Katrina</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Media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$120,095</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Smith</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Ryan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Media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$120,095</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Halliwell</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Simon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Media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$120,095</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Clappis</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Todd</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Media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$120,095</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Radosevic</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Anton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Digital Content Producer</w:t>
            </w:r>
          </w:p>
          <w:p w:rsidR="004B7EB6" w:rsidRPr="004B7EB6" w:rsidRDefault="004B7EB6" w:rsidP="004B7EB6">
            <w:pPr>
              <w:spacing w:after="60"/>
              <w:jc w:val="left"/>
              <w:rPr>
                <w:rFonts w:eastAsia="Times New Roman"/>
                <w:i/>
                <w:iCs/>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$120,095</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Kenny</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Therese</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$120,095</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Coombe</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Gemma</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Media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$117,740</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Holmes</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Kate</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Wotton</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Jonathon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Church</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Terri</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Executive Assistant and Office Manager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Welch</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Haley</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Astley</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Rebecca</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Neville</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Sally</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Mansell</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Mackenzie</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Communications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Tucker</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Selga</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Digital Content Manager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0.8 FTE , 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$103,530</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Buntain</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Nicholle</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 xml:space="preserve">Principal Monitor, </w:t>
            </w:r>
            <w:r w:rsidRPr="004B7EB6">
              <w:rPr>
                <w:rFonts w:eastAsia="Times New Roman"/>
                <w:i/>
                <w:iCs/>
                <w:color w:val="000000"/>
                <w:szCs w:val="17"/>
                <w:lang w:eastAsia="en-AU"/>
              </w:rPr>
              <w:t>Media</w:t>
            </w:r>
            <w:r w:rsidRPr="004B7EB6">
              <w:rPr>
                <w:rFonts w:eastAsia="Times New Roman"/>
                <w:color w:val="000000"/>
                <w:szCs w:val="17"/>
                <w:lang w:eastAsia="en-AU"/>
              </w:rPr>
              <w:t xml:space="preserve"> Monitoring Service</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$90,551</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Watts-Fawkes</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Aidan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Cs/>
                <w:color w:val="000000"/>
                <w:szCs w:val="17"/>
                <w:lang w:eastAsia="en-AU"/>
              </w:rPr>
            </w:pPr>
            <w:r w:rsidRPr="004B7EB6">
              <w:rPr>
                <w:rFonts w:eastAsia="Times New Roman"/>
                <w:iCs/>
                <w:color w:val="000000"/>
                <w:szCs w:val="17"/>
                <w:lang w:eastAsia="en-AU"/>
              </w:rPr>
              <w:t>Media Monitor</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$75,439</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Allen</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Connie</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Cs/>
                <w:color w:val="000000"/>
                <w:szCs w:val="17"/>
                <w:lang w:eastAsia="en-AU"/>
              </w:rPr>
            </w:pPr>
            <w:r w:rsidRPr="004B7EB6">
              <w:rPr>
                <w:rFonts w:eastAsia="Times New Roman"/>
                <w:iCs/>
                <w:color w:val="000000"/>
                <w:szCs w:val="17"/>
                <w:lang w:eastAsia="en-AU"/>
              </w:rPr>
              <w:t>Media Monitor</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$75,439</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Molligoda Mohottige</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Shelley</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Cs/>
                <w:color w:val="000000"/>
                <w:szCs w:val="17"/>
                <w:lang w:eastAsia="en-AU"/>
              </w:rPr>
            </w:pPr>
            <w:r w:rsidRPr="004B7EB6">
              <w:rPr>
                <w:rFonts w:eastAsia="Times New Roman"/>
                <w:iCs/>
                <w:color w:val="000000"/>
                <w:szCs w:val="17"/>
                <w:lang w:eastAsia="en-AU"/>
              </w:rPr>
              <w:t>Media Monitor</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$75,439</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Priestley</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Laura</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Cs/>
                <w:color w:val="000000"/>
                <w:szCs w:val="17"/>
                <w:lang w:eastAsia="en-AU"/>
              </w:rPr>
            </w:pPr>
            <w:r w:rsidRPr="004B7EB6">
              <w:rPr>
                <w:rFonts w:eastAsia="Times New Roman"/>
                <w:iCs/>
                <w:color w:val="000000"/>
                <w:szCs w:val="17"/>
                <w:lang w:eastAsia="en-AU"/>
              </w:rPr>
              <w:t>Media Monitor</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$75,439</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Thompson</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Jennifer</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Cs/>
                <w:color w:val="000000"/>
                <w:szCs w:val="17"/>
                <w:lang w:eastAsia="en-AU"/>
              </w:rPr>
            </w:pPr>
            <w:r w:rsidRPr="004B7EB6">
              <w:rPr>
                <w:rFonts w:eastAsia="Times New Roman"/>
                <w:iCs/>
                <w:color w:val="000000"/>
                <w:szCs w:val="17"/>
                <w:lang w:eastAsia="en-AU"/>
              </w:rPr>
              <w:t>Media Monitor</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$75,439</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Jarrett</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Melinda</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Cs/>
                <w:color w:val="000000"/>
                <w:szCs w:val="17"/>
                <w:lang w:eastAsia="en-AU"/>
              </w:rPr>
            </w:pPr>
            <w:r w:rsidRPr="004B7EB6">
              <w:rPr>
                <w:rFonts w:eastAsia="Times New Roman"/>
                <w:iCs/>
                <w:color w:val="000000"/>
                <w:szCs w:val="17"/>
                <w:lang w:eastAsia="en-AU"/>
              </w:rPr>
              <w:t>Media Monitor</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$75,439</w:t>
            </w:r>
          </w:p>
        </w:tc>
      </w:tr>
      <w:tr w:rsidR="004B7EB6" w:rsidRPr="004B7EB6" w:rsidTr="00E51E17">
        <w:trPr>
          <w:cantSplit/>
          <w:trHeight w:val="2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Longobardi</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Christian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Cs/>
                <w:color w:val="000000"/>
                <w:szCs w:val="17"/>
                <w:lang w:eastAsia="en-AU"/>
              </w:rPr>
            </w:pPr>
            <w:r w:rsidRPr="004B7EB6">
              <w:rPr>
                <w:rFonts w:eastAsia="Times New Roman"/>
                <w:iCs/>
                <w:color w:val="000000"/>
                <w:szCs w:val="17"/>
                <w:lang w:eastAsia="en-AU"/>
              </w:rPr>
              <w:t>Media Monitor</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$75,439</w:t>
            </w:r>
          </w:p>
        </w:tc>
      </w:tr>
      <w:tr w:rsidR="004B7EB6" w:rsidRPr="004B7EB6" w:rsidTr="00E51E17">
        <w:trPr>
          <w:cantSplit/>
          <w:trHeight w:val="20"/>
        </w:trPr>
        <w:tc>
          <w:tcPr>
            <w:tcW w:w="986" w:type="pct"/>
            <w:tcBorders>
              <w:top w:val="nil"/>
              <w:left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Foote</w:t>
            </w:r>
          </w:p>
        </w:tc>
        <w:tc>
          <w:tcPr>
            <w:tcW w:w="530" w:type="pct"/>
            <w:tcBorders>
              <w:top w:val="nil"/>
              <w:left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Vicki</w:t>
            </w:r>
          </w:p>
        </w:tc>
        <w:tc>
          <w:tcPr>
            <w:tcW w:w="2952" w:type="pct"/>
            <w:tcBorders>
              <w:top w:val="nil"/>
              <w:left w:val="nil"/>
              <w:right w:val="nil"/>
            </w:tcBorders>
            <w:shd w:val="clear" w:color="auto" w:fill="auto"/>
            <w:hideMark/>
          </w:tcPr>
          <w:p w:rsidR="004B7EB6" w:rsidRPr="004B7EB6" w:rsidRDefault="004B7EB6" w:rsidP="004B7EB6">
            <w:pPr>
              <w:spacing w:after="60"/>
              <w:jc w:val="left"/>
              <w:rPr>
                <w:rFonts w:eastAsia="Times New Roman"/>
                <w:iCs/>
                <w:color w:val="000000"/>
                <w:szCs w:val="17"/>
                <w:lang w:eastAsia="en-AU"/>
              </w:rPr>
            </w:pPr>
            <w:r w:rsidRPr="004B7EB6">
              <w:rPr>
                <w:rFonts w:eastAsia="Times New Roman"/>
                <w:iCs/>
                <w:color w:val="000000"/>
                <w:szCs w:val="17"/>
                <w:lang w:eastAsia="en-AU"/>
              </w:rPr>
              <w:t>Media Monitor</w:t>
            </w:r>
          </w:p>
        </w:tc>
        <w:tc>
          <w:tcPr>
            <w:tcW w:w="532" w:type="pct"/>
            <w:tcBorders>
              <w:top w:val="nil"/>
              <w:left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$75,439</w:t>
            </w:r>
          </w:p>
        </w:tc>
      </w:tr>
      <w:tr w:rsidR="004B7EB6" w:rsidRPr="004B7EB6" w:rsidTr="00E51E17">
        <w:trPr>
          <w:cantSplit/>
          <w:trHeight w:val="20"/>
        </w:trPr>
        <w:tc>
          <w:tcPr>
            <w:tcW w:w="986"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Hancock</w:t>
            </w:r>
          </w:p>
        </w:tc>
        <w:tc>
          <w:tcPr>
            <w:tcW w:w="530"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Brandon</w:t>
            </w:r>
          </w:p>
        </w:tc>
        <w:tc>
          <w:tcPr>
            <w:tcW w:w="2952" w:type="pct"/>
            <w:tcBorders>
              <w:top w:val="nil"/>
              <w:left w:val="nil"/>
              <w:bottom w:val="single" w:sz="4" w:space="0" w:color="auto"/>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Digital Content Coordinator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0.8 FTE, reasonable personal use of mobile phone, car park</w:t>
            </w:r>
          </w:p>
        </w:tc>
        <w:tc>
          <w:tcPr>
            <w:tcW w:w="532" w:type="pct"/>
            <w:tcBorders>
              <w:top w:val="nil"/>
              <w:left w:val="nil"/>
              <w:bottom w:val="single" w:sz="4" w:space="0" w:color="auto"/>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$64,000</w:t>
            </w:r>
          </w:p>
        </w:tc>
      </w:tr>
    </w:tbl>
    <w:p w:rsidR="004B7EB6" w:rsidRPr="004B7EB6" w:rsidRDefault="004B7EB6" w:rsidP="004B7EB6">
      <w:pPr>
        <w:spacing w:after="0" w:line="120" w:lineRule="exact"/>
        <w:rPr>
          <w:rFonts w:eastAsia="Times New Roman"/>
          <w:szCs w:val="20"/>
        </w:rPr>
      </w:pPr>
    </w:p>
    <w:tbl>
      <w:tblPr>
        <w:tblW w:w="5000" w:type="pct"/>
        <w:tblLayout w:type="fixed"/>
        <w:tblLook w:val="04A0" w:firstRow="1" w:lastRow="0" w:firstColumn="1" w:lastColumn="0" w:noHBand="0" w:noVBand="1"/>
      </w:tblPr>
      <w:tblGrid>
        <w:gridCol w:w="5809"/>
        <w:gridCol w:w="2550"/>
        <w:gridCol w:w="995"/>
      </w:tblGrid>
      <w:tr w:rsidR="004B7EB6" w:rsidRPr="004B7EB6" w:rsidTr="00E51E17">
        <w:trPr>
          <w:cantSplit/>
          <w:trHeight w:val="288"/>
        </w:trPr>
        <w:tc>
          <w:tcPr>
            <w:tcW w:w="3105" w:type="pct"/>
            <w:tcBorders>
              <w:top w:val="nil"/>
              <w:left w:val="nil"/>
              <w:bottom w:val="nil"/>
              <w:right w:val="nil"/>
            </w:tcBorders>
            <w:shd w:val="clear" w:color="auto" w:fill="auto"/>
            <w:noWrap/>
            <w:vAlign w:val="bottom"/>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MINISTER: Deputy Premier, Attorney-General</w:t>
            </w:r>
          </w:p>
        </w:tc>
        <w:tc>
          <w:tcPr>
            <w:tcW w:w="1363" w:type="pct"/>
            <w:tcBorders>
              <w:top w:val="nil"/>
              <w:left w:val="nil"/>
              <w:bottom w:val="nil"/>
              <w:right w:val="nil"/>
            </w:tcBorders>
            <w:shd w:val="clear" w:color="auto" w:fill="auto"/>
            <w:vAlign w:val="bottom"/>
          </w:tcPr>
          <w:p w:rsidR="004B7EB6" w:rsidRPr="004B7EB6" w:rsidRDefault="004B7EB6" w:rsidP="004B7EB6">
            <w:pPr>
              <w:spacing w:after="0"/>
              <w:jc w:val="center"/>
              <w:rPr>
                <w:rFonts w:eastAsia="Times New Roman"/>
                <w:bCs/>
                <w:color w:val="000000"/>
                <w:szCs w:val="17"/>
                <w:lang w:eastAsia="en-AU"/>
              </w:rPr>
            </w:pPr>
            <w:r w:rsidRPr="004B7EB6">
              <w:rPr>
                <w:rFonts w:eastAsia="Times New Roman"/>
                <w:bCs/>
                <w:color w:val="000000"/>
                <w:szCs w:val="17"/>
                <w:lang w:eastAsia="en-AU"/>
              </w:rPr>
              <w:t>Number of Ministerial Staff:</w:t>
            </w:r>
          </w:p>
        </w:tc>
        <w:tc>
          <w:tcPr>
            <w:tcW w:w="532" w:type="pct"/>
            <w:vAlign w:val="bottom"/>
          </w:tcPr>
          <w:p w:rsidR="004B7EB6" w:rsidRPr="004B7EB6" w:rsidRDefault="004B7EB6" w:rsidP="004B7EB6">
            <w:pPr>
              <w:spacing w:after="0"/>
              <w:jc w:val="center"/>
              <w:rPr>
                <w:rFonts w:eastAsia="Times New Roman"/>
                <w:b/>
                <w:bCs/>
                <w:color w:val="000000"/>
                <w:szCs w:val="17"/>
                <w:lang w:eastAsia="en-AU"/>
              </w:rPr>
            </w:pPr>
            <w:r w:rsidRPr="004B7EB6">
              <w:rPr>
                <w:rFonts w:eastAsia="Times New Roman"/>
                <w:b/>
                <w:bCs/>
                <w:color w:val="000000"/>
                <w:szCs w:val="17"/>
                <w:lang w:eastAsia="en-AU"/>
              </w:rPr>
              <w:t>3.6 FTE</w:t>
            </w:r>
          </w:p>
        </w:tc>
      </w:tr>
    </w:tbl>
    <w:p w:rsidR="004B7EB6" w:rsidRPr="004B7EB6" w:rsidRDefault="004B7EB6" w:rsidP="004B7EB6">
      <w:pPr>
        <w:spacing w:after="0" w:line="20" w:lineRule="exact"/>
        <w:rPr>
          <w:rFonts w:eastAsia="Times New Roman"/>
          <w:szCs w:val="20"/>
        </w:rPr>
      </w:pPr>
    </w:p>
    <w:tbl>
      <w:tblPr>
        <w:tblW w:w="5000" w:type="pct"/>
        <w:tblLayout w:type="fixed"/>
        <w:tblLook w:val="04A0" w:firstRow="1" w:lastRow="0" w:firstColumn="1" w:lastColumn="0" w:noHBand="0" w:noVBand="1"/>
      </w:tblPr>
      <w:tblGrid>
        <w:gridCol w:w="1844"/>
        <w:gridCol w:w="992"/>
        <w:gridCol w:w="5523"/>
        <w:gridCol w:w="995"/>
      </w:tblGrid>
      <w:tr w:rsidR="004B7EB6" w:rsidRPr="004B7EB6" w:rsidTr="00E51E17">
        <w:trPr>
          <w:cantSplit/>
          <w:trHeight w:val="288"/>
          <w:tblHeader/>
        </w:trPr>
        <w:tc>
          <w:tcPr>
            <w:tcW w:w="986"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APPOINTEE</w:t>
            </w:r>
          </w:p>
        </w:tc>
        <w:tc>
          <w:tcPr>
            <w:tcW w:w="530"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p>
        </w:tc>
        <w:tc>
          <w:tcPr>
            <w:tcW w:w="295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POSITION</w:t>
            </w:r>
          </w:p>
        </w:tc>
        <w:tc>
          <w:tcPr>
            <w:tcW w:w="53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SALARY</w:t>
            </w:r>
          </w:p>
        </w:tc>
      </w:tr>
      <w:tr w:rsidR="004B7EB6" w:rsidRPr="004B7EB6" w:rsidTr="00E51E17">
        <w:trPr>
          <w:cantSplit/>
          <w:trHeight w:val="56"/>
          <w:tblHeader/>
        </w:trPr>
        <w:tc>
          <w:tcPr>
            <w:tcW w:w="986"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b/>
                <w:bCs/>
                <w:color w:val="000000"/>
                <w:szCs w:val="17"/>
                <w:lang w:eastAsia="en-AU"/>
              </w:rPr>
            </w:pPr>
          </w:p>
        </w:tc>
        <w:tc>
          <w:tcPr>
            <w:tcW w:w="530"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color w:val="000000"/>
                <w:szCs w:val="17"/>
                <w:lang w:eastAsia="en-AU"/>
              </w:rPr>
            </w:pPr>
          </w:p>
        </w:tc>
        <w:tc>
          <w:tcPr>
            <w:tcW w:w="2952" w:type="pct"/>
            <w:tcBorders>
              <w:top w:val="nil"/>
              <w:left w:val="nil"/>
              <w:bottom w:val="nil"/>
              <w:right w:val="nil"/>
            </w:tcBorders>
            <w:shd w:val="clear" w:color="auto" w:fill="auto"/>
          </w:tcPr>
          <w:p w:rsidR="004B7EB6" w:rsidRPr="004B7EB6" w:rsidRDefault="004B7EB6" w:rsidP="004B7EB6">
            <w:pPr>
              <w:spacing w:after="0" w:line="20" w:lineRule="exact"/>
              <w:jc w:val="left"/>
              <w:rPr>
                <w:rFonts w:eastAsia="Times New Roman"/>
                <w:color w:val="000000"/>
                <w:szCs w:val="17"/>
                <w:lang w:eastAsia="en-AU"/>
              </w:rPr>
            </w:pPr>
          </w:p>
        </w:tc>
        <w:tc>
          <w:tcPr>
            <w:tcW w:w="532" w:type="pct"/>
            <w:tcBorders>
              <w:top w:val="nil"/>
              <w:left w:val="nil"/>
              <w:bottom w:val="nil"/>
              <w:right w:val="nil"/>
            </w:tcBorders>
            <w:shd w:val="clear" w:color="auto" w:fill="auto"/>
            <w:noWrap/>
          </w:tcPr>
          <w:p w:rsidR="004B7EB6" w:rsidRPr="004B7EB6" w:rsidRDefault="004B7EB6" w:rsidP="004B7EB6">
            <w:pPr>
              <w:spacing w:after="0" w:line="20" w:lineRule="exact"/>
              <w:jc w:val="center"/>
              <w:rPr>
                <w:rFonts w:eastAsia="Times New Roman"/>
                <w:color w:val="000000"/>
                <w:szCs w:val="17"/>
                <w:lang w:eastAsia="en-AU"/>
              </w:rPr>
            </w:pPr>
          </w:p>
        </w:tc>
      </w:tr>
      <w:tr w:rsidR="004B7EB6" w:rsidRPr="004B7EB6" w:rsidTr="00E51E17">
        <w:trPr>
          <w:cantSplit/>
          <w:trHeight w:val="283"/>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Carney</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Jodeen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Chief of Staff</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$165,648</w:t>
            </w:r>
          </w:p>
        </w:tc>
      </w:tr>
      <w:tr w:rsidR="004B7EB6" w:rsidRPr="004B7EB6" w:rsidTr="00E51E17">
        <w:trPr>
          <w:cantSplit/>
          <w:trHeight w:val="283"/>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Church</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Madeleine</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Senior 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$136,660</w:t>
            </w:r>
          </w:p>
        </w:tc>
      </w:tr>
      <w:tr w:rsidR="004B7EB6" w:rsidRPr="004B7EB6" w:rsidTr="00E51E17">
        <w:trPr>
          <w:cantSplit/>
          <w:trHeight w:val="283"/>
        </w:trPr>
        <w:tc>
          <w:tcPr>
            <w:tcW w:w="986" w:type="pct"/>
            <w:tcBorders>
              <w:top w:val="nil"/>
              <w:left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Block</w:t>
            </w:r>
          </w:p>
        </w:tc>
        <w:tc>
          <w:tcPr>
            <w:tcW w:w="530" w:type="pct"/>
            <w:tcBorders>
              <w:top w:val="nil"/>
              <w:left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Ingo</w:t>
            </w:r>
          </w:p>
        </w:tc>
        <w:tc>
          <w:tcPr>
            <w:tcW w:w="2952" w:type="pct"/>
            <w:tcBorders>
              <w:top w:val="nil"/>
              <w:left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283"/>
        </w:trPr>
        <w:tc>
          <w:tcPr>
            <w:tcW w:w="986"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Jaworski</w:t>
            </w:r>
          </w:p>
        </w:tc>
        <w:tc>
          <w:tcPr>
            <w:tcW w:w="530"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Louise</w:t>
            </w:r>
          </w:p>
        </w:tc>
        <w:tc>
          <w:tcPr>
            <w:tcW w:w="2952" w:type="pct"/>
            <w:tcBorders>
              <w:top w:val="nil"/>
              <w:left w:val="nil"/>
              <w:bottom w:val="single" w:sz="4" w:space="0" w:color="auto"/>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0.6 FTE, reasonable personal use of mobile phone, car park</w:t>
            </w:r>
          </w:p>
        </w:tc>
        <w:tc>
          <w:tcPr>
            <w:tcW w:w="532" w:type="pct"/>
            <w:tcBorders>
              <w:top w:val="nil"/>
              <w:left w:val="nil"/>
              <w:bottom w:val="single" w:sz="4" w:space="0" w:color="auto"/>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$67,709</w:t>
            </w:r>
          </w:p>
        </w:tc>
      </w:tr>
    </w:tbl>
    <w:p w:rsidR="004B7EB6" w:rsidRPr="004B7EB6" w:rsidRDefault="004B7EB6" w:rsidP="004B7EB6">
      <w:pPr>
        <w:spacing w:after="0" w:line="120" w:lineRule="exact"/>
        <w:rPr>
          <w:rFonts w:eastAsia="Times New Roman"/>
          <w:szCs w:val="20"/>
        </w:rPr>
      </w:pPr>
    </w:p>
    <w:tbl>
      <w:tblPr>
        <w:tblW w:w="5000" w:type="pct"/>
        <w:tblLayout w:type="fixed"/>
        <w:tblLook w:val="04A0" w:firstRow="1" w:lastRow="0" w:firstColumn="1" w:lastColumn="0" w:noHBand="0" w:noVBand="1"/>
      </w:tblPr>
      <w:tblGrid>
        <w:gridCol w:w="2834"/>
        <w:gridCol w:w="5523"/>
        <w:gridCol w:w="997"/>
      </w:tblGrid>
      <w:tr w:rsidR="004B7EB6" w:rsidRPr="004B7EB6" w:rsidTr="00E51E17">
        <w:trPr>
          <w:cantSplit/>
          <w:trHeight w:val="288"/>
        </w:trPr>
        <w:tc>
          <w:tcPr>
            <w:tcW w:w="1515" w:type="pct"/>
            <w:tcBorders>
              <w:top w:val="nil"/>
              <w:left w:val="nil"/>
              <w:bottom w:val="nil"/>
              <w:right w:val="nil"/>
            </w:tcBorders>
            <w:shd w:val="clear" w:color="auto" w:fill="auto"/>
            <w:noWrap/>
            <w:vAlign w:val="bottom"/>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MINISTER: Treasurer</w:t>
            </w:r>
          </w:p>
        </w:tc>
        <w:tc>
          <w:tcPr>
            <w:tcW w:w="2952" w:type="pct"/>
            <w:tcBorders>
              <w:top w:val="nil"/>
              <w:left w:val="nil"/>
              <w:bottom w:val="nil"/>
              <w:right w:val="nil"/>
            </w:tcBorders>
            <w:shd w:val="clear" w:color="auto" w:fill="auto"/>
            <w:noWrap/>
            <w:vAlign w:val="bottom"/>
            <w:hideMark/>
          </w:tcPr>
          <w:p w:rsidR="004B7EB6" w:rsidRPr="004B7EB6" w:rsidRDefault="004B7EB6" w:rsidP="004B7EB6">
            <w:pPr>
              <w:spacing w:after="0"/>
              <w:jc w:val="right"/>
              <w:rPr>
                <w:rFonts w:eastAsia="Times New Roman"/>
                <w:bCs/>
                <w:color w:val="000000"/>
                <w:szCs w:val="17"/>
                <w:lang w:eastAsia="en-AU"/>
              </w:rPr>
            </w:pPr>
            <w:r w:rsidRPr="004B7EB6">
              <w:rPr>
                <w:rFonts w:eastAsia="Times New Roman"/>
                <w:bCs/>
                <w:color w:val="000000"/>
                <w:szCs w:val="17"/>
                <w:lang w:eastAsia="en-AU"/>
              </w:rPr>
              <w:t>Number of Ministerial Staff:</w:t>
            </w:r>
          </w:p>
        </w:tc>
        <w:tc>
          <w:tcPr>
            <w:tcW w:w="533" w:type="pct"/>
            <w:tcBorders>
              <w:top w:val="nil"/>
              <w:left w:val="nil"/>
              <w:bottom w:val="nil"/>
              <w:right w:val="nil"/>
            </w:tcBorders>
            <w:shd w:val="clear" w:color="auto" w:fill="auto"/>
            <w:noWrap/>
            <w:vAlign w:val="bottom"/>
            <w:hideMark/>
          </w:tcPr>
          <w:p w:rsidR="004B7EB6" w:rsidRPr="004B7EB6" w:rsidRDefault="004B7EB6" w:rsidP="004B7EB6">
            <w:pPr>
              <w:spacing w:after="0"/>
              <w:jc w:val="center"/>
              <w:rPr>
                <w:rFonts w:eastAsia="Times New Roman"/>
                <w:b/>
                <w:bCs/>
                <w:color w:val="000000"/>
                <w:szCs w:val="17"/>
                <w:lang w:eastAsia="en-AU"/>
              </w:rPr>
            </w:pPr>
            <w:r w:rsidRPr="004B7EB6">
              <w:rPr>
                <w:rFonts w:eastAsia="Times New Roman"/>
                <w:b/>
                <w:bCs/>
                <w:color w:val="000000"/>
                <w:szCs w:val="17"/>
                <w:lang w:eastAsia="en-AU"/>
              </w:rPr>
              <w:t>5 FTE</w:t>
            </w:r>
          </w:p>
        </w:tc>
      </w:tr>
    </w:tbl>
    <w:p w:rsidR="004B7EB6" w:rsidRPr="004B7EB6" w:rsidRDefault="004B7EB6" w:rsidP="004B7EB6">
      <w:pPr>
        <w:spacing w:after="0" w:line="20" w:lineRule="exact"/>
        <w:rPr>
          <w:rFonts w:eastAsia="Times New Roman"/>
          <w:szCs w:val="20"/>
        </w:rPr>
      </w:pPr>
    </w:p>
    <w:tbl>
      <w:tblPr>
        <w:tblW w:w="5000" w:type="pct"/>
        <w:tblLayout w:type="fixed"/>
        <w:tblLook w:val="04A0" w:firstRow="1" w:lastRow="0" w:firstColumn="1" w:lastColumn="0" w:noHBand="0" w:noVBand="1"/>
      </w:tblPr>
      <w:tblGrid>
        <w:gridCol w:w="1844"/>
        <w:gridCol w:w="992"/>
        <w:gridCol w:w="5523"/>
        <w:gridCol w:w="995"/>
      </w:tblGrid>
      <w:tr w:rsidR="004B7EB6" w:rsidRPr="004B7EB6" w:rsidTr="00E51E17">
        <w:trPr>
          <w:cantSplit/>
          <w:trHeight w:val="288"/>
          <w:tblHeader/>
        </w:trPr>
        <w:tc>
          <w:tcPr>
            <w:tcW w:w="986"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APPOINTEE</w:t>
            </w:r>
          </w:p>
        </w:tc>
        <w:tc>
          <w:tcPr>
            <w:tcW w:w="530"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p>
        </w:tc>
        <w:tc>
          <w:tcPr>
            <w:tcW w:w="295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POSITION</w:t>
            </w:r>
          </w:p>
        </w:tc>
        <w:tc>
          <w:tcPr>
            <w:tcW w:w="53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SALARY</w:t>
            </w:r>
          </w:p>
        </w:tc>
      </w:tr>
      <w:tr w:rsidR="004B7EB6" w:rsidRPr="004B7EB6" w:rsidTr="00E51E17">
        <w:trPr>
          <w:cantSplit/>
          <w:trHeight w:val="56"/>
          <w:tblHeader/>
        </w:trPr>
        <w:tc>
          <w:tcPr>
            <w:tcW w:w="986"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b/>
                <w:bCs/>
                <w:color w:val="000000"/>
                <w:szCs w:val="17"/>
                <w:lang w:eastAsia="en-AU"/>
              </w:rPr>
            </w:pPr>
          </w:p>
        </w:tc>
        <w:tc>
          <w:tcPr>
            <w:tcW w:w="530"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color w:val="000000"/>
                <w:szCs w:val="17"/>
                <w:lang w:eastAsia="en-AU"/>
              </w:rPr>
            </w:pPr>
          </w:p>
        </w:tc>
        <w:tc>
          <w:tcPr>
            <w:tcW w:w="2952" w:type="pct"/>
            <w:tcBorders>
              <w:top w:val="nil"/>
              <w:left w:val="nil"/>
              <w:bottom w:val="nil"/>
              <w:right w:val="nil"/>
            </w:tcBorders>
            <w:shd w:val="clear" w:color="auto" w:fill="auto"/>
          </w:tcPr>
          <w:p w:rsidR="004B7EB6" w:rsidRPr="004B7EB6" w:rsidRDefault="004B7EB6" w:rsidP="004B7EB6">
            <w:pPr>
              <w:spacing w:after="0" w:line="20" w:lineRule="exact"/>
              <w:jc w:val="left"/>
              <w:rPr>
                <w:rFonts w:eastAsia="Times New Roman"/>
                <w:color w:val="000000"/>
                <w:szCs w:val="17"/>
                <w:lang w:eastAsia="en-AU"/>
              </w:rPr>
            </w:pPr>
          </w:p>
        </w:tc>
        <w:tc>
          <w:tcPr>
            <w:tcW w:w="532" w:type="pct"/>
            <w:tcBorders>
              <w:top w:val="nil"/>
              <w:left w:val="nil"/>
              <w:bottom w:val="nil"/>
              <w:right w:val="nil"/>
            </w:tcBorders>
            <w:shd w:val="clear" w:color="auto" w:fill="auto"/>
            <w:noWrap/>
          </w:tcPr>
          <w:p w:rsidR="004B7EB6" w:rsidRPr="004B7EB6" w:rsidRDefault="004B7EB6" w:rsidP="004B7EB6">
            <w:pPr>
              <w:spacing w:after="0" w:line="20" w:lineRule="exact"/>
              <w:jc w:val="center"/>
              <w:rPr>
                <w:rFonts w:eastAsia="Times New Roman"/>
                <w:color w:val="000000"/>
                <w:szCs w:val="17"/>
                <w:lang w:eastAsia="en-AU"/>
              </w:rPr>
            </w:pPr>
          </w:p>
        </w:tc>
      </w:tr>
      <w:tr w:rsidR="004B7EB6" w:rsidRPr="004B7EB6" w:rsidTr="00E51E17">
        <w:trPr>
          <w:cantSplit/>
          <w:trHeight w:val="283"/>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De Gennaro</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Luigi</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Chief of Staff</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$165,648</w:t>
            </w:r>
          </w:p>
        </w:tc>
      </w:tr>
      <w:tr w:rsidR="004B7EB6" w:rsidRPr="004B7EB6" w:rsidTr="00E51E17">
        <w:trPr>
          <w:cantSplit/>
          <w:trHeight w:val="283"/>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Robertson</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Julian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Senior 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$136,660</w:t>
            </w:r>
          </w:p>
        </w:tc>
      </w:tr>
      <w:tr w:rsidR="004B7EB6" w:rsidRPr="004B7EB6" w:rsidTr="00E51E17">
        <w:trPr>
          <w:cantSplit/>
          <w:trHeight w:val="283"/>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Mesisca</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Luigi</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283"/>
        </w:trPr>
        <w:tc>
          <w:tcPr>
            <w:tcW w:w="986" w:type="pct"/>
            <w:tcBorders>
              <w:top w:val="nil"/>
              <w:left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Marciano</w:t>
            </w:r>
          </w:p>
        </w:tc>
        <w:tc>
          <w:tcPr>
            <w:tcW w:w="530" w:type="pct"/>
            <w:tcBorders>
              <w:top w:val="nil"/>
              <w:left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Nino</w:t>
            </w:r>
          </w:p>
        </w:tc>
        <w:tc>
          <w:tcPr>
            <w:tcW w:w="2952" w:type="pct"/>
            <w:tcBorders>
              <w:top w:val="nil"/>
              <w:left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283"/>
        </w:trPr>
        <w:tc>
          <w:tcPr>
            <w:tcW w:w="986"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Matas</w:t>
            </w:r>
          </w:p>
        </w:tc>
        <w:tc>
          <w:tcPr>
            <w:tcW w:w="530"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Susan</w:t>
            </w:r>
          </w:p>
        </w:tc>
        <w:tc>
          <w:tcPr>
            <w:tcW w:w="2952" w:type="pct"/>
            <w:tcBorders>
              <w:top w:val="nil"/>
              <w:left w:val="nil"/>
              <w:bottom w:val="single" w:sz="4" w:space="0" w:color="auto"/>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single" w:sz="4" w:space="0" w:color="auto"/>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bl>
    <w:p w:rsidR="004B7EB6" w:rsidRPr="004B7EB6" w:rsidRDefault="004B7EB6" w:rsidP="004B7EB6">
      <w:pPr>
        <w:spacing w:after="0" w:line="120" w:lineRule="exact"/>
        <w:rPr>
          <w:rFonts w:eastAsia="Times New Roman"/>
          <w:szCs w:val="20"/>
        </w:rPr>
      </w:pPr>
    </w:p>
    <w:tbl>
      <w:tblPr>
        <w:tblW w:w="5000" w:type="pct"/>
        <w:tblLayout w:type="fixed"/>
        <w:tblLook w:val="04A0" w:firstRow="1" w:lastRow="0" w:firstColumn="1" w:lastColumn="0" w:noHBand="0" w:noVBand="1"/>
      </w:tblPr>
      <w:tblGrid>
        <w:gridCol w:w="5951"/>
        <w:gridCol w:w="2408"/>
        <w:gridCol w:w="995"/>
      </w:tblGrid>
      <w:tr w:rsidR="004B7EB6" w:rsidRPr="004B7EB6" w:rsidTr="00E51E17">
        <w:trPr>
          <w:cantSplit/>
          <w:trHeight w:val="288"/>
        </w:trPr>
        <w:tc>
          <w:tcPr>
            <w:tcW w:w="3181" w:type="pct"/>
            <w:tcBorders>
              <w:top w:val="nil"/>
              <w:left w:val="nil"/>
              <w:bottom w:val="nil"/>
              <w:right w:val="nil"/>
            </w:tcBorders>
            <w:shd w:val="clear" w:color="auto" w:fill="auto"/>
            <w:noWrap/>
            <w:vAlign w:val="center"/>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MINISTER: Minister for Transport, Infrastructure and Local Government, Minister for Planning</w:t>
            </w:r>
          </w:p>
        </w:tc>
        <w:tc>
          <w:tcPr>
            <w:tcW w:w="1287" w:type="pct"/>
            <w:tcBorders>
              <w:top w:val="nil"/>
              <w:left w:val="nil"/>
              <w:bottom w:val="nil"/>
              <w:right w:val="nil"/>
            </w:tcBorders>
            <w:shd w:val="clear" w:color="auto" w:fill="auto"/>
            <w:noWrap/>
            <w:vAlign w:val="bottom"/>
          </w:tcPr>
          <w:p w:rsidR="004B7EB6" w:rsidRPr="004B7EB6" w:rsidRDefault="004B7EB6" w:rsidP="004B7EB6">
            <w:pPr>
              <w:spacing w:after="0"/>
              <w:jc w:val="center"/>
              <w:rPr>
                <w:rFonts w:eastAsia="Times New Roman"/>
                <w:bCs/>
                <w:color w:val="000000"/>
                <w:szCs w:val="17"/>
                <w:lang w:eastAsia="en-AU"/>
              </w:rPr>
            </w:pPr>
            <w:r w:rsidRPr="004B7EB6">
              <w:rPr>
                <w:rFonts w:eastAsia="Times New Roman"/>
                <w:bCs/>
                <w:color w:val="000000"/>
                <w:szCs w:val="17"/>
                <w:lang w:eastAsia="en-AU"/>
              </w:rPr>
              <w:t>Number of Ministerial Staff:</w:t>
            </w:r>
          </w:p>
        </w:tc>
        <w:tc>
          <w:tcPr>
            <w:tcW w:w="532" w:type="pct"/>
            <w:vAlign w:val="bottom"/>
          </w:tcPr>
          <w:p w:rsidR="004B7EB6" w:rsidRPr="004B7EB6" w:rsidRDefault="004B7EB6" w:rsidP="004B7EB6">
            <w:pPr>
              <w:spacing w:after="0"/>
              <w:jc w:val="center"/>
              <w:rPr>
                <w:rFonts w:eastAsia="Times New Roman"/>
                <w:b/>
                <w:bCs/>
                <w:color w:val="000000"/>
                <w:szCs w:val="17"/>
                <w:lang w:eastAsia="en-AU"/>
              </w:rPr>
            </w:pPr>
            <w:r w:rsidRPr="004B7EB6">
              <w:rPr>
                <w:rFonts w:eastAsia="Times New Roman"/>
                <w:b/>
                <w:bCs/>
                <w:color w:val="000000"/>
                <w:szCs w:val="17"/>
                <w:lang w:eastAsia="en-AU"/>
              </w:rPr>
              <w:t>6 FTE</w:t>
            </w:r>
          </w:p>
        </w:tc>
      </w:tr>
    </w:tbl>
    <w:p w:rsidR="004B7EB6" w:rsidRPr="004B7EB6" w:rsidRDefault="004B7EB6" w:rsidP="004B7EB6">
      <w:pPr>
        <w:spacing w:after="0" w:line="20" w:lineRule="exact"/>
        <w:rPr>
          <w:rFonts w:eastAsia="Times New Roman"/>
          <w:szCs w:val="20"/>
        </w:rPr>
      </w:pPr>
    </w:p>
    <w:tbl>
      <w:tblPr>
        <w:tblW w:w="5000" w:type="pct"/>
        <w:tblLayout w:type="fixed"/>
        <w:tblLook w:val="04A0" w:firstRow="1" w:lastRow="0" w:firstColumn="1" w:lastColumn="0" w:noHBand="0" w:noVBand="1"/>
      </w:tblPr>
      <w:tblGrid>
        <w:gridCol w:w="1844"/>
        <w:gridCol w:w="992"/>
        <w:gridCol w:w="5523"/>
        <w:gridCol w:w="995"/>
      </w:tblGrid>
      <w:tr w:rsidR="004B7EB6" w:rsidRPr="004B7EB6" w:rsidTr="00E51E17">
        <w:trPr>
          <w:cantSplit/>
          <w:trHeight w:val="288"/>
          <w:tblHeader/>
        </w:trPr>
        <w:tc>
          <w:tcPr>
            <w:tcW w:w="986"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APPOINTEE</w:t>
            </w:r>
          </w:p>
        </w:tc>
        <w:tc>
          <w:tcPr>
            <w:tcW w:w="530"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p>
        </w:tc>
        <w:tc>
          <w:tcPr>
            <w:tcW w:w="295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POSITION</w:t>
            </w:r>
          </w:p>
        </w:tc>
        <w:tc>
          <w:tcPr>
            <w:tcW w:w="53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SALARY</w:t>
            </w:r>
          </w:p>
        </w:tc>
      </w:tr>
      <w:tr w:rsidR="004B7EB6" w:rsidRPr="004B7EB6" w:rsidTr="00E51E17">
        <w:trPr>
          <w:cantSplit/>
          <w:trHeight w:val="56"/>
          <w:tblHeader/>
        </w:trPr>
        <w:tc>
          <w:tcPr>
            <w:tcW w:w="986"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b/>
                <w:bCs/>
                <w:color w:val="000000"/>
                <w:szCs w:val="17"/>
                <w:lang w:eastAsia="en-AU"/>
              </w:rPr>
            </w:pPr>
          </w:p>
        </w:tc>
        <w:tc>
          <w:tcPr>
            <w:tcW w:w="530"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color w:val="000000"/>
                <w:szCs w:val="17"/>
                <w:lang w:eastAsia="en-AU"/>
              </w:rPr>
            </w:pPr>
          </w:p>
        </w:tc>
        <w:tc>
          <w:tcPr>
            <w:tcW w:w="2952" w:type="pct"/>
            <w:tcBorders>
              <w:top w:val="nil"/>
              <w:left w:val="nil"/>
              <w:bottom w:val="nil"/>
              <w:right w:val="nil"/>
            </w:tcBorders>
            <w:shd w:val="clear" w:color="auto" w:fill="auto"/>
          </w:tcPr>
          <w:p w:rsidR="004B7EB6" w:rsidRPr="004B7EB6" w:rsidRDefault="004B7EB6" w:rsidP="004B7EB6">
            <w:pPr>
              <w:spacing w:after="0" w:line="20" w:lineRule="exact"/>
              <w:jc w:val="left"/>
              <w:rPr>
                <w:rFonts w:eastAsia="Times New Roman"/>
                <w:color w:val="000000"/>
                <w:szCs w:val="17"/>
                <w:lang w:eastAsia="en-AU"/>
              </w:rPr>
            </w:pPr>
          </w:p>
        </w:tc>
        <w:tc>
          <w:tcPr>
            <w:tcW w:w="532" w:type="pct"/>
            <w:tcBorders>
              <w:top w:val="nil"/>
              <w:left w:val="nil"/>
              <w:bottom w:val="nil"/>
              <w:right w:val="nil"/>
            </w:tcBorders>
            <w:shd w:val="clear" w:color="auto" w:fill="auto"/>
            <w:noWrap/>
          </w:tcPr>
          <w:p w:rsidR="004B7EB6" w:rsidRPr="004B7EB6" w:rsidRDefault="004B7EB6" w:rsidP="004B7EB6">
            <w:pPr>
              <w:spacing w:after="0" w:line="20" w:lineRule="exact"/>
              <w:jc w:val="center"/>
              <w:rPr>
                <w:rFonts w:eastAsia="Times New Roman"/>
                <w:color w:val="000000"/>
                <w:szCs w:val="17"/>
                <w:lang w:eastAsia="en-AU"/>
              </w:rPr>
            </w:pP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Taylor</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Sarah</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Chief of Staff</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$165,648</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Colmer</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David</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Senior 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$136,660</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Builder</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Suzanne</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i/>
                <w:iCs/>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Nourse</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Courtney</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86" w:type="pct"/>
            <w:tcBorders>
              <w:top w:val="nil"/>
              <w:left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Bluck</w:t>
            </w:r>
          </w:p>
        </w:tc>
        <w:tc>
          <w:tcPr>
            <w:tcW w:w="530" w:type="pct"/>
            <w:tcBorders>
              <w:top w:val="nil"/>
              <w:left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George</w:t>
            </w:r>
          </w:p>
        </w:tc>
        <w:tc>
          <w:tcPr>
            <w:tcW w:w="2952" w:type="pct"/>
            <w:tcBorders>
              <w:top w:val="nil"/>
              <w:left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86"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Henderson</w:t>
            </w:r>
          </w:p>
        </w:tc>
        <w:tc>
          <w:tcPr>
            <w:tcW w:w="530"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Cameron</w:t>
            </w:r>
          </w:p>
        </w:tc>
        <w:tc>
          <w:tcPr>
            <w:tcW w:w="2952" w:type="pct"/>
            <w:tcBorders>
              <w:top w:val="nil"/>
              <w:left w:val="nil"/>
              <w:bottom w:val="single" w:sz="4" w:space="0" w:color="auto"/>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single" w:sz="4" w:space="0" w:color="auto"/>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bl>
    <w:p w:rsidR="004B7EB6" w:rsidRPr="004B7EB6" w:rsidRDefault="004B7EB6" w:rsidP="004B7EB6">
      <w:pPr>
        <w:spacing w:after="0" w:line="120" w:lineRule="exact"/>
        <w:rPr>
          <w:rFonts w:eastAsia="Times New Roman"/>
          <w:szCs w:val="20"/>
        </w:rPr>
      </w:pPr>
    </w:p>
    <w:tbl>
      <w:tblPr>
        <w:tblW w:w="5000" w:type="pct"/>
        <w:tblLayout w:type="fixed"/>
        <w:tblLook w:val="04A0" w:firstRow="1" w:lastRow="0" w:firstColumn="1" w:lastColumn="0" w:noHBand="0" w:noVBand="1"/>
      </w:tblPr>
      <w:tblGrid>
        <w:gridCol w:w="5598"/>
        <w:gridCol w:w="2761"/>
        <w:gridCol w:w="995"/>
      </w:tblGrid>
      <w:tr w:rsidR="004B7EB6" w:rsidRPr="004B7EB6" w:rsidTr="00E51E17">
        <w:trPr>
          <w:cantSplit/>
          <w:trHeight w:val="288"/>
        </w:trPr>
        <w:tc>
          <w:tcPr>
            <w:tcW w:w="2992" w:type="pct"/>
            <w:tcBorders>
              <w:top w:val="nil"/>
              <w:left w:val="nil"/>
              <w:bottom w:val="nil"/>
              <w:right w:val="nil"/>
            </w:tcBorders>
            <w:shd w:val="clear" w:color="auto" w:fill="auto"/>
            <w:noWrap/>
            <w:vAlign w:val="bottom"/>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MINISTER: Minister for Education</w:t>
            </w:r>
          </w:p>
        </w:tc>
        <w:tc>
          <w:tcPr>
            <w:tcW w:w="1476" w:type="pct"/>
            <w:tcBorders>
              <w:top w:val="nil"/>
              <w:left w:val="nil"/>
              <w:bottom w:val="nil"/>
              <w:right w:val="nil"/>
            </w:tcBorders>
            <w:shd w:val="clear" w:color="auto" w:fill="auto"/>
            <w:vAlign w:val="bottom"/>
          </w:tcPr>
          <w:p w:rsidR="004B7EB6" w:rsidRPr="004B7EB6" w:rsidRDefault="004B7EB6" w:rsidP="004B7EB6">
            <w:pPr>
              <w:spacing w:after="0"/>
              <w:jc w:val="right"/>
              <w:rPr>
                <w:rFonts w:eastAsia="Times New Roman"/>
                <w:bCs/>
                <w:color w:val="000000"/>
                <w:szCs w:val="17"/>
                <w:lang w:eastAsia="en-AU"/>
              </w:rPr>
            </w:pPr>
            <w:r w:rsidRPr="004B7EB6">
              <w:rPr>
                <w:rFonts w:eastAsia="Times New Roman"/>
                <w:bCs/>
                <w:color w:val="000000"/>
                <w:szCs w:val="17"/>
                <w:lang w:eastAsia="en-AU"/>
              </w:rPr>
              <w:t>Number of Ministerial Staff:</w:t>
            </w:r>
          </w:p>
        </w:tc>
        <w:tc>
          <w:tcPr>
            <w:tcW w:w="532" w:type="pct"/>
            <w:vAlign w:val="bottom"/>
          </w:tcPr>
          <w:p w:rsidR="004B7EB6" w:rsidRPr="004B7EB6" w:rsidRDefault="004B7EB6" w:rsidP="004B7EB6">
            <w:pPr>
              <w:spacing w:after="0"/>
              <w:jc w:val="center"/>
              <w:rPr>
                <w:rFonts w:eastAsia="Times New Roman"/>
                <w:b/>
                <w:bCs/>
                <w:color w:val="000000"/>
                <w:szCs w:val="17"/>
                <w:lang w:eastAsia="en-AU"/>
              </w:rPr>
            </w:pPr>
            <w:r w:rsidRPr="004B7EB6">
              <w:rPr>
                <w:rFonts w:eastAsia="Times New Roman"/>
                <w:b/>
                <w:bCs/>
                <w:color w:val="000000"/>
                <w:szCs w:val="17"/>
                <w:lang w:eastAsia="en-AU"/>
              </w:rPr>
              <w:t>4.8 FTE</w:t>
            </w:r>
          </w:p>
        </w:tc>
      </w:tr>
    </w:tbl>
    <w:p w:rsidR="004B7EB6" w:rsidRPr="004B7EB6" w:rsidRDefault="004B7EB6" w:rsidP="004B7EB6">
      <w:pPr>
        <w:spacing w:after="0" w:line="20" w:lineRule="exact"/>
        <w:rPr>
          <w:rFonts w:eastAsia="Times New Roman"/>
          <w:szCs w:val="20"/>
        </w:rPr>
      </w:pPr>
    </w:p>
    <w:tbl>
      <w:tblPr>
        <w:tblW w:w="5000" w:type="pct"/>
        <w:tblLayout w:type="fixed"/>
        <w:tblLook w:val="04A0" w:firstRow="1" w:lastRow="0" w:firstColumn="1" w:lastColumn="0" w:noHBand="0" w:noVBand="1"/>
      </w:tblPr>
      <w:tblGrid>
        <w:gridCol w:w="1700"/>
        <w:gridCol w:w="1136"/>
        <w:gridCol w:w="5523"/>
        <w:gridCol w:w="995"/>
      </w:tblGrid>
      <w:tr w:rsidR="004B7EB6" w:rsidRPr="004B7EB6" w:rsidTr="00E51E17">
        <w:trPr>
          <w:cantSplit/>
          <w:trHeight w:val="288"/>
          <w:tblHeader/>
        </w:trPr>
        <w:tc>
          <w:tcPr>
            <w:tcW w:w="909"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APPOINTEE</w:t>
            </w:r>
          </w:p>
        </w:tc>
        <w:tc>
          <w:tcPr>
            <w:tcW w:w="607"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p>
        </w:tc>
        <w:tc>
          <w:tcPr>
            <w:tcW w:w="295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POSITION</w:t>
            </w:r>
          </w:p>
        </w:tc>
        <w:tc>
          <w:tcPr>
            <w:tcW w:w="53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SALARY</w:t>
            </w:r>
          </w:p>
        </w:tc>
      </w:tr>
      <w:tr w:rsidR="004B7EB6" w:rsidRPr="004B7EB6" w:rsidTr="00E51E17">
        <w:trPr>
          <w:cantSplit/>
          <w:trHeight w:val="56"/>
          <w:tblHeader/>
        </w:trPr>
        <w:tc>
          <w:tcPr>
            <w:tcW w:w="909"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b/>
                <w:bCs/>
                <w:color w:val="000000"/>
                <w:szCs w:val="17"/>
                <w:lang w:eastAsia="en-AU"/>
              </w:rPr>
            </w:pPr>
          </w:p>
        </w:tc>
        <w:tc>
          <w:tcPr>
            <w:tcW w:w="607"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color w:val="000000"/>
                <w:szCs w:val="17"/>
                <w:lang w:eastAsia="en-AU"/>
              </w:rPr>
            </w:pPr>
          </w:p>
        </w:tc>
        <w:tc>
          <w:tcPr>
            <w:tcW w:w="2952" w:type="pct"/>
            <w:tcBorders>
              <w:top w:val="nil"/>
              <w:left w:val="nil"/>
              <w:bottom w:val="nil"/>
              <w:right w:val="nil"/>
            </w:tcBorders>
            <w:shd w:val="clear" w:color="auto" w:fill="auto"/>
          </w:tcPr>
          <w:p w:rsidR="004B7EB6" w:rsidRPr="004B7EB6" w:rsidRDefault="004B7EB6" w:rsidP="004B7EB6">
            <w:pPr>
              <w:spacing w:after="0" w:line="20" w:lineRule="exact"/>
              <w:jc w:val="left"/>
              <w:rPr>
                <w:rFonts w:eastAsia="Times New Roman"/>
                <w:color w:val="000000"/>
                <w:szCs w:val="17"/>
                <w:lang w:eastAsia="en-AU"/>
              </w:rPr>
            </w:pPr>
          </w:p>
        </w:tc>
        <w:tc>
          <w:tcPr>
            <w:tcW w:w="532" w:type="pct"/>
            <w:tcBorders>
              <w:top w:val="nil"/>
              <w:left w:val="nil"/>
              <w:bottom w:val="nil"/>
              <w:right w:val="nil"/>
            </w:tcBorders>
            <w:shd w:val="clear" w:color="auto" w:fill="auto"/>
            <w:noWrap/>
          </w:tcPr>
          <w:p w:rsidR="004B7EB6" w:rsidRPr="004B7EB6" w:rsidRDefault="004B7EB6" w:rsidP="004B7EB6">
            <w:pPr>
              <w:spacing w:after="0" w:line="20" w:lineRule="exact"/>
              <w:jc w:val="center"/>
              <w:rPr>
                <w:rFonts w:eastAsia="Times New Roman"/>
                <w:color w:val="000000"/>
                <w:szCs w:val="17"/>
                <w:lang w:eastAsia="en-AU"/>
              </w:rPr>
            </w:pPr>
          </w:p>
        </w:tc>
      </w:tr>
      <w:tr w:rsidR="004B7EB6" w:rsidRPr="004B7EB6" w:rsidTr="00E51E17">
        <w:trPr>
          <w:cantSplit/>
          <w:trHeight w:val="340"/>
        </w:trPr>
        <w:tc>
          <w:tcPr>
            <w:tcW w:w="909"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Bauer</w:t>
            </w:r>
          </w:p>
        </w:tc>
        <w:tc>
          <w:tcPr>
            <w:tcW w:w="607"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Cheryl</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Chief of Staff</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$165,648</w:t>
            </w:r>
          </w:p>
        </w:tc>
      </w:tr>
      <w:tr w:rsidR="004B7EB6" w:rsidRPr="004B7EB6" w:rsidTr="00E51E17">
        <w:trPr>
          <w:cantSplit/>
          <w:trHeight w:val="340"/>
        </w:trPr>
        <w:tc>
          <w:tcPr>
            <w:tcW w:w="909"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Costello</w:t>
            </w:r>
          </w:p>
        </w:tc>
        <w:tc>
          <w:tcPr>
            <w:tcW w:w="607"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Garry</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Senior 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$136,660</w:t>
            </w:r>
          </w:p>
        </w:tc>
      </w:tr>
      <w:tr w:rsidR="004B7EB6" w:rsidRPr="004B7EB6" w:rsidTr="00E51E17">
        <w:trPr>
          <w:cantSplit/>
          <w:trHeight w:val="340"/>
        </w:trPr>
        <w:tc>
          <w:tcPr>
            <w:tcW w:w="909"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Lynas</w:t>
            </w:r>
          </w:p>
        </w:tc>
        <w:tc>
          <w:tcPr>
            <w:tcW w:w="607"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Rebecca</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09" w:type="pct"/>
            <w:tcBorders>
              <w:top w:val="nil"/>
              <w:left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Hennessy</w:t>
            </w:r>
          </w:p>
        </w:tc>
        <w:tc>
          <w:tcPr>
            <w:tcW w:w="607" w:type="pct"/>
            <w:tcBorders>
              <w:top w:val="nil"/>
              <w:left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Sarah</w:t>
            </w:r>
          </w:p>
        </w:tc>
        <w:tc>
          <w:tcPr>
            <w:tcW w:w="2952" w:type="pct"/>
            <w:tcBorders>
              <w:top w:val="nil"/>
              <w:left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09"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Mathwin</w:t>
            </w:r>
          </w:p>
        </w:tc>
        <w:tc>
          <w:tcPr>
            <w:tcW w:w="607"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Sally-Louise</w:t>
            </w:r>
          </w:p>
        </w:tc>
        <w:tc>
          <w:tcPr>
            <w:tcW w:w="2952" w:type="pct"/>
            <w:tcBorders>
              <w:top w:val="nil"/>
              <w:left w:val="nil"/>
              <w:bottom w:val="single" w:sz="4" w:space="0" w:color="auto"/>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0.8, reasonable personal use of mobile phone, car park</w:t>
            </w:r>
          </w:p>
        </w:tc>
        <w:tc>
          <w:tcPr>
            <w:tcW w:w="532" w:type="pct"/>
            <w:tcBorders>
              <w:top w:val="nil"/>
              <w:left w:val="nil"/>
              <w:bottom w:val="single" w:sz="4" w:space="0" w:color="auto"/>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$90,278</w:t>
            </w:r>
          </w:p>
        </w:tc>
      </w:tr>
    </w:tbl>
    <w:p w:rsidR="004B7EB6" w:rsidRPr="004B7EB6" w:rsidRDefault="004B7EB6" w:rsidP="004B7EB6">
      <w:pPr>
        <w:spacing w:after="0" w:line="120" w:lineRule="exact"/>
        <w:rPr>
          <w:rFonts w:eastAsia="Times New Roman"/>
          <w:szCs w:val="20"/>
        </w:rPr>
      </w:pPr>
    </w:p>
    <w:tbl>
      <w:tblPr>
        <w:tblW w:w="5000" w:type="pct"/>
        <w:tblLayout w:type="fixed"/>
        <w:tblLook w:val="04A0" w:firstRow="1" w:lastRow="0" w:firstColumn="1" w:lastColumn="0" w:noHBand="0" w:noVBand="1"/>
      </w:tblPr>
      <w:tblGrid>
        <w:gridCol w:w="5809"/>
        <w:gridCol w:w="2550"/>
        <w:gridCol w:w="995"/>
      </w:tblGrid>
      <w:tr w:rsidR="004B7EB6" w:rsidRPr="004B7EB6" w:rsidTr="00E51E17">
        <w:trPr>
          <w:cantSplit/>
          <w:trHeight w:val="288"/>
        </w:trPr>
        <w:tc>
          <w:tcPr>
            <w:tcW w:w="3105" w:type="pct"/>
            <w:tcBorders>
              <w:top w:val="nil"/>
              <w:left w:val="nil"/>
              <w:bottom w:val="nil"/>
              <w:right w:val="nil"/>
            </w:tcBorders>
            <w:shd w:val="clear" w:color="auto" w:fill="auto"/>
            <w:noWrap/>
            <w:vAlign w:val="bottom"/>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MINISTER: Minister for Trade and Investment</w:t>
            </w:r>
          </w:p>
        </w:tc>
        <w:tc>
          <w:tcPr>
            <w:tcW w:w="1363" w:type="pct"/>
            <w:tcBorders>
              <w:top w:val="nil"/>
              <w:left w:val="nil"/>
              <w:bottom w:val="nil"/>
              <w:right w:val="nil"/>
            </w:tcBorders>
            <w:shd w:val="clear" w:color="auto" w:fill="auto"/>
            <w:vAlign w:val="bottom"/>
          </w:tcPr>
          <w:p w:rsidR="004B7EB6" w:rsidRPr="004B7EB6" w:rsidRDefault="004B7EB6" w:rsidP="004B7EB6">
            <w:pPr>
              <w:spacing w:after="0"/>
              <w:jc w:val="right"/>
              <w:rPr>
                <w:rFonts w:eastAsia="Times New Roman"/>
                <w:bCs/>
                <w:color w:val="000000"/>
                <w:szCs w:val="17"/>
                <w:lang w:eastAsia="en-AU"/>
              </w:rPr>
            </w:pPr>
            <w:r w:rsidRPr="004B7EB6">
              <w:rPr>
                <w:rFonts w:eastAsia="Times New Roman"/>
                <w:bCs/>
                <w:color w:val="000000"/>
                <w:szCs w:val="17"/>
                <w:lang w:eastAsia="en-AU"/>
              </w:rPr>
              <w:t>Number of Ministerial Staff:</w:t>
            </w:r>
          </w:p>
        </w:tc>
        <w:tc>
          <w:tcPr>
            <w:tcW w:w="532" w:type="pct"/>
            <w:vAlign w:val="bottom"/>
          </w:tcPr>
          <w:p w:rsidR="004B7EB6" w:rsidRPr="004B7EB6" w:rsidRDefault="004B7EB6" w:rsidP="004B7EB6">
            <w:pPr>
              <w:spacing w:after="0"/>
              <w:jc w:val="center"/>
              <w:rPr>
                <w:rFonts w:eastAsia="Times New Roman"/>
                <w:b/>
                <w:bCs/>
                <w:color w:val="000000"/>
                <w:szCs w:val="17"/>
                <w:lang w:eastAsia="en-AU"/>
              </w:rPr>
            </w:pPr>
            <w:r w:rsidRPr="004B7EB6">
              <w:rPr>
                <w:rFonts w:eastAsia="Times New Roman"/>
                <w:b/>
                <w:bCs/>
                <w:color w:val="000000"/>
                <w:szCs w:val="17"/>
                <w:lang w:eastAsia="en-AU"/>
              </w:rPr>
              <w:t>3 FTE</w:t>
            </w:r>
          </w:p>
        </w:tc>
      </w:tr>
    </w:tbl>
    <w:p w:rsidR="004B7EB6" w:rsidRPr="004B7EB6" w:rsidRDefault="004B7EB6" w:rsidP="004B7EB6">
      <w:pPr>
        <w:spacing w:after="0" w:line="20" w:lineRule="exact"/>
        <w:rPr>
          <w:rFonts w:eastAsia="Times New Roman"/>
          <w:szCs w:val="20"/>
        </w:rPr>
      </w:pPr>
    </w:p>
    <w:tbl>
      <w:tblPr>
        <w:tblW w:w="5000" w:type="pct"/>
        <w:tblLayout w:type="fixed"/>
        <w:tblLook w:val="04A0" w:firstRow="1" w:lastRow="0" w:firstColumn="1" w:lastColumn="0" w:noHBand="0" w:noVBand="1"/>
      </w:tblPr>
      <w:tblGrid>
        <w:gridCol w:w="1844"/>
        <w:gridCol w:w="992"/>
        <w:gridCol w:w="5523"/>
        <w:gridCol w:w="995"/>
      </w:tblGrid>
      <w:tr w:rsidR="004B7EB6" w:rsidRPr="004B7EB6" w:rsidTr="00E51E17">
        <w:trPr>
          <w:cantSplit/>
          <w:trHeight w:val="288"/>
          <w:tblHeader/>
        </w:trPr>
        <w:tc>
          <w:tcPr>
            <w:tcW w:w="986"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APPOINTEE</w:t>
            </w:r>
          </w:p>
        </w:tc>
        <w:tc>
          <w:tcPr>
            <w:tcW w:w="530"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p>
        </w:tc>
        <w:tc>
          <w:tcPr>
            <w:tcW w:w="295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POSITION</w:t>
            </w:r>
          </w:p>
        </w:tc>
        <w:tc>
          <w:tcPr>
            <w:tcW w:w="53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SALARY</w:t>
            </w:r>
          </w:p>
        </w:tc>
      </w:tr>
      <w:tr w:rsidR="004B7EB6" w:rsidRPr="004B7EB6" w:rsidTr="00E51E17">
        <w:trPr>
          <w:cantSplit/>
          <w:trHeight w:val="56"/>
          <w:tblHeader/>
        </w:trPr>
        <w:tc>
          <w:tcPr>
            <w:tcW w:w="986"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b/>
                <w:bCs/>
                <w:color w:val="000000"/>
                <w:szCs w:val="17"/>
                <w:lang w:eastAsia="en-AU"/>
              </w:rPr>
            </w:pPr>
          </w:p>
        </w:tc>
        <w:tc>
          <w:tcPr>
            <w:tcW w:w="530"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color w:val="000000"/>
                <w:szCs w:val="17"/>
                <w:lang w:eastAsia="en-AU"/>
              </w:rPr>
            </w:pPr>
          </w:p>
        </w:tc>
        <w:tc>
          <w:tcPr>
            <w:tcW w:w="2952" w:type="pct"/>
            <w:tcBorders>
              <w:top w:val="nil"/>
              <w:left w:val="nil"/>
              <w:bottom w:val="nil"/>
              <w:right w:val="nil"/>
            </w:tcBorders>
            <w:shd w:val="clear" w:color="auto" w:fill="auto"/>
          </w:tcPr>
          <w:p w:rsidR="004B7EB6" w:rsidRPr="004B7EB6" w:rsidRDefault="004B7EB6" w:rsidP="004B7EB6">
            <w:pPr>
              <w:spacing w:after="0" w:line="20" w:lineRule="exact"/>
              <w:jc w:val="left"/>
              <w:rPr>
                <w:rFonts w:eastAsia="Times New Roman"/>
                <w:color w:val="000000"/>
                <w:szCs w:val="17"/>
                <w:lang w:eastAsia="en-AU"/>
              </w:rPr>
            </w:pPr>
          </w:p>
        </w:tc>
        <w:tc>
          <w:tcPr>
            <w:tcW w:w="532" w:type="pct"/>
            <w:tcBorders>
              <w:top w:val="nil"/>
              <w:left w:val="nil"/>
              <w:bottom w:val="nil"/>
              <w:right w:val="nil"/>
            </w:tcBorders>
            <w:shd w:val="clear" w:color="auto" w:fill="auto"/>
            <w:noWrap/>
          </w:tcPr>
          <w:p w:rsidR="004B7EB6" w:rsidRPr="004B7EB6" w:rsidRDefault="004B7EB6" w:rsidP="004B7EB6">
            <w:pPr>
              <w:spacing w:after="0" w:line="20" w:lineRule="exact"/>
              <w:jc w:val="center"/>
              <w:rPr>
                <w:rFonts w:eastAsia="Times New Roman"/>
                <w:color w:val="000000"/>
                <w:szCs w:val="17"/>
                <w:lang w:eastAsia="en-AU"/>
              </w:rPr>
            </w:pP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Ockenden</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Andrew</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Chief of Staff</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$165,648</w:t>
            </w:r>
          </w:p>
        </w:tc>
      </w:tr>
      <w:tr w:rsidR="004B7EB6" w:rsidRPr="004B7EB6" w:rsidTr="00E51E17">
        <w:trPr>
          <w:cantSplit/>
          <w:trHeight w:val="340"/>
        </w:trPr>
        <w:tc>
          <w:tcPr>
            <w:tcW w:w="986" w:type="pct"/>
            <w:tcBorders>
              <w:top w:val="nil"/>
              <w:left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Thomas</w:t>
            </w:r>
          </w:p>
        </w:tc>
        <w:tc>
          <w:tcPr>
            <w:tcW w:w="530" w:type="pct"/>
            <w:tcBorders>
              <w:top w:val="nil"/>
              <w:left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Rowan</w:t>
            </w:r>
          </w:p>
        </w:tc>
        <w:tc>
          <w:tcPr>
            <w:tcW w:w="2952" w:type="pct"/>
            <w:tcBorders>
              <w:top w:val="nil"/>
              <w:left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86"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Duff</w:t>
            </w:r>
          </w:p>
        </w:tc>
        <w:tc>
          <w:tcPr>
            <w:tcW w:w="530"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Aaron</w:t>
            </w:r>
          </w:p>
        </w:tc>
        <w:tc>
          <w:tcPr>
            <w:tcW w:w="2952" w:type="pct"/>
            <w:tcBorders>
              <w:top w:val="nil"/>
              <w:left w:val="nil"/>
              <w:bottom w:val="single" w:sz="4" w:space="0" w:color="auto"/>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single" w:sz="4" w:space="0" w:color="auto"/>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bl>
    <w:p w:rsidR="004B7EB6" w:rsidRPr="004B7EB6" w:rsidRDefault="004B7EB6" w:rsidP="004B7EB6">
      <w:pPr>
        <w:spacing w:after="0" w:line="120" w:lineRule="exact"/>
        <w:rPr>
          <w:rFonts w:eastAsia="Times New Roman"/>
          <w:szCs w:val="20"/>
        </w:rPr>
      </w:pPr>
    </w:p>
    <w:tbl>
      <w:tblPr>
        <w:tblW w:w="5000" w:type="pct"/>
        <w:tblLayout w:type="fixed"/>
        <w:tblLook w:val="04A0" w:firstRow="1" w:lastRow="0" w:firstColumn="1" w:lastColumn="0" w:noHBand="0" w:noVBand="1"/>
      </w:tblPr>
      <w:tblGrid>
        <w:gridCol w:w="5809"/>
        <w:gridCol w:w="2550"/>
        <w:gridCol w:w="995"/>
      </w:tblGrid>
      <w:tr w:rsidR="004B7EB6" w:rsidRPr="004B7EB6" w:rsidTr="00E51E17">
        <w:trPr>
          <w:cantSplit/>
          <w:trHeight w:val="288"/>
        </w:trPr>
        <w:tc>
          <w:tcPr>
            <w:tcW w:w="3105" w:type="pct"/>
            <w:tcBorders>
              <w:top w:val="nil"/>
              <w:left w:val="nil"/>
              <w:bottom w:val="nil"/>
              <w:right w:val="nil"/>
            </w:tcBorders>
            <w:shd w:val="clear" w:color="auto" w:fill="auto"/>
            <w:noWrap/>
            <w:vAlign w:val="bottom"/>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MINISTER: Minister for Human Services</w:t>
            </w:r>
          </w:p>
        </w:tc>
        <w:tc>
          <w:tcPr>
            <w:tcW w:w="1363" w:type="pct"/>
            <w:tcBorders>
              <w:top w:val="nil"/>
              <w:left w:val="nil"/>
              <w:bottom w:val="nil"/>
              <w:right w:val="nil"/>
            </w:tcBorders>
            <w:shd w:val="clear" w:color="auto" w:fill="auto"/>
            <w:vAlign w:val="bottom"/>
          </w:tcPr>
          <w:p w:rsidR="004B7EB6" w:rsidRPr="004B7EB6" w:rsidRDefault="004B7EB6" w:rsidP="004B7EB6">
            <w:pPr>
              <w:spacing w:after="0"/>
              <w:jc w:val="right"/>
              <w:rPr>
                <w:rFonts w:eastAsia="Times New Roman"/>
                <w:bCs/>
                <w:color w:val="000000"/>
                <w:szCs w:val="17"/>
                <w:lang w:eastAsia="en-AU"/>
              </w:rPr>
            </w:pPr>
            <w:r w:rsidRPr="004B7EB6">
              <w:rPr>
                <w:rFonts w:eastAsia="Times New Roman"/>
                <w:bCs/>
                <w:color w:val="000000"/>
                <w:szCs w:val="17"/>
                <w:lang w:eastAsia="en-AU"/>
              </w:rPr>
              <w:t>Number of Ministerial Staff:</w:t>
            </w:r>
          </w:p>
        </w:tc>
        <w:tc>
          <w:tcPr>
            <w:tcW w:w="532" w:type="pct"/>
            <w:vAlign w:val="bottom"/>
          </w:tcPr>
          <w:p w:rsidR="004B7EB6" w:rsidRPr="004B7EB6" w:rsidRDefault="004B7EB6" w:rsidP="004B7EB6">
            <w:pPr>
              <w:spacing w:after="0"/>
              <w:jc w:val="center"/>
              <w:rPr>
                <w:rFonts w:eastAsia="Times New Roman"/>
                <w:b/>
                <w:bCs/>
                <w:color w:val="000000"/>
                <w:szCs w:val="17"/>
                <w:lang w:eastAsia="en-AU"/>
              </w:rPr>
            </w:pPr>
            <w:r w:rsidRPr="004B7EB6">
              <w:rPr>
                <w:rFonts w:eastAsia="Times New Roman"/>
                <w:b/>
                <w:bCs/>
                <w:color w:val="000000"/>
                <w:szCs w:val="17"/>
                <w:lang w:eastAsia="en-AU"/>
              </w:rPr>
              <w:t>4 FTE</w:t>
            </w:r>
          </w:p>
        </w:tc>
      </w:tr>
    </w:tbl>
    <w:p w:rsidR="004B7EB6" w:rsidRPr="004B7EB6" w:rsidRDefault="004B7EB6" w:rsidP="004B7EB6">
      <w:pPr>
        <w:spacing w:after="0" w:line="20" w:lineRule="exact"/>
        <w:rPr>
          <w:rFonts w:eastAsia="Times New Roman"/>
          <w:szCs w:val="20"/>
        </w:rPr>
      </w:pPr>
    </w:p>
    <w:tbl>
      <w:tblPr>
        <w:tblW w:w="5000" w:type="pct"/>
        <w:tblLayout w:type="fixed"/>
        <w:tblLook w:val="04A0" w:firstRow="1" w:lastRow="0" w:firstColumn="1" w:lastColumn="0" w:noHBand="0" w:noVBand="1"/>
      </w:tblPr>
      <w:tblGrid>
        <w:gridCol w:w="1844"/>
        <w:gridCol w:w="992"/>
        <w:gridCol w:w="5523"/>
        <w:gridCol w:w="995"/>
      </w:tblGrid>
      <w:tr w:rsidR="004B7EB6" w:rsidRPr="004B7EB6" w:rsidTr="00E51E17">
        <w:trPr>
          <w:cantSplit/>
          <w:trHeight w:val="288"/>
          <w:tblHeader/>
        </w:trPr>
        <w:tc>
          <w:tcPr>
            <w:tcW w:w="986"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APPOINTEE</w:t>
            </w:r>
          </w:p>
        </w:tc>
        <w:tc>
          <w:tcPr>
            <w:tcW w:w="530"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p>
        </w:tc>
        <w:tc>
          <w:tcPr>
            <w:tcW w:w="295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POSITION</w:t>
            </w:r>
          </w:p>
        </w:tc>
        <w:tc>
          <w:tcPr>
            <w:tcW w:w="53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SALARY</w:t>
            </w:r>
          </w:p>
        </w:tc>
      </w:tr>
      <w:tr w:rsidR="004B7EB6" w:rsidRPr="004B7EB6" w:rsidTr="00E51E17">
        <w:trPr>
          <w:cantSplit/>
          <w:trHeight w:val="56"/>
          <w:tblHeader/>
        </w:trPr>
        <w:tc>
          <w:tcPr>
            <w:tcW w:w="986"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b/>
                <w:bCs/>
                <w:color w:val="000000"/>
                <w:szCs w:val="17"/>
                <w:lang w:eastAsia="en-AU"/>
              </w:rPr>
            </w:pPr>
          </w:p>
        </w:tc>
        <w:tc>
          <w:tcPr>
            <w:tcW w:w="530"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color w:val="000000"/>
                <w:szCs w:val="17"/>
                <w:lang w:eastAsia="en-AU"/>
              </w:rPr>
            </w:pPr>
          </w:p>
        </w:tc>
        <w:tc>
          <w:tcPr>
            <w:tcW w:w="2952" w:type="pct"/>
            <w:tcBorders>
              <w:top w:val="nil"/>
              <w:left w:val="nil"/>
              <w:bottom w:val="nil"/>
              <w:right w:val="nil"/>
            </w:tcBorders>
            <w:shd w:val="clear" w:color="auto" w:fill="auto"/>
          </w:tcPr>
          <w:p w:rsidR="004B7EB6" w:rsidRPr="004B7EB6" w:rsidRDefault="004B7EB6" w:rsidP="004B7EB6">
            <w:pPr>
              <w:spacing w:after="0" w:line="20" w:lineRule="exact"/>
              <w:jc w:val="left"/>
              <w:rPr>
                <w:rFonts w:eastAsia="Times New Roman"/>
                <w:color w:val="000000"/>
                <w:szCs w:val="17"/>
                <w:lang w:eastAsia="en-AU"/>
              </w:rPr>
            </w:pPr>
          </w:p>
        </w:tc>
        <w:tc>
          <w:tcPr>
            <w:tcW w:w="532" w:type="pct"/>
            <w:tcBorders>
              <w:top w:val="nil"/>
              <w:left w:val="nil"/>
              <w:bottom w:val="nil"/>
              <w:right w:val="nil"/>
            </w:tcBorders>
            <w:shd w:val="clear" w:color="auto" w:fill="auto"/>
            <w:noWrap/>
          </w:tcPr>
          <w:p w:rsidR="004B7EB6" w:rsidRPr="004B7EB6" w:rsidRDefault="004B7EB6" w:rsidP="004B7EB6">
            <w:pPr>
              <w:spacing w:after="0" w:line="20" w:lineRule="exact"/>
              <w:jc w:val="center"/>
              <w:rPr>
                <w:rFonts w:eastAsia="Times New Roman"/>
                <w:color w:val="000000"/>
                <w:szCs w:val="17"/>
                <w:lang w:eastAsia="en-AU"/>
              </w:rPr>
            </w:pP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Hancock</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Janette</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Chief of Staff</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$165,648</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Darling</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Zoe</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Booth</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Vikki</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86" w:type="pct"/>
            <w:tcBorders>
              <w:top w:val="nil"/>
              <w:left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Maddeford</w:t>
            </w:r>
          </w:p>
        </w:tc>
        <w:tc>
          <w:tcPr>
            <w:tcW w:w="530" w:type="pct"/>
            <w:tcBorders>
              <w:top w:val="nil"/>
              <w:left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Selena</w:t>
            </w:r>
          </w:p>
        </w:tc>
        <w:tc>
          <w:tcPr>
            <w:tcW w:w="2952" w:type="pct"/>
            <w:tcBorders>
              <w:top w:val="nil"/>
              <w:left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0.7 FTE, reasonable personal use of mobile phone, car park</w:t>
            </w:r>
          </w:p>
        </w:tc>
        <w:tc>
          <w:tcPr>
            <w:tcW w:w="532" w:type="pct"/>
            <w:tcBorders>
              <w:top w:val="nil"/>
              <w:left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$78,994</w:t>
            </w:r>
          </w:p>
        </w:tc>
      </w:tr>
      <w:tr w:rsidR="004B7EB6" w:rsidRPr="004B7EB6" w:rsidTr="00E51E17">
        <w:trPr>
          <w:cantSplit/>
          <w:trHeight w:val="340"/>
        </w:trPr>
        <w:tc>
          <w:tcPr>
            <w:tcW w:w="986"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Rachid</w:t>
            </w:r>
          </w:p>
        </w:tc>
        <w:tc>
          <w:tcPr>
            <w:tcW w:w="530"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Nadine</w:t>
            </w:r>
          </w:p>
        </w:tc>
        <w:tc>
          <w:tcPr>
            <w:tcW w:w="2952" w:type="pct"/>
            <w:tcBorders>
              <w:top w:val="nil"/>
              <w:left w:val="nil"/>
              <w:bottom w:val="single" w:sz="4" w:space="0" w:color="auto"/>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0.3 FTE, reasonable personal use of mobile phone, car park</w:t>
            </w:r>
          </w:p>
        </w:tc>
        <w:tc>
          <w:tcPr>
            <w:tcW w:w="532" w:type="pct"/>
            <w:tcBorders>
              <w:top w:val="nil"/>
              <w:left w:val="nil"/>
              <w:bottom w:val="single" w:sz="4" w:space="0" w:color="auto"/>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$33,854</w:t>
            </w:r>
          </w:p>
        </w:tc>
      </w:tr>
    </w:tbl>
    <w:p w:rsidR="004B7EB6" w:rsidRPr="004B7EB6" w:rsidRDefault="004B7EB6" w:rsidP="004B7EB6">
      <w:pPr>
        <w:spacing w:after="0" w:line="120" w:lineRule="exact"/>
        <w:rPr>
          <w:rFonts w:eastAsia="Times New Roman"/>
          <w:szCs w:val="20"/>
        </w:rPr>
      </w:pPr>
    </w:p>
    <w:tbl>
      <w:tblPr>
        <w:tblW w:w="5000" w:type="pct"/>
        <w:tblLayout w:type="fixed"/>
        <w:tblLook w:val="04A0" w:firstRow="1" w:lastRow="0" w:firstColumn="1" w:lastColumn="0" w:noHBand="0" w:noVBand="1"/>
      </w:tblPr>
      <w:tblGrid>
        <w:gridCol w:w="5809"/>
        <w:gridCol w:w="2550"/>
        <w:gridCol w:w="995"/>
      </w:tblGrid>
      <w:tr w:rsidR="004B7EB6" w:rsidRPr="004B7EB6" w:rsidTr="00E51E17">
        <w:trPr>
          <w:cantSplit/>
          <w:trHeight w:val="288"/>
        </w:trPr>
        <w:tc>
          <w:tcPr>
            <w:tcW w:w="3105" w:type="pct"/>
            <w:tcBorders>
              <w:top w:val="nil"/>
              <w:left w:val="nil"/>
              <w:bottom w:val="nil"/>
              <w:right w:val="nil"/>
            </w:tcBorders>
            <w:shd w:val="clear" w:color="auto" w:fill="auto"/>
            <w:noWrap/>
            <w:vAlign w:val="bottom"/>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szCs w:val="20"/>
              </w:rPr>
              <w:br w:type="page"/>
            </w:r>
            <w:r w:rsidRPr="004B7EB6">
              <w:rPr>
                <w:rFonts w:eastAsia="Times New Roman"/>
                <w:b/>
                <w:bCs/>
                <w:color w:val="000000"/>
                <w:szCs w:val="17"/>
                <w:lang w:eastAsia="en-AU"/>
              </w:rPr>
              <w:t>MINISTER: Minister for Innovation and Skills</w:t>
            </w:r>
          </w:p>
        </w:tc>
        <w:tc>
          <w:tcPr>
            <w:tcW w:w="1363" w:type="pct"/>
            <w:tcBorders>
              <w:top w:val="nil"/>
              <w:left w:val="nil"/>
              <w:bottom w:val="nil"/>
              <w:right w:val="nil"/>
            </w:tcBorders>
            <w:shd w:val="clear" w:color="auto" w:fill="auto"/>
            <w:vAlign w:val="bottom"/>
          </w:tcPr>
          <w:p w:rsidR="004B7EB6" w:rsidRPr="004B7EB6" w:rsidRDefault="004B7EB6" w:rsidP="004B7EB6">
            <w:pPr>
              <w:spacing w:after="0"/>
              <w:jc w:val="right"/>
              <w:rPr>
                <w:rFonts w:eastAsia="Times New Roman"/>
                <w:bCs/>
                <w:color w:val="000000"/>
                <w:szCs w:val="17"/>
                <w:lang w:eastAsia="en-AU"/>
              </w:rPr>
            </w:pPr>
            <w:r w:rsidRPr="004B7EB6">
              <w:rPr>
                <w:rFonts w:eastAsia="Times New Roman"/>
                <w:bCs/>
                <w:color w:val="000000"/>
                <w:szCs w:val="17"/>
                <w:lang w:eastAsia="en-AU"/>
              </w:rPr>
              <w:t>Number of Ministerial Staff:</w:t>
            </w:r>
          </w:p>
        </w:tc>
        <w:tc>
          <w:tcPr>
            <w:tcW w:w="532" w:type="pct"/>
            <w:vAlign w:val="bottom"/>
          </w:tcPr>
          <w:p w:rsidR="004B7EB6" w:rsidRPr="004B7EB6" w:rsidRDefault="004B7EB6" w:rsidP="004B7EB6">
            <w:pPr>
              <w:spacing w:after="0"/>
              <w:jc w:val="center"/>
              <w:rPr>
                <w:rFonts w:eastAsia="Times New Roman"/>
                <w:b/>
                <w:bCs/>
                <w:color w:val="000000"/>
                <w:szCs w:val="17"/>
                <w:lang w:eastAsia="en-AU"/>
              </w:rPr>
            </w:pPr>
            <w:r w:rsidRPr="004B7EB6">
              <w:rPr>
                <w:rFonts w:eastAsia="Times New Roman"/>
                <w:b/>
                <w:bCs/>
                <w:color w:val="000000"/>
                <w:szCs w:val="17"/>
                <w:lang w:eastAsia="en-AU"/>
              </w:rPr>
              <w:t>3.8 FTE</w:t>
            </w:r>
          </w:p>
        </w:tc>
      </w:tr>
    </w:tbl>
    <w:p w:rsidR="004B7EB6" w:rsidRPr="004B7EB6" w:rsidRDefault="004B7EB6" w:rsidP="004B7EB6">
      <w:pPr>
        <w:spacing w:after="0" w:line="20" w:lineRule="exact"/>
        <w:rPr>
          <w:rFonts w:eastAsia="Times New Roman"/>
          <w:szCs w:val="20"/>
        </w:rPr>
      </w:pPr>
    </w:p>
    <w:tbl>
      <w:tblPr>
        <w:tblW w:w="5000" w:type="pct"/>
        <w:tblLayout w:type="fixed"/>
        <w:tblLook w:val="04A0" w:firstRow="1" w:lastRow="0" w:firstColumn="1" w:lastColumn="0" w:noHBand="0" w:noVBand="1"/>
      </w:tblPr>
      <w:tblGrid>
        <w:gridCol w:w="1844"/>
        <w:gridCol w:w="992"/>
        <w:gridCol w:w="5523"/>
        <w:gridCol w:w="995"/>
      </w:tblGrid>
      <w:tr w:rsidR="004B7EB6" w:rsidRPr="004B7EB6" w:rsidTr="00E51E17">
        <w:trPr>
          <w:cantSplit/>
          <w:trHeight w:val="288"/>
          <w:tblHeader/>
        </w:trPr>
        <w:tc>
          <w:tcPr>
            <w:tcW w:w="986"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APPOINTEE</w:t>
            </w:r>
          </w:p>
        </w:tc>
        <w:tc>
          <w:tcPr>
            <w:tcW w:w="530"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p>
        </w:tc>
        <w:tc>
          <w:tcPr>
            <w:tcW w:w="295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POSITION</w:t>
            </w:r>
          </w:p>
        </w:tc>
        <w:tc>
          <w:tcPr>
            <w:tcW w:w="53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SALARY</w:t>
            </w:r>
          </w:p>
        </w:tc>
      </w:tr>
      <w:tr w:rsidR="004B7EB6" w:rsidRPr="004B7EB6" w:rsidTr="00E51E17">
        <w:trPr>
          <w:cantSplit/>
          <w:trHeight w:val="56"/>
          <w:tblHeader/>
        </w:trPr>
        <w:tc>
          <w:tcPr>
            <w:tcW w:w="986"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b/>
                <w:bCs/>
                <w:color w:val="000000"/>
                <w:szCs w:val="17"/>
                <w:lang w:eastAsia="en-AU"/>
              </w:rPr>
            </w:pPr>
          </w:p>
        </w:tc>
        <w:tc>
          <w:tcPr>
            <w:tcW w:w="530"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color w:val="000000"/>
                <w:szCs w:val="17"/>
                <w:lang w:eastAsia="en-AU"/>
              </w:rPr>
            </w:pPr>
          </w:p>
        </w:tc>
        <w:tc>
          <w:tcPr>
            <w:tcW w:w="2952" w:type="pct"/>
            <w:tcBorders>
              <w:top w:val="nil"/>
              <w:left w:val="nil"/>
              <w:bottom w:val="nil"/>
              <w:right w:val="nil"/>
            </w:tcBorders>
            <w:shd w:val="clear" w:color="auto" w:fill="auto"/>
          </w:tcPr>
          <w:p w:rsidR="004B7EB6" w:rsidRPr="004B7EB6" w:rsidRDefault="004B7EB6" w:rsidP="004B7EB6">
            <w:pPr>
              <w:spacing w:after="0" w:line="20" w:lineRule="exact"/>
              <w:jc w:val="left"/>
              <w:rPr>
                <w:rFonts w:eastAsia="Times New Roman"/>
                <w:color w:val="000000"/>
                <w:szCs w:val="17"/>
                <w:lang w:eastAsia="en-AU"/>
              </w:rPr>
            </w:pPr>
          </w:p>
        </w:tc>
        <w:tc>
          <w:tcPr>
            <w:tcW w:w="532" w:type="pct"/>
            <w:tcBorders>
              <w:top w:val="nil"/>
              <w:left w:val="nil"/>
              <w:bottom w:val="nil"/>
              <w:right w:val="nil"/>
            </w:tcBorders>
            <w:shd w:val="clear" w:color="auto" w:fill="auto"/>
            <w:noWrap/>
          </w:tcPr>
          <w:p w:rsidR="004B7EB6" w:rsidRPr="004B7EB6" w:rsidRDefault="004B7EB6" w:rsidP="004B7EB6">
            <w:pPr>
              <w:spacing w:after="0" w:line="20" w:lineRule="exact"/>
              <w:jc w:val="center"/>
              <w:rPr>
                <w:rFonts w:eastAsia="Times New Roman"/>
                <w:color w:val="000000"/>
                <w:szCs w:val="17"/>
                <w:lang w:eastAsia="en-AU"/>
              </w:rPr>
            </w:pP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Goddard</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Garry</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Chief of Staff</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$165,648</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Ker</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Grant</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Senior 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$135,416</w:t>
            </w:r>
          </w:p>
        </w:tc>
      </w:tr>
      <w:tr w:rsidR="004B7EB6" w:rsidRPr="004B7EB6" w:rsidTr="00E51E17">
        <w:trPr>
          <w:cantSplit/>
          <w:trHeight w:val="340"/>
        </w:trPr>
        <w:tc>
          <w:tcPr>
            <w:tcW w:w="986" w:type="pct"/>
            <w:tcBorders>
              <w:top w:val="nil"/>
              <w:left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Myers</w:t>
            </w:r>
          </w:p>
        </w:tc>
        <w:tc>
          <w:tcPr>
            <w:tcW w:w="530" w:type="pct"/>
            <w:tcBorders>
              <w:top w:val="nil"/>
              <w:left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Anthony</w:t>
            </w:r>
          </w:p>
        </w:tc>
        <w:tc>
          <w:tcPr>
            <w:tcW w:w="2952" w:type="pct"/>
            <w:tcBorders>
              <w:top w:val="nil"/>
              <w:left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86"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Meier</w:t>
            </w:r>
          </w:p>
        </w:tc>
        <w:tc>
          <w:tcPr>
            <w:tcW w:w="530"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Kim</w:t>
            </w:r>
          </w:p>
        </w:tc>
        <w:tc>
          <w:tcPr>
            <w:tcW w:w="2952" w:type="pct"/>
            <w:tcBorders>
              <w:top w:val="nil"/>
              <w:left w:val="nil"/>
              <w:bottom w:val="single" w:sz="4" w:space="0" w:color="auto"/>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0.8 FTE, reasonable personal use of mobile phone, car park</w:t>
            </w:r>
          </w:p>
        </w:tc>
        <w:tc>
          <w:tcPr>
            <w:tcW w:w="532" w:type="pct"/>
            <w:tcBorders>
              <w:top w:val="nil"/>
              <w:left w:val="nil"/>
              <w:bottom w:val="single" w:sz="4" w:space="0" w:color="auto"/>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$90,278</w:t>
            </w:r>
          </w:p>
        </w:tc>
      </w:tr>
    </w:tbl>
    <w:p w:rsidR="004B7EB6" w:rsidRPr="004B7EB6" w:rsidRDefault="004B7EB6" w:rsidP="004B7EB6">
      <w:pPr>
        <w:spacing w:after="0" w:line="120" w:lineRule="exact"/>
        <w:rPr>
          <w:rFonts w:eastAsia="Times New Roman"/>
          <w:szCs w:val="20"/>
        </w:rPr>
      </w:pPr>
    </w:p>
    <w:tbl>
      <w:tblPr>
        <w:tblW w:w="5000" w:type="pct"/>
        <w:tblLayout w:type="fixed"/>
        <w:tblLook w:val="04A0" w:firstRow="1" w:lastRow="0" w:firstColumn="1" w:lastColumn="0" w:noHBand="0" w:noVBand="1"/>
      </w:tblPr>
      <w:tblGrid>
        <w:gridCol w:w="5598"/>
        <w:gridCol w:w="2761"/>
        <w:gridCol w:w="995"/>
      </w:tblGrid>
      <w:tr w:rsidR="004B7EB6" w:rsidRPr="004B7EB6" w:rsidTr="00E51E17">
        <w:trPr>
          <w:cantSplit/>
          <w:trHeight w:val="288"/>
        </w:trPr>
        <w:tc>
          <w:tcPr>
            <w:tcW w:w="2992" w:type="pct"/>
            <w:tcBorders>
              <w:top w:val="nil"/>
              <w:left w:val="nil"/>
              <w:bottom w:val="nil"/>
              <w:right w:val="nil"/>
            </w:tcBorders>
            <w:shd w:val="clear" w:color="auto" w:fill="auto"/>
            <w:noWrap/>
            <w:vAlign w:val="bottom"/>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MINISTER: Minister for Health and Wellbeing</w:t>
            </w:r>
          </w:p>
        </w:tc>
        <w:tc>
          <w:tcPr>
            <w:tcW w:w="1476" w:type="pct"/>
            <w:tcBorders>
              <w:top w:val="nil"/>
              <w:left w:val="nil"/>
              <w:bottom w:val="nil"/>
              <w:right w:val="nil"/>
            </w:tcBorders>
            <w:shd w:val="clear" w:color="auto" w:fill="auto"/>
            <w:vAlign w:val="bottom"/>
          </w:tcPr>
          <w:p w:rsidR="004B7EB6" w:rsidRPr="004B7EB6" w:rsidRDefault="004B7EB6" w:rsidP="004B7EB6">
            <w:pPr>
              <w:spacing w:after="0"/>
              <w:jc w:val="right"/>
              <w:rPr>
                <w:rFonts w:eastAsia="Times New Roman"/>
                <w:bCs/>
                <w:color w:val="000000"/>
                <w:szCs w:val="17"/>
                <w:lang w:eastAsia="en-AU"/>
              </w:rPr>
            </w:pPr>
            <w:r w:rsidRPr="004B7EB6">
              <w:rPr>
                <w:rFonts w:eastAsia="Times New Roman"/>
                <w:bCs/>
                <w:color w:val="000000"/>
                <w:szCs w:val="17"/>
                <w:lang w:eastAsia="en-AU"/>
              </w:rPr>
              <w:t>Number of Ministerial Staff:</w:t>
            </w:r>
          </w:p>
        </w:tc>
        <w:tc>
          <w:tcPr>
            <w:tcW w:w="532" w:type="pct"/>
            <w:vAlign w:val="bottom"/>
          </w:tcPr>
          <w:p w:rsidR="004B7EB6" w:rsidRPr="004B7EB6" w:rsidRDefault="004B7EB6" w:rsidP="004B7EB6">
            <w:pPr>
              <w:spacing w:after="0"/>
              <w:jc w:val="center"/>
              <w:rPr>
                <w:rFonts w:eastAsia="Times New Roman"/>
                <w:b/>
                <w:bCs/>
                <w:color w:val="000000"/>
                <w:szCs w:val="17"/>
                <w:lang w:eastAsia="en-AU"/>
              </w:rPr>
            </w:pPr>
            <w:r w:rsidRPr="004B7EB6">
              <w:rPr>
                <w:rFonts w:eastAsia="Times New Roman"/>
                <w:b/>
                <w:bCs/>
                <w:color w:val="000000"/>
                <w:szCs w:val="17"/>
                <w:lang w:eastAsia="en-AU"/>
              </w:rPr>
              <w:t>7.8 FTE</w:t>
            </w:r>
          </w:p>
        </w:tc>
      </w:tr>
    </w:tbl>
    <w:p w:rsidR="004B7EB6" w:rsidRPr="004B7EB6" w:rsidRDefault="004B7EB6" w:rsidP="004B7EB6">
      <w:pPr>
        <w:spacing w:after="0" w:line="20" w:lineRule="exact"/>
        <w:rPr>
          <w:rFonts w:eastAsia="Times New Roman"/>
          <w:szCs w:val="20"/>
        </w:rPr>
      </w:pPr>
    </w:p>
    <w:tbl>
      <w:tblPr>
        <w:tblW w:w="5000" w:type="pct"/>
        <w:tblLayout w:type="fixed"/>
        <w:tblLook w:val="04A0" w:firstRow="1" w:lastRow="0" w:firstColumn="1" w:lastColumn="0" w:noHBand="0" w:noVBand="1"/>
      </w:tblPr>
      <w:tblGrid>
        <w:gridCol w:w="1844"/>
        <w:gridCol w:w="992"/>
        <w:gridCol w:w="5523"/>
        <w:gridCol w:w="995"/>
      </w:tblGrid>
      <w:tr w:rsidR="004B7EB6" w:rsidRPr="004B7EB6" w:rsidTr="00E51E17">
        <w:trPr>
          <w:cantSplit/>
          <w:trHeight w:val="288"/>
          <w:tblHeader/>
        </w:trPr>
        <w:tc>
          <w:tcPr>
            <w:tcW w:w="986"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right"/>
              <w:rPr>
                <w:rFonts w:eastAsia="Times New Roman"/>
                <w:b/>
                <w:bCs/>
                <w:color w:val="000000"/>
                <w:szCs w:val="17"/>
                <w:lang w:eastAsia="en-AU"/>
              </w:rPr>
            </w:pPr>
            <w:r w:rsidRPr="004B7EB6">
              <w:rPr>
                <w:rFonts w:eastAsia="Times New Roman"/>
                <w:b/>
                <w:bCs/>
                <w:color w:val="000000"/>
                <w:szCs w:val="17"/>
                <w:lang w:eastAsia="en-AU"/>
              </w:rPr>
              <w:t>APPOINTEE</w:t>
            </w:r>
          </w:p>
        </w:tc>
        <w:tc>
          <w:tcPr>
            <w:tcW w:w="530"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right"/>
              <w:rPr>
                <w:rFonts w:eastAsia="Times New Roman"/>
                <w:b/>
                <w:bCs/>
                <w:color w:val="000000"/>
                <w:szCs w:val="17"/>
                <w:lang w:eastAsia="en-AU"/>
              </w:rPr>
            </w:pPr>
            <w:r w:rsidRPr="004B7EB6">
              <w:rPr>
                <w:rFonts w:eastAsia="Times New Roman"/>
                <w:b/>
                <w:bCs/>
                <w:color w:val="000000"/>
                <w:szCs w:val="17"/>
                <w:lang w:eastAsia="en-AU"/>
              </w:rPr>
              <w:t> </w:t>
            </w:r>
          </w:p>
        </w:tc>
        <w:tc>
          <w:tcPr>
            <w:tcW w:w="295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right"/>
              <w:rPr>
                <w:rFonts w:eastAsia="Times New Roman"/>
                <w:b/>
                <w:bCs/>
                <w:color w:val="000000"/>
                <w:szCs w:val="17"/>
                <w:lang w:eastAsia="en-AU"/>
              </w:rPr>
            </w:pPr>
            <w:r w:rsidRPr="004B7EB6">
              <w:rPr>
                <w:rFonts w:eastAsia="Times New Roman"/>
                <w:b/>
                <w:bCs/>
                <w:color w:val="000000"/>
                <w:szCs w:val="17"/>
                <w:lang w:eastAsia="en-AU"/>
              </w:rPr>
              <w:t>POSITION</w:t>
            </w:r>
          </w:p>
        </w:tc>
        <w:tc>
          <w:tcPr>
            <w:tcW w:w="53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SALARY</w:t>
            </w:r>
          </w:p>
        </w:tc>
      </w:tr>
      <w:tr w:rsidR="004B7EB6" w:rsidRPr="004B7EB6" w:rsidTr="00E51E17">
        <w:trPr>
          <w:cantSplit/>
          <w:trHeight w:val="56"/>
          <w:tblHeader/>
        </w:trPr>
        <w:tc>
          <w:tcPr>
            <w:tcW w:w="986"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b/>
                <w:bCs/>
                <w:color w:val="000000"/>
                <w:szCs w:val="17"/>
                <w:lang w:eastAsia="en-AU"/>
              </w:rPr>
            </w:pPr>
          </w:p>
        </w:tc>
        <w:tc>
          <w:tcPr>
            <w:tcW w:w="530"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color w:val="000000"/>
                <w:szCs w:val="17"/>
                <w:lang w:eastAsia="en-AU"/>
              </w:rPr>
            </w:pPr>
          </w:p>
        </w:tc>
        <w:tc>
          <w:tcPr>
            <w:tcW w:w="2952" w:type="pct"/>
            <w:tcBorders>
              <w:top w:val="nil"/>
              <w:left w:val="nil"/>
              <w:bottom w:val="nil"/>
              <w:right w:val="nil"/>
            </w:tcBorders>
            <w:shd w:val="clear" w:color="auto" w:fill="auto"/>
          </w:tcPr>
          <w:p w:rsidR="004B7EB6" w:rsidRPr="004B7EB6" w:rsidRDefault="004B7EB6" w:rsidP="004B7EB6">
            <w:pPr>
              <w:spacing w:after="0" w:line="20" w:lineRule="exact"/>
              <w:jc w:val="left"/>
              <w:rPr>
                <w:rFonts w:eastAsia="Times New Roman"/>
                <w:color w:val="000000"/>
                <w:szCs w:val="17"/>
                <w:lang w:eastAsia="en-AU"/>
              </w:rPr>
            </w:pPr>
          </w:p>
        </w:tc>
        <w:tc>
          <w:tcPr>
            <w:tcW w:w="532" w:type="pct"/>
            <w:tcBorders>
              <w:top w:val="nil"/>
              <w:left w:val="nil"/>
              <w:bottom w:val="nil"/>
              <w:right w:val="nil"/>
            </w:tcBorders>
            <w:shd w:val="clear" w:color="auto" w:fill="auto"/>
            <w:noWrap/>
          </w:tcPr>
          <w:p w:rsidR="004B7EB6" w:rsidRPr="004B7EB6" w:rsidRDefault="004B7EB6" w:rsidP="004B7EB6">
            <w:pPr>
              <w:spacing w:after="0" w:line="20" w:lineRule="exact"/>
              <w:jc w:val="center"/>
              <w:rPr>
                <w:rFonts w:eastAsia="Times New Roman"/>
                <w:color w:val="000000"/>
                <w:szCs w:val="17"/>
                <w:lang w:eastAsia="en-AU"/>
              </w:rPr>
            </w:pP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Westenberg</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Greg</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Chief of Staff</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$165,648</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Terlich</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Dean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Pratt</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James</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Hooper</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Samuel</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Tree</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Anna</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McColl</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Karen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Hards</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Narelle</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86"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Nicholls</w:t>
            </w:r>
          </w:p>
        </w:tc>
        <w:tc>
          <w:tcPr>
            <w:tcW w:w="530"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Jonathan</w:t>
            </w:r>
          </w:p>
        </w:tc>
        <w:tc>
          <w:tcPr>
            <w:tcW w:w="2952" w:type="pct"/>
            <w:tcBorders>
              <w:top w:val="nil"/>
              <w:left w:val="nil"/>
              <w:bottom w:val="single" w:sz="4" w:space="0" w:color="auto"/>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Senior 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0.8 FTE, reasonable personal use of mobile phone, car park</w:t>
            </w:r>
          </w:p>
        </w:tc>
        <w:tc>
          <w:tcPr>
            <w:tcW w:w="532" w:type="pct"/>
            <w:tcBorders>
              <w:top w:val="nil"/>
              <w:left w:val="nil"/>
              <w:bottom w:val="single" w:sz="4" w:space="0" w:color="auto"/>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$109,328</w:t>
            </w:r>
          </w:p>
        </w:tc>
      </w:tr>
    </w:tbl>
    <w:p w:rsidR="004B7EB6" w:rsidRPr="004B7EB6" w:rsidRDefault="004B7EB6" w:rsidP="004B7EB6">
      <w:pPr>
        <w:spacing w:after="0" w:line="120" w:lineRule="exact"/>
        <w:rPr>
          <w:rFonts w:eastAsia="Times New Roman"/>
          <w:szCs w:val="20"/>
        </w:rPr>
      </w:pPr>
    </w:p>
    <w:tbl>
      <w:tblPr>
        <w:tblW w:w="5000" w:type="pct"/>
        <w:tblLayout w:type="fixed"/>
        <w:tblLook w:val="04A0" w:firstRow="1" w:lastRow="0" w:firstColumn="1" w:lastColumn="0" w:noHBand="0" w:noVBand="1"/>
      </w:tblPr>
      <w:tblGrid>
        <w:gridCol w:w="5809"/>
        <w:gridCol w:w="2550"/>
        <w:gridCol w:w="995"/>
      </w:tblGrid>
      <w:tr w:rsidR="004B7EB6" w:rsidRPr="004B7EB6" w:rsidTr="00E51E17">
        <w:trPr>
          <w:cantSplit/>
          <w:trHeight w:val="288"/>
        </w:trPr>
        <w:tc>
          <w:tcPr>
            <w:tcW w:w="3105" w:type="pct"/>
            <w:tcBorders>
              <w:top w:val="nil"/>
              <w:left w:val="nil"/>
              <w:bottom w:val="nil"/>
              <w:right w:val="nil"/>
            </w:tcBorders>
            <w:shd w:val="clear" w:color="auto" w:fill="auto"/>
            <w:noWrap/>
            <w:vAlign w:val="bottom"/>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MINISTER: Minister for Energy and Mining</w:t>
            </w:r>
          </w:p>
        </w:tc>
        <w:tc>
          <w:tcPr>
            <w:tcW w:w="1363" w:type="pct"/>
            <w:tcBorders>
              <w:top w:val="nil"/>
              <w:left w:val="nil"/>
              <w:bottom w:val="nil"/>
              <w:right w:val="nil"/>
            </w:tcBorders>
            <w:shd w:val="clear" w:color="auto" w:fill="auto"/>
            <w:vAlign w:val="bottom"/>
          </w:tcPr>
          <w:p w:rsidR="004B7EB6" w:rsidRPr="004B7EB6" w:rsidRDefault="004B7EB6" w:rsidP="004B7EB6">
            <w:pPr>
              <w:spacing w:after="0"/>
              <w:jc w:val="right"/>
              <w:rPr>
                <w:rFonts w:eastAsia="Times New Roman"/>
                <w:bCs/>
                <w:color w:val="000000"/>
                <w:szCs w:val="17"/>
                <w:lang w:eastAsia="en-AU"/>
              </w:rPr>
            </w:pPr>
            <w:r w:rsidRPr="004B7EB6">
              <w:rPr>
                <w:rFonts w:eastAsia="Times New Roman"/>
                <w:bCs/>
                <w:color w:val="000000"/>
                <w:szCs w:val="17"/>
                <w:lang w:eastAsia="en-AU"/>
              </w:rPr>
              <w:t>Number of Ministerial Staff:</w:t>
            </w:r>
          </w:p>
        </w:tc>
        <w:tc>
          <w:tcPr>
            <w:tcW w:w="532" w:type="pct"/>
            <w:vAlign w:val="bottom"/>
          </w:tcPr>
          <w:p w:rsidR="004B7EB6" w:rsidRPr="004B7EB6" w:rsidRDefault="004B7EB6" w:rsidP="004B7EB6">
            <w:pPr>
              <w:spacing w:after="0"/>
              <w:jc w:val="center"/>
              <w:rPr>
                <w:rFonts w:eastAsia="Times New Roman"/>
                <w:b/>
                <w:bCs/>
                <w:color w:val="000000"/>
                <w:szCs w:val="17"/>
                <w:lang w:eastAsia="en-AU"/>
              </w:rPr>
            </w:pPr>
            <w:r w:rsidRPr="004B7EB6">
              <w:rPr>
                <w:rFonts w:eastAsia="Times New Roman"/>
                <w:b/>
                <w:bCs/>
                <w:color w:val="000000"/>
                <w:szCs w:val="17"/>
                <w:lang w:eastAsia="en-AU"/>
              </w:rPr>
              <w:t>3 FTE</w:t>
            </w:r>
          </w:p>
        </w:tc>
      </w:tr>
    </w:tbl>
    <w:p w:rsidR="004B7EB6" w:rsidRPr="004B7EB6" w:rsidRDefault="004B7EB6" w:rsidP="004B7EB6">
      <w:pPr>
        <w:spacing w:after="0" w:line="20" w:lineRule="exact"/>
        <w:rPr>
          <w:rFonts w:eastAsia="Times New Roman"/>
          <w:szCs w:val="20"/>
        </w:rPr>
      </w:pPr>
    </w:p>
    <w:tbl>
      <w:tblPr>
        <w:tblW w:w="5000" w:type="pct"/>
        <w:tblLayout w:type="fixed"/>
        <w:tblLook w:val="04A0" w:firstRow="1" w:lastRow="0" w:firstColumn="1" w:lastColumn="0" w:noHBand="0" w:noVBand="1"/>
      </w:tblPr>
      <w:tblGrid>
        <w:gridCol w:w="1844"/>
        <w:gridCol w:w="992"/>
        <w:gridCol w:w="5523"/>
        <w:gridCol w:w="995"/>
      </w:tblGrid>
      <w:tr w:rsidR="004B7EB6" w:rsidRPr="004B7EB6" w:rsidTr="00E51E17">
        <w:trPr>
          <w:cantSplit/>
          <w:trHeight w:val="288"/>
          <w:tblHeader/>
        </w:trPr>
        <w:tc>
          <w:tcPr>
            <w:tcW w:w="986"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APPOINTEE</w:t>
            </w:r>
          </w:p>
        </w:tc>
        <w:tc>
          <w:tcPr>
            <w:tcW w:w="530"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p>
        </w:tc>
        <w:tc>
          <w:tcPr>
            <w:tcW w:w="295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POSITION</w:t>
            </w:r>
          </w:p>
        </w:tc>
        <w:tc>
          <w:tcPr>
            <w:tcW w:w="53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SALARY</w:t>
            </w:r>
          </w:p>
        </w:tc>
      </w:tr>
      <w:tr w:rsidR="004B7EB6" w:rsidRPr="004B7EB6" w:rsidTr="00E51E17">
        <w:trPr>
          <w:cantSplit/>
          <w:trHeight w:val="56"/>
          <w:tblHeader/>
        </w:trPr>
        <w:tc>
          <w:tcPr>
            <w:tcW w:w="986"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b/>
                <w:bCs/>
                <w:color w:val="000000"/>
                <w:szCs w:val="17"/>
                <w:lang w:eastAsia="en-AU"/>
              </w:rPr>
            </w:pPr>
          </w:p>
        </w:tc>
        <w:tc>
          <w:tcPr>
            <w:tcW w:w="530"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color w:val="000000"/>
                <w:szCs w:val="17"/>
                <w:lang w:eastAsia="en-AU"/>
              </w:rPr>
            </w:pPr>
          </w:p>
        </w:tc>
        <w:tc>
          <w:tcPr>
            <w:tcW w:w="2952" w:type="pct"/>
            <w:tcBorders>
              <w:top w:val="nil"/>
              <w:left w:val="nil"/>
              <w:bottom w:val="nil"/>
              <w:right w:val="nil"/>
            </w:tcBorders>
            <w:shd w:val="clear" w:color="auto" w:fill="auto"/>
          </w:tcPr>
          <w:p w:rsidR="004B7EB6" w:rsidRPr="004B7EB6" w:rsidRDefault="004B7EB6" w:rsidP="004B7EB6">
            <w:pPr>
              <w:spacing w:after="0" w:line="20" w:lineRule="exact"/>
              <w:jc w:val="left"/>
              <w:rPr>
                <w:rFonts w:eastAsia="Times New Roman"/>
                <w:color w:val="000000"/>
                <w:szCs w:val="17"/>
                <w:lang w:eastAsia="en-AU"/>
              </w:rPr>
            </w:pPr>
          </w:p>
        </w:tc>
        <w:tc>
          <w:tcPr>
            <w:tcW w:w="532" w:type="pct"/>
            <w:tcBorders>
              <w:top w:val="nil"/>
              <w:left w:val="nil"/>
              <w:bottom w:val="nil"/>
              <w:right w:val="nil"/>
            </w:tcBorders>
            <w:shd w:val="clear" w:color="auto" w:fill="auto"/>
            <w:noWrap/>
          </w:tcPr>
          <w:p w:rsidR="004B7EB6" w:rsidRPr="004B7EB6" w:rsidRDefault="004B7EB6" w:rsidP="004B7EB6">
            <w:pPr>
              <w:spacing w:after="0" w:line="20" w:lineRule="exact"/>
              <w:jc w:val="center"/>
              <w:rPr>
                <w:rFonts w:eastAsia="Times New Roman"/>
                <w:color w:val="000000"/>
                <w:szCs w:val="17"/>
                <w:lang w:eastAsia="en-AU"/>
              </w:rPr>
            </w:pP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Kelly</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Dominic</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Chief of Staff</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$165,648</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Zammit</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Benjamin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 xml:space="preserve">Senior Ministerial Adviser </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$136,660</w:t>
            </w:r>
          </w:p>
        </w:tc>
      </w:tr>
      <w:tr w:rsidR="004B7EB6" w:rsidRPr="004B7EB6" w:rsidTr="00E51E17">
        <w:trPr>
          <w:cantSplit/>
          <w:trHeight w:val="340"/>
        </w:trPr>
        <w:tc>
          <w:tcPr>
            <w:tcW w:w="986"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Trethewey</w:t>
            </w:r>
          </w:p>
        </w:tc>
        <w:tc>
          <w:tcPr>
            <w:tcW w:w="530"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Elizabeth</w:t>
            </w:r>
          </w:p>
        </w:tc>
        <w:tc>
          <w:tcPr>
            <w:tcW w:w="2952" w:type="pct"/>
            <w:tcBorders>
              <w:top w:val="nil"/>
              <w:left w:val="nil"/>
              <w:bottom w:val="single" w:sz="4" w:space="0" w:color="auto"/>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 xml:space="preserve">Senior Ministerial Adviser </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single" w:sz="4" w:space="0" w:color="auto"/>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$136,660</w:t>
            </w:r>
          </w:p>
        </w:tc>
      </w:tr>
    </w:tbl>
    <w:p w:rsidR="004B7EB6" w:rsidRPr="004B7EB6" w:rsidRDefault="004B7EB6" w:rsidP="004B7EB6">
      <w:pPr>
        <w:spacing w:after="0" w:line="120" w:lineRule="exact"/>
        <w:rPr>
          <w:rFonts w:eastAsia="Times New Roman"/>
          <w:szCs w:val="20"/>
        </w:rPr>
      </w:pPr>
    </w:p>
    <w:tbl>
      <w:tblPr>
        <w:tblW w:w="5000" w:type="pct"/>
        <w:tblLayout w:type="fixed"/>
        <w:tblLook w:val="04A0" w:firstRow="1" w:lastRow="0" w:firstColumn="1" w:lastColumn="0" w:noHBand="0" w:noVBand="1"/>
      </w:tblPr>
      <w:tblGrid>
        <w:gridCol w:w="5809"/>
        <w:gridCol w:w="2550"/>
        <w:gridCol w:w="995"/>
      </w:tblGrid>
      <w:tr w:rsidR="004B7EB6" w:rsidRPr="004B7EB6" w:rsidTr="00E51E17">
        <w:trPr>
          <w:cantSplit/>
          <w:trHeight w:val="288"/>
        </w:trPr>
        <w:tc>
          <w:tcPr>
            <w:tcW w:w="3105" w:type="pct"/>
            <w:tcBorders>
              <w:top w:val="nil"/>
              <w:left w:val="nil"/>
              <w:bottom w:val="nil"/>
              <w:right w:val="nil"/>
            </w:tcBorders>
            <w:shd w:val="clear" w:color="auto" w:fill="auto"/>
            <w:noWrap/>
            <w:vAlign w:val="bottom"/>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MINISTER: Minister for Child Protection</w:t>
            </w:r>
          </w:p>
        </w:tc>
        <w:tc>
          <w:tcPr>
            <w:tcW w:w="1363" w:type="pct"/>
            <w:tcBorders>
              <w:top w:val="nil"/>
              <w:left w:val="nil"/>
              <w:bottom w:val="nil"/>
              <w:right w:val="nil"/>
            </w:tcBorders>
            <w:shd w:val="clear" w:color="auto" w:fill="auto"/>
            <w:vAlign w:val="bottom"/>
          </w:tcPr>
          <w:p w:rsidR="004B7EB6" w:rsidRPr="004B7EB6" w:rsidRDefault="004B7EB6" w:rsidP="004B7EB6">
            <w:pPr>
              <w:spacing w:after="0"/>
              <w:jc w:val="right"/>
              <w:rPr>
                <w:rFonts w:eastAsia="Times New Roman"/>
                <w:bCs/>
                <w:color w:val="000000"/>
                <w:szCs w:val="17"/>
                <w:lang w:eastAsia="en-AU"/>
              </w:rPr>
            </w:pPr>
            <w:r w:rsidRPr="004B7EB6">
              <w:rPr>
                <w:rFonts w:eastAsia="Times New Roman"/>
                <w:bCs/>
                <w:color w:val="000000"/>
                <w:szCs w:val="17"/>
                <w:lang w:eastAsia="en-AU"/>
              </w:rPr>
              <w:t>Number of Ministerial Staff:</w:t>
            </w:r>
          </w:p>
        </w:tc>
        <w:tc>
          <w:tcPr>
            <w:tcW w:w="532" w:type="pct"/>
            <w:vAlign w:val="bottom"/>
          </w:tcPr>
          <w:p w:rsidR="004B7EB6" w:rsidRPr="004B7EB6" w:rsidRDefault="004B7EB6" w:rsidP="004B7EB6">
            <w:pPr>
              <w:spacing w:after="0"/>
              <w:jc w:val="center"/>
              <w:rPr>
                <w:rFonts w:eastAsia="Times New Roman"/>
                <w:b/>
                <w:bCs/>
                <w:color w:val="000000"/>
                <w:szCs w:val="17"/>
                <w:lang w:eastAsia="en-AU"/>
              </w:rPr>
            </w:pPr>
            <w:r w:rsidRPr="004B7EB6">
              <w:rPr>
                <w:rFonts w:eastAsia="Times New Roman"/>
                <w:b/>
                <w:bCs/>
                <w:color w:val="000000"/>
                <w:szCs w:val="17"/>
                <w:lang w:eastAsia="en-AU"/>
              </w:rPr>
              <w:t>3 FTE</w:t>
            </w:r>
          </w:p>
        </w:tc>
      </w:tr>
    </w:tbl>
    <w:p w:rsidR="004B7EB6" w:rsidRPr="004B7EB6" w:rsidRDefault="004B7EB6" w:rsidP="004B7EB6">
      <w:pPr>
        <w:spacing w:after="0" w:line="20" w:lineRule="exact"/>
        <w:rPr>
          <w:rFonts w:eastAsia="Times New Roman"/>
          <w:szCs w:val="20"/>
        </w:rPr>
      </w:pPr>
    </w:p>
    <w:tbl>
      <w:tblPr>
        <w:tblW w:w="5000" w:type="pct"/>
        <w:tblLayout w:type="fixed"/>
        <w:tblLook w:val="04A0" w:firstRow="1" w:lastRow="0" w:firstColumn="1" w:lastColumn="0" w:noHBand="0" w:noVBand="1"/>
      </w:tblPr>
      <w:tblGrid>
        <w:gridCol w:w="1844"/>
        <w:gridCol w:w="992"/>
        <w:gridCol w:w="5523"/>
        <w:gridCol w:w="995"/>
      </w:tblGrid>
      <w:tr w:rsidR="004B7EB6" w:rsidRPr="004B7EB6" w:rsidTr="00E51E17">
        <w:trPr>
          <w:cantSplit/>
          <w:trHeight w:val="288"/>
          <w:tblHeader/>
        </w:trPr>
        <w:tc>
          <w:tcPr>
            <w:tcW w:w="986"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APPOINTEE</w:t>
            </w:r>
          </w:p>
        </w:tc>
        <w:tc>
          <w:tcPr>
            <w:tcW w:w="530"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p>
        </w:tc>
        <w:tc>
          <w:tcPr>
            <w:tcW w:w="295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POSITION</w:t>
            </w:r>
          </w:p>
        </w:tc>
        <w:tc>
          <w:tcPr>
            <w:tcW w:w="53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SALARY</w:t>
            </w:r>
          </w:p>
        </w:tc>
      </w:tr>
      <w:tr w:rsidR="004B7EB6" w:rsidRPr="004B7EB6" w:rsidTr="00E51E17">
        <w:trPr>
          <w:cantSplit/>
          <w:trHeight w:val="56"/>
          <w:tblHeader/>
        </w:trPr>
        <w:tc>
          <w:tcPr>
            <w:tcW w:w="986"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b/>
                <w:bCs/>
                <w:color w:val="000000"/>
                <w:szCs w:val="17"/>
                <w:lang w:eastAsia="en-AU"/>
              </w:rPr>
            </w:pPr>
          </w:p>
        </w:tc>
        <w:tc>
          <w:tcPr>
            <w:tcW w:w="530"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color w:val="000000"/>
                <w:szCs w:val="17"/>
                <w:lang w:eastAsia="en-AU"/>
              </w:rPr>
            </w:pPr>
          </w:p>
        </w:tc>
        <w:tc>
          <w:tcPr>
            <w:tcW w:w="2952" w:type="pct"/>
            <w:tcBorders>
              <w:top w:val="nil"/>
              <w:left w:val="nil"/>
              <w:bottom w:val="nil"/>
              <w:right w:val="nil"/>
            </w:tcBorders>
            <w:shd w:val="clear" w:color="auto" w:fill="auto"/>
          </w:tcPr>
          <w:p w:rsidR="004B7EB6" w:rsidRPr="004B7EB6" w:rsidRDefault="004B7EB6" w:rsidP="004B7EB6">
            <w:pPr>
              <w:spacing w:after="0" w:line="20" w:lineRule="exact"/>
              <w:jc w:val="left"/>
              <w:rPr>
                <w:rFonts w:eastAsia="Times New Roman"/>
                <w:color w:val="000000"/>
                <w:szCs w:val="17"/>
                <w:lang w:eastAsia="en-AU"/>
              </w:rPr>
            </w:pPr>
          </w:p>
        </w:tc>
        <w:tc>
          <w:tcPr>
            <w:tcW w:w="532" w:type="pct"/>
            <w:tcBorders>
              <w:top w:val="nil"/>
              <w:left w:val="nil"/>
              <w:bottom w:val="nil"/>
              <w:right w:val="nil"/>
            </w:tcBorders>
            <w:shd w:val="clear" w:color="auto" w:fill="auto"/>
            <w:noWrap/>
          </w:tcPr>
          <w:p w:rsidR="004B7EB6" w:rsidRPr="004B7EB6" w:rsidRDefault="004B7EB6" w:rsidP="004B7EB6">
            <w:pPr>
              <w:spacing w:after="0" w:line="20" w:lineRule="exact"/>
              <w:jc w:val="center"/>
              <w:rPr>
                <w:rFonts w:eastAsia="Times New Roman"/>
                <w:color w:val="000000"/>
                <w:szCs w:val="17"/>
                <w:lang w:eastAsia="en-AU"/>
              </w:rPr>
            </w:pP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Pratt</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Penny</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Chief of Staff</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$165,648</w:t>
            </w:r>
          </w:p>
        </w:tc>
      </w:tr>
      <w:tr w:rsidR="004B7EB6" w:rsidRPr="004B7EB6" w:rsidTr="00E51E17">
        <w:trPr>
          <w:cantSplit/>
          <w:trHeight w:val="340"/>
        </w:trPr>
        <w:tc>
          <w:tcPr>
            <w:tcW w:w="986" w:type="pct"/>
            <w:tcBorders>
              <w:top w:val="nil"/>
              <w:left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Harris</w:t>
            </w:r>
          </w:p>
        </w:tc>
        <w:tc>
          <w:tcPr>
            <w:tcW w:w="530" w:type="pct"/>
            <w:tcBorders>
              <w:top w:val="nil"/>
              <w:left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Heidi</w:t>
            </w:r>
          </w:p>
        </w:tc>
        <w:tc>
          <w:tcPr>
            <w:tcW w:w="2952" w:type="pct"/>
            <w:tcBorders>
              <w:top w:val="nil"/>
              <w:left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86"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Nelson</w:t>
            </w:r>
          </w:p>
        </w:tc>
        <w:tc>
          <w:tcPr>
            <w:tcW w:w="530"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Tracey</w:t>
            </w:r>
          </w:p>
        </w:tc>
        <w:tc>
          <w:tcPr>
            <w:tcW w:w="2952" w:type="pct"/>
            <w:tcBorders>
              <w:top w:val="nil"/>
              <w:left w:val="nil"/>
              <w:bottom w:val="single" w:sz="4" w:space="0" w:color="auto"/>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single" w:sz="4" w:space="0" w:color="auto"/>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bl>
    <w:p w:rsidR="004B7EB6" w:rsidRPr="004B7EB6" w:rsidRDefault="004B7EB6" w:rsidP="004B7EB6">
      <w:pPr>
        <w:spacing w:after="0" w:line="120" w:lineRule="exact"/>
        <w:rPr>
          <w:rFonts w:eastAsia="Times New Roman"/>
          <w:szCs w:val="20"/>
        </w:rPr>
      </w:pPr>
    </w:p>
    <w:tbl>
      <w:tblPr>
        <w:tblW w:w="5000" w:type="pct"/>
        <w:tblLayout w:type="fixed"/>
        <w:tblLook w:val="04A0" w:firstRow="1" w:lastRow="0" w:firstColumn="1" w:lastColumn="0" w:noHBand="0" w:noVBand="1"/>
      </w:tblPr>
      <w:tblGrid>
        <w:gridCol w:w="5809"/>
        <w:gridCol w:w="2550"/>
        <w:gridCol w:w="995"/>
      </w:tblGrid>
      <w:tr w:rsidR="004B7EB6" w:rsidRPr="004B7EB6" w:rsidTr="00E51E17">
        <w:trPr>
          <w:cantSplit/>
          <w:trHeight w:val="288"/>
        </w:trPr>
        <w:tc>
          <w:tcPr>
            <w:tcW w:w="3105" w:type="pct"/>
            <w:tcBorders>
              <w:top w:val="nil"/>
              <w:left w:val="nil"/>
              <w:bottom w:val="nil"/>
              <w:right w:val="nil"/>
            </w:tcBorders>
            <w:shd w:val="clear" w:color="auto" w:fill="auto"/>
            <w:noWrap/>
            <w:vAlign w:val="bottom"/>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 xml:space="preserve">MINISTER: Minister for Primary Industries and Regional Development </w:t>
            </w:r>
          </w:p>
        </w:tc>
        <w:tc>
          <w:tcPr>
            <w:tcW w:w="1363" w:type="pct"/>
            <w:tcBorders>
              <w:top w:val="nil"/>
              <w:left w:val="nil"/>
              <w:bottom w:val="nil"/>
              <w:right w:val="nil"/>
            </w:tcBorders>
            <w:shd w:val="clear" w:color="auto" w:fill="auto"/>
            <w:vAlign w:val="bottom"/>
          </w:tcPr>
          <w:p w:rsidR="004B7EB6" w:rsidRPr="004B7EB6" w:rsidRDefault="004B7EB6" w:rsidP="004B7EB6">
            <w:pPr>
              <w:spacing w:after="0"/>
              <w:jc w:val="right"/>
              <w:rPr>
                <w:rFonts w:eastAsia="Times New Roman"/>
                <w:bCs/>
                <w:color w:val="000000"/>
                <w:szCs w:val="17"/>
                <w:lang w:eastAsia="en-AU"/>
              </w:rPr>
            </w:pPr>
            <w:r w:rsidRPr="004B7EB6">
              <w:rPr>
                <w:rFonts w:eastAsia="Times New Roman"/>
                <w:bCs/>
                <w:color w:val="000000"/>
                <w:szCs w:val="17"/>
                <w:lang w:eastAsia="en-AU"/>
              </w:rPr>
              <w:t>Number of Ministerial Staff:</w:t>
            </w:r>
          </w:p>
        </w:tc>
        <w:tc>
          <w:tcPr>
            <w:tcW w:w="532" w:type="pct"/>
            <w:vAlign w:val="bottom"/>
          </w:tcPr>
          <w:p w:rsidR="004B7EB6" w:rsidRPr="004B7EB6" w:rsidRDefault="004B7EB6" w:rsidP="004B7EB6">
            <w:pPr>
              <w:spacing w:after="0"/>
              <w:jc w:val="center"/>
              <w:rPr>
                <w:rFonts w:eastAsia="Times New Roman"/>
                <w:b/>
                <w:bCs/>
                <w:color w:val="000000"/>
                <w:szCs w:val="17"/>
                <w:lang w:eastAsia="en-AU"/>
              </w:rPr>
            </w:pPr>
            <w:r w:rsidRPr="004B7EB6">
              <w:rPr>
                <w:rFonts w:eastAsia="Times New Roman"/>
                <w:b/>
                <w:bCs/>
                <w:color w:val="000000"/>
                <w:szCs w:val="17"/>
                <w:lang w:eastAsia="en-AU"/>
              </w:rPr>
              <w:t>4 FTE</w:t>
            </w:r>
          </w:p>
        </w:tc>
      </w:tr>
    </w:tbl>
    <w:p w:rsidR="004B7EB6" w:rsidRPr="004B7EB6" w:rsidRDefault="004B7EB6" w:rsidP="004B7EB6">
      <w:pPr>
        <w:spacing w:after="0" w:line="20" w:lineRule="exact"/>
        <w:rPr>
          <w:rFonts w:eastAsia="Times New Roman"/>
          <w:szCs w:val="20"/>
        </w:rPr>
      </w:pPr>
    </w:p>
    <w:tbl>
      <w:tblPr>
        <w:tblW w:w="5000" w:type="pct"/>
        <w:tblLayout w:type="fixed"/>
        <w:tblLook w:val="04A0" w:firstRow="1" w:lastRow="0" w:firstColumn="1" w:lastColumn="0" w:noHBand="0" w:noVBand="1"/>
      </w:tblPr>
      <w:tblGrid>
        <w:gridCol w:w="1844"/>
        <w:gridCol w:w="992"/>
        <w:gridCol w:w="5523"/>
        <w:gridCol w:w="995"/>
      </w:tblGrid>
      <w:tr w:rsidR="004B7EB6" w:rsidRPr="004B7EB6" w:rsidTr="00E51E17">
        <w:trPr>
          <w:cantSplit/>
          <w:trHeight w:val="288"/>
          <w:tblHeader/>
        </w:trPr>
        <w:tc>
          <w:tcPr>
            <w:tcW w:w="986"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APPOINTEE</w:t>
            </w:r>
          </w:p>
        </w:tc>
        <w:tc>
          <w:tcPr>
            <w:tcW w:w="530"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p>
        </w:tc>
        <w:tc>
          <w:tcPr>
            <w:tcW w:w="295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POSITION</w:t>
            </w:r>
          </w:p>
        </w:tc>
        <w:tc>
          <w:tcPr>
            <w:tcW w:w="53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SALARY</w:t>
            </w:r>
          </w:p>
        </w:tc>
      </w:tr>
      <w:tr w:rsidR="004B7EB6" w:rsidRPr="004B7EB6" w:rsidTr="00E51E17">
        <w:trPr>
          <w:cantSplit/>
          <w:trHeight w:val="56"/>
          <w:tblHeader/>
        </w:trPr>
        <w:tc>
          <w:tcPr>
            <w:tcW w:w="986"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b/>
                <w:bCs/>
                <w:color w:val="000000"/>
                <w:szCs w:val="17"/>
                <w:lang w:eastAsia="en-AU"/>
              </w:rPr>
            </w:pPr>
          </w:p>
        </w:tc>
        <w:tc>
          <w:tcPr>
            <w:tcW w:w="530"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color w:val="000000"/>
                <w:szCs w:val="17"/>
                <w:lang w:eastAsia="en-AU"/>
              </w:rPr>
            </w:pPr>
          </w:p>
        </w:tc>
        <w:tc>
          <w:tcPr>
            <w:tcW w:w="2952" w:type="pct"/>
            <w:tcBorders>
              <w:top w:val="nil"/>
              <w:left w:val="nil"/>
              <w:bottom w:val="nil"/>
              <w:right w:val="nil"/>
            </w:tcBorders>
            <w:shd w:val="clear" w:color="auto" w:fill="auto"/>
          </w:tcPr>
          <w:p w:rsidR="004B7EB6" w:rsidRPr="004B7EB6" w:rsidRDefault="004B7EB6" w:rsidP="004B7EB6">
            <w:pPr>
              <w:spacing w:after="0" w:line="20" w:lineRule="exact"/>
              <w:jc w:val="left"/>
              <w:rPr>
                <w:rFonts w:eastAsia="Times New Roman"/>
                <w:color w:val="000000"/>
                <w:szCs w:val="17"/>
                <w:lang w:eastAsia="en-AU"/>
              </w:rPr>
            </w:pPr>
          </w:p>
        </w:tc>
        <w:tc>
          <w:tcPr>
            <w:tcW w:w="532" w:type="pct"/>
            <w:tcBorders>
              <w:top w:val="nil"/>
              <w:left w:val="nil"/>
              <w:bottom w:val="nil"/>
              <w:right w:val="nil"/>
            </w:tcBorders>
            <w:shd w:val="clear" w:color="auto" w:fill="auto"/>
            <w:noWrap/>
          </w:tcPr>
          <w:p w:rsidR="004B7EB6" w:rsidRPr="004B7EB6" w:rsidRDefault="004B7EB6" w:rsidP="004B7EB6">
            <w:pPr>
              <w:spacing w:after="0" w:line="20" w:lineRule="exact"/>
              <w:jc w:val="center"/>
              <w:rPr>
                <w:rFonts w:eastAsia="Times New Roman"/>
                <w:color w:val="000000"/>
                <w:szCs w:val="17"/>
                <w:lang w:eastAsia="en-AU"/>
              </w:rPr>
            </w:pP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Price</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Simon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Chief of Staff</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$165,648</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Perry</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Brad</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Bray</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Sara</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86"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Harrington</w:t>
            </w:r>
          </w:p>
        </w:tc>
        <w:tc>
          <w:tcPr>
            <w:tcW w:w="530"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Courtney</w:t>
            </w:r>
          </w:p>
        </w:tc>
        <w:tc>
          <w:tcPr>
            <w:tcW w:w="2952" w:type="pct"/>
            <w:tcBorders>
              <w:top w:val="nil"/>
              <w:left w:val="nil"/>
              <w:bottom w:val="single" w:sz="4" w:space="0" w:color="auto"/>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Assistant 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w:t>
            </w:r>
          </w:p>
        </w:tc>
        <w:tc>
          <w:tcPr>
            <w:tcW w:w="532" w:type="pct"/>
            <w:tcBorders>
              <w:top w:val="nil"/>
              <w:left w:val="nil"/>
              <w:bottom w:val="single" w:sz="4" w:space="0" w:color="auto"/>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$89,859</w:t>
            </w:r>
          </w:p>
        </w:tc>
      </w:tr>
    </w:tbl>
    <w:p w:rsidR="004B7EB6" w:rsidRPr="004B7EB6" w:rsidRDefault="004B7EB6" w:rsidP="004B7EB6">
      <w:pPr>
        <w:spacing w:after="0" w:line="120" w:lineRule="exact"/>
        <w:rPr>
          <w:rFonts w:eastAsia="Times New Roman"/>
          <w:szCs w:val="20"/>
        </w:rPr>
      </w:pPr>
    </w:p>
    <w:tbl>
      <w:tblPr>
        <w:tblW w:w="5000" w:type="pct"/>
        <w:tblLayout w:type="fixed"/>
        <w:tblLook w:val="04A0" w:firstRow="1" w:lastRow="0" w:firstColumn="1" w:lastColumn="0" w:noHBand="0" w:noVBand="1"/>
      </w:tblPr>
      <w:tblGrid>
        <w:gridCol w:w="5809"/>
        <w:gridCol w:w="2550"/>
        <w:gridCol w:w="995"/>
      </w:tblGrid>
      <w:tr w:rsidR="004B7EB6" w:rsidRPr="004B7EB6" w:rsidTr="00E51E17">
        <w:trPr>
          <w:cantSplit/>
          <w:trHeight w:val="288"/>
        </w:trPr>
        <w:tc>
          <w:tcPr>
            <w:tcW w:w="3105" w:type="pct"/>
            <w:tcBorders>
              <w:top w:val="nil"/>
              <w:left w:val="nil"/>
              <w:bottom w:val="nil"/>
              <w:right w:val="nil"/>
            </w:tcBorders>
            <w:shd w:val="clear" w:color="auto" w:fill="auto"/>
            <w:noWrap/>
            <w:vAlign w:val="bottom"/>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MINISTER: Minister for Police, Emergency Services and Correctional Services, Minister for Recreation, Sport and Racing</w:t>
            </w:r>
          </w:p>
        </w:tc>
        <w:tc>
          <w:tcPr>
            <w:tcW w:w="1363" w:type="pct"/>
            <w:tcBorders>
              <w:top w:val="nil"/>
              <w:left w:val="nil"/>
              <w:bottom w:val="nil"/>
              <w:right w:val="nil"/>
            </w:tcBorders>
            <w:shd w:val="clear" w:color="auto" w:fill="auto"/>
            <w:vAlign w:val="bottom"/>
          </w:tcPr>
          <w:p w:rsidR="004B7EB6" w:rsidRPr="004B7EB6" w:rsidRDefault="004B7EB6" w:rsidP="004B7EB6">
            <w:pPr>
              <w:spacing w:after="0"/>
              <w:jc w:val="right"/>
              <w:rPr>
                <w:rFonts w:eastAsia="Times New Roman"/>
                <w:bCs/>
                <w:color w:val="000000"/>
                <w:szCs w:val="17"/>
                <w:lang w:eastAsia="en-AU"/>
              </w:rPr>
            </w:pPr>
            <w:r w:rsidRPr="004B7EB6">
              <w:rPr>
                <w:rFonts w:eastAsia="Times New Roman"/>
                <w:bCs/>
                <w:color w:val="000000"/>
                <w:szCs w:val="17"/>
                <w:lang w:eastAsia="en-AU"/>
              </w:rPr>
              <w:t>Number of Ministerial Staff:</w:t>
            </w:r>
          </w:p>
        </w:tc>
        <w:tc>
          <w:tcPr>
            <w:tcW w:w="532" w:type="pct"/>
            <w:vAlign w:val="bottom"/>
          </w:tcPr>
          <w:p w:rsidR="004B7EB6" w:rsidRPr="004B7EB6" w:rsidRDefault="004B7EB6" w:rsidP="004B7EB6">
            <w:pPr>
              <w:spacing w:after="0"/>
              <w:jc w:val="center"/>
              <w:rPr>
                <w:rFonts w:eastAsia="Times New Roman"/>
                <w:b/>
                <w:bCs/>
                <w:color w:val="000000"/>
                <w:szCs w:val="17"/>
                <w:lang w:eastAsia="en-AU"/>
              </w:rPr>
            </w:pPr>
            <w:r w:rsidRPr="004B7EB6">
              <w:rPr>
                <w:rFonts w:eastAsia="Times New Roman"/>
                <w:b/>
                <w:bCs/>
                <w:color w:val="000000"/>
                <w:szCs w:val="17"/>
                <w:lang w:eastAsia="en-AU"/>
              </w:rPr>
              <w:t>5 FTE</w:t>
            </w:r>
          </w:p>
        </w:tc>
      </w:tr>
    </w:tbl>
    <w:p w:rsidR="004B7EB6" w:rsidRPr="004B7EB6" w:rsidRDefault="004B7EB6" w:rsidP="004B7EB6">
      <w:pPr>
        <w:spacing w:after="0" w:line="20" w:lineRule="exact"/>
        <w:rPr>
          <w:rFonts w:eastAsia="Times New Roman"/>
          <w:szCs w:val="20"/>
        </w:rPr>
      </w:pPr>
    </w:p>
    <w:tbl>
      <w:tblPr>
        <w:tblW w:w="5000" w:type="pct"/>
        <w:tblLayout w:type="fixed"/>
        <w:tblLook w:val="04A0" w:firstRow="1" w:lastRow="0" w:firstColumn="1" w:lastColumn="0" w:noHBand="0" w:noVBand="1"/>
      </w:tblPr>
      <w:tblGrid>
        <w:gridCol w:w="1844"/>
        <w:gridCol w:w="992"/>
        <w:gridCol w:w="5523"/>
        <w:gridCol w:w="995"/>
      </w:tblGrid>
      <w:tr w:rsidR="004B7EB6" w:rsidRPr="004B7EB6" w:rsidTr="00E51E17">
        <w:trPr>
          <w:cantSplit/>
          <w:trHeight w:val="288"/>
          <w:tblHeader/>
        </w:trPr>
        <w:tc>
          <w:tcPr>
            <w:tcW w:w="986"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APPOINTEE</w:t>
            </w:r>
          </w:p>
        </w:tc>
        <w:tc>
          <w:tcPr>
            <w:tcW w:w="530"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p>
        </w:tc>
        <w:tc>
          <w:tcPr>
            <w:tcW w:w="295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POSITION</w:t>
            </w:r>
          </w:p>
        </w:tc>
        <w:tc>
          <w:tcPr>
            <w:tcW w:w="53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SALARY</w:t>
            </w:r>
          </w:p>
        </w:tc>
      </w:tr>
      <w:tr w:rsidR="004B7EB6" w:rsidRPr="004B7EB6" w:rsidTr="00E51E17">
        <w:trPr>
          <w:cantSplit/>
          <w:trHeight w:val="56"/>
          <w:tblHeader/>
        </w:trPr>
        <w:tc>
          <w:tcPr>
            <w:tcW w:w="986"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b/>
                <w:bCs/>
                <w:color w:val="000000"/>
                <w:szCs w:val="17"/>
                <w:lang w:eastAsia="en-AU"/>
              </w:rPr>
            </w:pPr>
          </w:p>
        </w:tc>
        <w:tc>
          <w:tcPr>
            <w:tcW w:w="530"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color w:val="000000"/>
                <w:szCs w:val="17"/>
                <w:lang w:eastAsia="en-AU"/>
              </w:rPr>
            </w:pPr>
          </w:p>
        </w:tc>
        <w:tc>
          <w:tcPr>
            <w:tcW w:w="2952" w:type="pct"/>
            <w:tcBorders>
              <w:top w:val="nil"/>
              <w:left w:val="nil"/>
              <w:bottom w:val="nil"/>
              <w:right w:val="nil"/>
            </w:tcBorders>
            <w:shd w:val="clear" w:color="auto" w:fill="auto"/>
          </w:tcPr>
          <w:p w:rsidR="004B7EB6" w:rsidRPr="004B7EB6" w:rsidRDefault="004B7EB6" w:rsidP="004B7EB6">
            <w:pPr>
              <w:spacing w:after="0" w:line="20" w:lineRule="exact"/>
              <w:jc w:val="left"/>
              <w:rPr>
                <w:rFonts w:eastAsia="Times New Roman"/>
                <w:color w:val="000000"/>
                <w:szCs w:val="17"/>
                <w:lang w:eastAsia="en-AU"/>
              </w:rPr>
            </w:pPr>
          </w:p>
        </w:tc>
        <w:tc>
          <w:tcPr>
            <w:tcW w:w="532" w:type="pct"/>
            <w:tcBorders>
              <w:top w:val="nil"/>
              <w:left w:val="nil"/>
              <w:bottom w:val="nil"/>
              <w:right w:val="nil"/>
            </w:tcBorders>
            <w:shd w:val="clear" w:color="auto" w:fill="auto"/>
            <w:noWrap/>
          </w:tcPr>
          <w:p w:rsidR="004B7EB6" w:rsidRPr="004B7EB6" w:rsidRDefault="004B7EB6" w:rsidP="004B7EB6">
            <w:pPr>
              <w:spacing w:after="0" w:line="20" w:lineRule="exact"/>
              <w:jc w:val="center"/>
              <w:rPr>
                <w:rFonts w:eastAsia="Times New Roman"/>
                <w:color w:val="000000"/>
                <w:szCs w:val="17"/>
                <w:lang w:eastAsia="en-AU"/>
              </w:rPr>
            </w:pP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Mallinson</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Larissa</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Chief of Staff</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$165,648</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Baldas</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Steven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Mildren</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Allison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(on leave until 19/10/20) 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Clark</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Brendan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r w:rsidR="004B7EB6" w:rsidRPr="004B7EB6" w:rsidTr="00E51E17">
        <w:trPr>
          <w:cantSplit/>
          <w:trHeight w:val="340"/>
        </w:trPr>
        <w:tc>
          <w:tcPr>
            <w:tcW w:w="986"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Fowler</w:t>
            </w:r>
          </w:p>
        </w:tc>
        <w:tc>
          <w:tcPr>
            <w:tcW w:w="530"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Richard</w:t>
            </w:r>
          </w:p>
        </w:tc>
        <w:tc>
          <w:tcPr>
            <w:tcW w:w="2952" w:type="pct"/>
            <w:tcBorders>
              <w:top w:val="nil"/>
              <w:left w:val="nil"/>
              <w:bottom w:val="single" w:sz="4" w:space="0" w:color="auto"/>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single" w:sz="4" w:space="0" w:color="auto"/>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$112,848</w:t>
            </w:r>
          </w:p>
        </w:tc>
      </w:tr>
    </w:tbl>
    <w:p w:rsidR="004B7EB6" w:rsidRPr="004B7EB6" w:rsidRDefault="004B7EB6" w:rsidP="004B7EB6">
      <w:pPr>
        <w:spacing w:after="0" w:line="120" w:lineRule="exact"/>
        <w:rPr>
          <w:rFonts w:eastAsia="Times New Roman"/>
          <w:szCs w:val="20"/>
        </w:rPr>
      </w:pPr>
    </w:p>
    <w:p w:rsidR="004B7EB6" w:rsidRPr="004B7EB6" w:rsidRDefault="004B7EB6" w:rsidP="004B7EB6">
      <w:pPr>
        <w:spacing w:after="0" w:line="240" w:lineRule="auto"/>
        <w:jc w:val="left"/>
        <w:rPr>
          <w:rFonts w:eastAsia="Times New Roman"/>
          <w:szCs w:val="20"/>
        </w:rPr>
      </w:pPr>
      <w:r w:rsidRPr="004B7EB6">
        <w:rPr>
          <w:rFonts w:eastAsia="Times New Roman"/>
          <w:szCs w:val="20"/>
        </w:rPr>
        <w:br w:type="page"/>
      </w:r>
    </w:p>
    <w:tbl>
      <w:tblPr>
        <w:tblW w:w="5000" w:type="pct"/>
        <w:tblLayout w:type="fixed"/>
        <w:tblLook w:val="04A0" w:firstRow="1" w:lastRow="0" w:firstColumn="1" w:lastColumn="0" w:noHBand="0" w:noVBand="1"/>
      </w:tblPr>
      <w:tblGrid>
        <w:gridCol w:w="5809"/>
        <w:gridCol w:w="2550"/>
        <w:gridCol w:w="995"/>
      </w:tblGrid>
      <w:tr w:rsidR="004B7EB6" w:rsidRPr="004B7EB6" w:rsidTr="00E51E17">
        <w:trPr>
          <w:cantSplit/>
          <w:trHeight w:val="288"/>
        </w:trPr>
        <w:tc>
          <w:tcPr>
            <w:tcW w:w="3105" w:type="pct"/>
            <w:tcBorders>
              <w:top w:val="nil"/>
              <w:left w:val="nil"/>
              <w:bottom w:val="nil"/>
              <w:right w:val="nil"/>
            </w:tcBorders>
            <w:shd w:val="clear" w:color="auto" w:fill="auto"/>
            <w:noWrap/>
            <w:vAlign w:val="bottom"/>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MINISTER: Minister for Environment and Water</w:t>
            </w:r>
          </w:p>
        </w:tc>
        <w:tc>
          <w:tcPr>
            <w:tcW w:w="1363" w:type="pct"/>
            <w:tcBorders>
              <w:top w:val="nil"/>
              <w:left w:val="nil"/>
              <w:bottom w:val="nil"/>
              <w:right w:val="nil"/>
            </w:tcBorders>
            <w:shd w:val="clear" w:color="auto" w:fill="auto"/>
            <w:vAlign w:val="bottom"/>
          </w:tcPr>
          <w:p w:rsidR="004B7EB6" w:rsidRPr="004B7EB6" w:rsidRDefault="004B7EB6" w:rsidP="004B7EB6">
            <w:pPr>
              <w:spacing w:after="0"/>
              <w:jc w:val="right"/>
              <w:rPr>
                <w:rFonts w:eastAsia="Times New Roman"/>
                <w:bCs/>
                <w:color w:val="000000"/>
                <w:szCs w:val="17"/>
                <w:lang w:eastAsia="en-AU"/>
              </w:rPr>
            </w:pPr>
            <w:r w:rsidRPr="004B7EB6">
              <w:rPr>
                <w:rFonts w:eastAsia="Times New Roman"/>
                <w:bCs/>
                <w:color w:val="000000"/>
                <w:szCs w:val="17"/>
                <w:lang w:eastAsia="en-AU"/>
              </w:rPr>
              <w:t>Number of Ministerial Staff:</w:t>
            </w:r>
          </w:p>
        </w:tc>
        <w:tc>
          <w:tcPr>
            <w:tcW w:w="532" w:type="pct"/>
            <w:vAlign w:val="bottom"/>
          </w:tcPr>
          <w:p w:rsidR="004B7EB6" w:rsidRPr="004B7EB6" w:rsidRDefault="004B7EB6" w:rsidP="004B7EB6">
            <w:pPr>
              <w:spacing w:after="0"/>
              <w:jc w:val="center"/>
              <w:rPr>
                <w:rFonts w:eastAsia="Times New Roman"/>
                <w:b/>
                <w:bCs/>
                <w:color w:val="000000"/>
                <w:szCs w:val="17"/>
                <w:lang w:eastAsia="en-AU"/>
              </w:rPr>
            </w:pPr>
            <w:r w:rsidRPr="004B7EB6">
              <w:rPr>
                <w:rFonts w:eastAsia="Times New Roman"/>
                <w:b/>
                <w:bCs/>
                <w:color w:val="000000"/>
                <w:szCs w:val="17"/>
                <w:lang w:eastAsia="en-AU"/>
              </w:rPr>
              <w:t>2.6 FTE</w:t>
            </w:r>
          </w:p>
        </w:tc>
      </w:tr>
    </w:tbl>
    <w:p w:rsidR="004B7EB6" w:rsidRPr="004B7EB6" w:rsidRDefault="004B7EB6" w:rsidP="004B7EB6">
      <w:pPr>
        <w:spacing w:after="0" w:line="20" w:lineRule="exact"/>
        <w:rPr>
          <w:rFonts w:eastAsia="Times New Roman"/>
          <w:szCs w:val="20"/>
        </w:rPr>
      </w:pPr>
    </w:p>
    <w:tbl>
      <w:tblPr>
        <w:tblW w:w="5000" w:type="pct"/>
        <w:tblLayout w:type="fixed"/>
        <w:tblLook w:val="04A0" w:firstRow="1" w:lastRow="0" w:firstColumn="1" w:lastColumn="0" w:noHBand="0" w:noVBand="1"/>
      </w:tblPr>
      <w:tblGrid>
        <w:gridCol w:w="1844"/>
        <w:gridCol w:w="992"/>
        <w:gridCol w:w="5523"/>
        <w:gridCol w:w="995"/>
      </w:tblGrid>
      <w:tr w:rsidR="004B7EB6" w:rsidRPr="004B7EB6" w:rsidTr="00E51E17">
        <w:trPr>
          <w:cantSplit/>
          <w:trHeight w:val="288"/>
          <w:tblHeader/>
        </w:trPr>
        <w:tc>
          <w:tcPr>
            <w:tcW w:w="986"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APPOINTEE</w:t>
            </w:r>
          </w:p>
        </w:tc>
        <w:tc>
          <w:tcPr>
            <w:tcW w:w="530"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p>
        </w:tc>
        <w:tc>
          <w:tcPr>
            <w:tcW w:w="295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POSITION</w:t>
            </w:r>
          </w:p>
        </w:tc>
        <w:tc>
          <w:tcPr>
            <w:tcW w:w="53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SALARY</w:t>
            </w:r>
          </w:p>
        </w:tc>
      </w:tr>
      <w:tr w:rsidR="004B7EB6" w:rsidRPr="004B7EB6" w:rsidTr="00E51E17">
        <w:trPr>
          <w:cantSplit/>
          <w:trHeight w:val="56"/>
          <w:tblHeader/>
        </w:trPr>
        <w:tc>
          <w:tcPr>
            <w:tcW w:w="986"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b/>
                <w:bCs/>
                <w:color w:val="000000"/>
                <w:szCs w:val="17"/>
                <w:lang w:eastAsia="en-AU"/>
              </w:rPr>
            </w:pPr>
          </w:p>
        </w:tc>
        <w:tc>
          <w:tcPr>
            <w:tcW w:w="530"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color w:val="000000"/>
                <w:szCs w:val="17"/>
                <w:lang w:eastAsia="en-AU"/>
              </w:rPr>
            </w:pPr>
          </w:p>
        </w:tc>
        <w:tc>
          <w:tcPr>
            <w:tcW w:w="2952" w:type="pct"/>
            <w:tcBorders>
              <w:top w:val="nil"/>
              <w:left w:val="nil"/>
              <w:bottom w:val="nil"/>
              <w:right w:val="nil"/>
            </w:tcBorders>
            <w:shd w:val="clear" w:color="auto" w:fill="auto"/>
          </w:tcPr>
          <w:p w:rsidR="004B7EB6" w:rsidRPr="004B7EB6" w:rsidRDefault="004B7EB6" w:rsidP="004B7EB6">
            <w:pPr>
              <w:spacing w:after="0" w:line="20" w:lineRule="exact"/>
              <w:jc w:val="left"/>
              <w:rPr>
                <w:rFonts w:eastAsia="Times New Roman"/>
                <w:color w:val="000000"/>
                <w:szCs w:val="17"/>
                <w:lang w:eastAsia="en-AU"/>
              </w:rPr>
            </w:pPr>
          </w:p>
        </w:tc>
        <w:tc>
          <w:tcPr>
            <w:tcW w:w="532" w:type="pct"/>
            <w:tcBorders>
              <w:top w:val="nil"/>
              <w:left w:val="nil"/>
              <w:bottom w:val="nil"/>
              <w:right w:val="nil"/>
            </w:tcBorders>
            <w:shd w:val="clear" w:color="auto" w:fill="auto"/>
            <w:noWrap/>
          </w:tcPr>
          <w:p w:rsidR="004B7EB6" w:rsidRPr="004B7EB6" w:rsidRDefault="004B7EB6" w:rsidP="004B7EB6">
            <w:pPr>
              <w:spacing w:after="0" w:line="20" w:lineRule="exact"/>
              <w:jc w:val="center"/>
              <w:rPr>
                <w:rFonts w:eastAsia="Times New Roman"/>
                <w:color w:val="000000"/>
                <w:szCs w:val="17"/>
                <w:lang w:eastAsia="en-AU"/>
              </w:rPr>
            </w:pP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Ross</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Ken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Acting Chief of Staff</w:t>
            </w:r>
          </w:p>
          <w:p w:rsidR="004B7EB6" w:rsidRPr="004B7EB6" w:rsidRDefault="004B7EB6" w:rsidP="004B7EB6">
            <w:pPr>
              <w:spacing w:after="60"/>
              <w:jc w:val="left"/>
              <w:rPr>
                <w:rFonts w:eastAsia="Times New Roman"/>
                <w:i/>
                <w:iCs/>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$165,648</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Peevor</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Stuart</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Senior 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$136,660</w:t>
            </w:r>
          </w:p>
        </w:tc>
      </w:tr>
      <w:tr w:rsidR="004B7EB6" w:rsidRPr="004B7EB6" w:rsidTr="00E51E17">
        <w:trPr>
          <w:cantSplit/>
          <w:trHeight w:val="340"/>
        </w:trPr>
        <w:tc>
          <w:tcPr>
            <w:tcW w:w="986"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George</w:t>
            </w:r>
          </w:p>
        </w:tc>
        <w:tc>
          <w:tcPr>
            <w:tcW w:w="530"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Pia</w:t>
            </w:r>
          </w:p>
        </w:tc>
        <w:tc>
          <w:tcPr>
            <w:tcW w:w="2952" w:type="pct"/>
            <w:tcBorders>
              <w:top w:val="nil"/>
              <w:left w:val="nil"/>
              <w:bottom w:val="single" w:sz="4" w:space="0" w:color="auto"/>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Ministerial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0.6 FTE, reasonable personal use of mobile phone, car park</w:t>
            </w:r>
          </w:p>
        </w:tc>
        <w:tc>
          <w:tcPr>
            <w:tcW w:w="532" w:type="pct"/>
            <w:tcBorders>
              <w:top w:val="nil"/>
              <w:left w:val="nil"/>
              <w:bottom w:val="single" w:sz="4" w:space="0" w:color="auto"/>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$67,709</w:t>
            </w:r>
          </w:p>
        </w:tc>
      </w:tr>
    </w:tbl>
    <w:p w:rsidR="004B7EB6" w:rsidRPr="004B7EB6" w:rsidRDefault="004B7EB6" w:rsidP="004B7EB6">
      <w:pPr>
        <w:spacing w:after="0" w:line="120" w:lineRule="exact"/>
        <w:rPr>
          <w:rFonts w:eastAsia="Times New Roman"/>
          <w:szCs w:val="20"/>
        </w:rPr>
      </w:pPr>
    </w:p>
    <w:tbl>
      <w:tblPr>
        <w:tblW w:w="5000" w:type="pct"/>
        <w:tblLayout w:type="fixed"/>
        <w:tblLook w:val="04A0" w:firstRow="1" w:lastRow="0" w:firstColumn="1" w:lastColumn="0" w:noHBand="0" w:noVBand="1"/>
      </w:tblPr>
      <w:tblGrid>
        <w:gridCol w:w="2836"/>
        <w:gridCol w:w="5523"/>
        <w:gridCol w:w="995"/>
      </w:tblGrid>
      <w:tr w:rsidR="004B7EB6" w:rsidRPr="004B7EB6" w:rsidTr="00E51E17">
        <w:trPr>
          <w:cantSplit/>
          <w:trHeight w:val="288"/>
        </w:trPr>
        <w:tc>
          <w:tcPr>
            <w:tcW w:w="1516" w:type="pct"/>
            <w:tcBorders>
              <w:top w:val="nil"/>
              <w:left w:val="nil"/>
              <w:bottom w:val="nil"/>
              <w:right w:val="nil"/>
            </w:tcBorders>
            <w:shd w:val="clear" w:color="auto" w:fill="auto"/>
            <w:noWrap/>
            <w:vAlign w:val="bottom"/>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Leader of the Opposition</w:t>
            </w:r>
          </w:p>
        </w:tc>
        <w:tc>
          <w:tcPr>
            <w:tcW w:w="2952" w:type="pct"/>
            <w:tcBorders>
              <w:top w:val="nil"/>
              <w:left w:val="nil"/>
              <w:bottom w:val="nil"/>
              <w:right w:val="nil"/>
            </w:tcBorders>
            <w:shd w:val="clear" w:color="auto" w:fill="auto"/>
            <w:noWrap/>
            <w:vAlign w:val="bottom"/>
            <w:hideMark/>
          </w:tcPr>
          <w:p w:rsidR="004B7EB6" w:rsidRPr="004B7EB6" w:rsidRDefault="004B7EB6" w:rsidP="004B7EB6">
            <w:pPr>
              <w:spacing w:after="0"/>
              <w:jc w:val="right"/>
              <w:rPr>
                <w:rFonts w:eastAsia="Times New Roman"/>
                <w:bCs/>
                <w:color w:val="000000"/>
                <w:szCs w:val="17"/>
                <w:lang w:eastAsia="en-AU"/>
              </w:rPr>
            </w:pPr>
            <w:r w:rsidRPr="004B7EB6">
              <w:rPr>
                <w:rFonts w:eastAsia="Times New Roman"/>
                <w:bCs/>
                <w:color w:val="000000"/>
                <w:szCs w:val="17"/>
                <w:lang w:eastAsia="en-AU"/>
              </w:rPr>
              <w:t>Number of Ministerial Staff:</w:t>
            </w:r>
          </w:p>
        </w:tc>
        <w:tc>
          <w:tcPr>
            <w:tcW w:w="532" w:type="pct"/>
            <w:tcBorders>
              <w:top w:val="nil"/>
              <w:left w:val="nil"/>
              <w:bottom w:val="nil"/>
              <w:right w:val="nil"/>
            </w:tcBorders>
            <w:shd w:val="clear" w:color="auto" w:fill="auto"/>
            <w:noWrap/>
            <w:vAlign w:val="bottom"/>
            <w:hideMark/>
          </w:tcPr>
          <w:p w:rsidR="004B7EB6" w:rsidRPr="004B7EB6" w:rsidRDefault="004B7EB6" w:rsidP="004B7EB6">
            <w:pPr>
              <w:spacing w:after="0"/>
              <w:jc w:val="center"/>
              <w:rPr>
                <w:rFonts w:eastAsia="Times New Roman"/>
                <w:b/>
                <w:bCs/>
                <w:color w:val="000000"/>
                <w:szCs w:val="17"/>
                <w:lang w:eastAsia="en-AU"/>
              </w:rPr>
            </w:pPr>
            <w:r w:rsidRPr="004B7EB6">
              <w:rPr>
                <w:rFonts w:eastAsia="Times New Roman"/>
                <w:b/>
                <w:bCs/>
                <w:color w:val="000000"/>
                <w:szCs w:val="17"/>
                <w:lang w:eastAsia="en-AU"/>
              </w:rPr>
              <w:t>10.2 FTE</w:t>
            </w:r>
          </w:p>
        </w:tc>
      </w:tr>
    </w:tbl>
    <w:p w:rsidR="004B7EB6" w:rsidRPr="004B7EB6" w:rsidRDefault="004B7EB6" w:rsidP="004B7EB6">
      <w:pPr>
        <w:spacing w:after="0" w:line="20" w:lineRule="exact"/>
        <w:rPr>
          <w:rFonts w:eastAsia="Times New Roman"/>
          <w:szCs w:val="20"/>
        </w:rPr>
      </w:pPr>
    </w:p>
    <w:tbl>
      <w:tblPr>
        <w:tblW w:w="5000" w:type="pct"/>
        <w:tblLayout w:type="fixed"/>
        <w:tblLook w:val="04A0" w:firstRow="1" w:lastRow="0" w:firstColumn="1" w:lastColumn="0" w:noHBand="0" w:noVBand="1"/>
      </w:tblPr>
      <w:tblGrid>
        <w:gridCol w:w="1844"/>
        <w:gridCol w:w="992"/>
        <w:gridCol w:w="5523"/>
        <w:gridCol w:w="995"/>
      </w:tblGrid>
      <w:tr w:rsidR="004B7EB6" w:rsidRPr="004B7EB6" w:rsidTr="00E51E17">
        <w:trPr>
          <w:cantSplit/>
          <w:trHeight w:val="288"/>
          <w:tblHeader/>
        </w:trPr>
        <w:tc>
          <w:tcPr>
            <w:tcW w:w="986"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APPOINTEE</w:t>
            </w:r>
          </w:p>
        </w:tc>
        <w:tc>
          <w:tcPr>
            <w:tcW w:w="530"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p>
        </w:tc>
        <w:tc>
          <w:tcPr>
            <w:tcW w:w="295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POSITION</w:t>
            </w:r>
          </w:p>
        </w:tc>
        <w:tc>
          <w:tcPr>
            <w:tcW w:w="532" w:type="pct"/>
            <w:tcBorders>
              <w:top w:val="single" w:sz="4" w:space="0" w:color="auto"/>
              <w:left w:val="nil"/>
              <w:bottom w:val="single" w:sz="4" w:space="0" w:color="auto"/>
              <w:right w:val="nil"/>
            </w:tcBorders>
            <w:shd w:val="clear" w:color="auto" w:fill="auto"/>
            <w:noWrap/>
            <w:vAlign w:val="center"/>
            <w:hideMark/>
          </w:tcPr>
          <w:p w:rsidR="004B7EB6" w:rsidRPr="004B7EB6" w:rsidRDefault="004B7EB6" w:rsidP="004B7EB6">
            <w:pPr>
              <w:spacing w:after="60"/>
              <w:jc w:val="center"/>
              <w:rPr>
                <w:rFonts w:eastAsia="Times New Roman"/>
                <w:b/>
                <w:bCs/>
                <w:color w:val="000000"/>
                <w:szCs w:val="17"/>
                <w:lang w:eastAsia="en-AU"/>
              </w:rPr>
            </w:pPr>
            <w:r w:rsidRPr="004B7EB6">
              <w:rPr>
                <w:rFonts w:eastAsia="Times New Roman"/>
                <w:b/>
                <w:bCs/>
                <w:color w:val="000000"/>
                <w:szCs w:val="17"/>
                <w:lang w:eastAsia="en-AU"/>
              </w:rPr>
              <w:t>SALARY</w:t>
            </w:r>
          </w:p>
        </w:tc>
      </w:tr>
      <w:tr w:rsidR="004B7EB6" w:rsidRPr="004B7EB6" w:rsidTr="00E51E17">
        <w:trPr>
          <w:cantSplit/>
          <w:trHeight w:val="56"/>
          <w:tblHeader/>
        </w:trPr>
        <w:tc>
          <w:tcPr>
            <w:tcW w:w="986"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b/>
                <w:bCs/>
                <w:color w:val="000000"/>
                <w:szCs w:val="17"/>
                <w:lang w:eastAsia="en-AU"/>
              </w:rPr>
            </w:pPr>
          </w:p>
        </w:tc>
        <w:tc>
          <w:tcPr>
            <w:tcW w:w="530" w:type="pct"/>
            <w:tcBorders>
              <w:top w:val="nil"/>
              <w:left w:val="nil"/>
              <w:bottom w:val="nil"/>
              <w:right w:val="nil"/>
            </w:tcBorders>
            <w:shd w:val="clear" w:color="auto" w:fill="auto"/>
            <w:noWrap/>
          </w:tcPr>
          <w:p w:rsidR="004B7EB6" w:rsidRPr="004B7EB6" w:rsidRDefault="004B7EB6" w:rsidP="004B7EB6">
            <w:pPr>
              <w:spacing w:after="0" w:line="20" w:lineRule="exact"/>
              <w:jc w:val="left"/>
              <w:rPr>
                <w:rFonts w:eastAsia="Times New Roman"/>
                <w:color w:val="000000"/>
                <w:szCs w:val="17"/>
                <w:lang w:eastAsia="en-AU"/>
              </w:rPr>
            </w:pPr>
          </w:p>
        </w:tc>
        <w:tc>
          <w:tcPr>
            <w:tcW w:w="2952" w:type="pct"/>
            <w:tcBorders>
              <w:top w:val="nil"/>
              <w:left w:val="nil"/>
              <w:bottom w:val="nil"/>
              <w:right w:val="nil"/>
            </w:tcBorders>
            <w:shd w:val="clear" w:color="auto" w:fill="auto"/>
          </w:tcPr>
          <w:p w:rsidR="004B7EB6" w:rsidRPr="004B7EB6" w:rsidRDefault="004B7EB6" w:rsidP="004B7EB6">
            <w:pPr>
              <w:spacing w:after="0" w:line="20" w:lineRule="exact"/>
              <w:jc w:val="left"/>
              <w:rPr>
                <w:rFonts w:eastAsia="Times New Roman"/>
                <w:color w:val="000000"/>
                <w:szCs w:val="17"/>
                <w:lang w:eastAsia="en-AU"/>
              </w:rPr>
            </w:pPr>
          </w:p>
        </w:tc>
        <w:tc>
          <w:tcPr>
            <w:tcW w:w="532" w:type="pct"/>
            <w:tcBorders>
              <w:top w:val="nil"/>
              <w:left w:val="nil"/>
              <w:bottom w:val="nil"/>
              <w:right w:val="nil"/>
            </w:tcBorders>
            <w:shd w:val="clear" w:color="auto" w:fill="auto"/>
            <w:noWrap/>
          </w:tcPr>
          <w:p w:rsidR="004B7EB6" w:rsidRPr="004B7EB6" w:rsidRDefault="004B7EB6" w:rsidP="004B7EB6">
            <w:pPr>
              <w:spacing w:after="0" w:line="20" w:lineRule="exact"/>
              <w:jc w:val="center"/>
              <w:rPr>
                <w:rFonts w:eastAsia="Times New Roman"/>
                <w:color w:val="000000"/>
                <w:szCs w:val="17"/>
                <w:lang w:eastAsia="en-AU"/>
              </w:rPr>
            </w:pP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Bistrovic</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John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Chief of Staff</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$160,472</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Morris</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Rik</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Director of Strategy</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 home internet reimbursement of $30 per calendar month</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$155,295</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Todd</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Adam</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i/>
                <w:iCs/>
                <w:color w:val="000000"/>
                <w:szCs w:val="17"/>
                <w:lang w:eastAsia="en-AU"/>
              </w:rPr>
            </w:pPr>
            <w:r w:rsidRPr="004B7EB6">
              <w:rPr>
                <w:rFonts w:eastAsia="Times New Roman"/>
                <w:color w:val="000000"/>
                <w:szCs w:val="17"/>
                <w:lang w:eastAsia="en-AU"/>
              </w:rPr>
              <w:t>Director of Media and Communications</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$129,413</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Agness</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James</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$95,248</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Perre</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Pamela</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Media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reasonable home internet usage</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$93,177</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Swalling</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Sandra</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Personal Assistant</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 car park</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$91,106</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Cannon</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Margaret</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Legal 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$87,000</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Hood</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Lucy</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0.8 FTE, reasonable personal use of mobile phone</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$74,300</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Bourke</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Aemon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0.6 FTE, reasonable personal use of mobile phone</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$73,200</w:t>
            </w:r>
          </w:p>
        </w:tc>
      </w:tr>
      <w:tr w:rsidR="004B7EB6" w:rsidRPr="004B7EB6" w:rsidTr="00E51E17">
        <w:trPr>
          <w:cantSplit/>
          <w:trHeight w:val="340"/>
        </w:trPr>
        <w:tc>
          <w:tcPr>
            <w:tcW w:w="986"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Pearce</w:t>
            </w:r>
          </w:p>
        </w:tc>
        <w:tc>
          <w:tcPr>
            <w:tcW w:w="530" w:type="pct"/>
            <w:tcBorders>
              <w:top w:val="nil"/>
              <w:left w:val="nil"/>
              <w:bottom w:val="nil"/>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Rhiannon</w:t>
            </w:r>
          </w:p>
        </w:tc>
        <w:tc>
          <w:tcPr>
            <w:tcW w:w="2952" w:type="pct"/>
            <w:tcBorders>
              <w:top w:val="nil"/>
              <w:left w:val="nil"/>
              <w:bottom w:val="nil"/>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Adviser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0.8 FTE, reasonable personal use of mobile phone</w:t>
            </w:r>
          </w:p>
        </w:tc>
        <w:tc>
          <w:tcPr>
            <w:tcW w:w="532" w:type="pct"/>
            <w:tcBorders>
              <w:top w:val="nil"/>
              <w:left w:val="nil"/>
              <w:bottom w:val="nil"/>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$72,000</w:t>
            </w:r>
          </w:p>
        </w:tc>
      </w:tr>
      <w:tr w:rsidR="004B7EB6" w:rsidRPr="004B7EB6" w:rsidTr="00E51E17">
        <w:trPr>
          <w:cantSplit/>
          <w:trHeight w:val="340"/>
        </w:trPr>
        <w:tc>
          <w:tcPr>
            <w:tcW w:w="986"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b/>
                <w:bCs/>
                <w:color w:val="000000"/>
                <w:szCs w:val="17"/>
                <w:lang w:eastAsia="en-AU"/>
              </w:rPr>
            </w:pPr>
            <w:r w:rsidRPr="004B7EB6">
              <w:rPr>
                <w:rFonts w:eastAsia="Times New Roman"/>
                <w:b/>
                <w:bCs/>
                <w:color w:val="000000"/>
                <w:szCs w:val="17"/>
                <w:lang w:eastAsia="en-AU"/>
              </w:rPr>
              <w:t>Griffiths</w:t>
            </w:r>
          </w:p>
        </w:tc>
        <w:tc>
          <w:tcPr>
            <w:tcW w:w="530" w:type="pct"/>
            <w:tcBorders>
              <w:top w:val="nil"/>
              <w:left w:val="nil"/>
              <w:bottom w:val="single" w:sz="4" w:space="0" w:color="auto"/>
              <w:right w:val="nil"/>
            </w:tcBorders>
            <w:shd w:val="clear" w:color="auto" w:fill="auto"/>
            <w:noWrap/>
            <w:hideMark/>
          </w:tcPr>
          <w:p w:rsidR="004B7EB6" w:rsidRPr="004B7EB6" w:rsidRDefault="004B7EB6" w:rsidP="004B7EB6">
            <w:pPr>
              <w:spacing w:after="0"/>
              <w:jc w:val="left"/>
              <w:rPr>
                <w:rFonts w:eastAsia="Times New Roman"/>
                <w:color w:val="000000"/>
                <w:szCs w:val="17"/>
                <w:lang w:eastAsia="en-AU"/>
              </w:rPr>
            </w:pPr>
            <w:r w:rsidRPr="004B7EB6">
              <w:rPr>
                <w:rFonts w:eastAsia="Times New Roman"/>
                <w:color w:val="000000"/>
                <w:szCs w:val="17"/>
                <w:lang w:eastAsia="en-AU"/>
              </w:rPr>
              <w:t>David</w:t>
            </w:r>
          </w:p>
        </w:tc>
        <w:tc>
          <w:tcPr>
            <w:tcW w:w="2952" w:type="pct"/>
            <w:tcBorders>
              <w:top w:val="nil"/>
              <w:left w:val="nil"/>
              <w:bottom w:val="single" w:sz="4" w:space="0" w:color="auto"/>
              <w:right w:val="nil"/>
            </w:tcBorders>
            <w:shd w:val="clear" w:color="auto" w:fill="auto"/>
            <w:hideMark/>
          </w:tcPr>
          <w:p w:rsidR="004B7EB6" w:rsidRPr="004B7EB6" w:rsidRDefault="004B7EB6" w:rsidP="004B7EB6">
            <w:pPr>
              <w:spacing w:after="60"/>
              <w:jc w:val="left"/>
              <w:rPr>
                <w:rFonts w:eastAsia="Times New Roman"/>
                <w:color w:val="000000"/>
                <w:szCs w:val="17"/>
                <w:lang w:eastAsia="en-AU"/>
              </w:rPr>
            </w:pPr>
            <w:r w:rsidRPr="004B7EB6">
              <w:rPr>
                <w:rFonts w:eastAsia="Times New Roman"/>
                <w:color w:val="000000"/>
                <w:szCs w:val="17"/>
                <w:lang w:eastAsia="en-AU"/>
              </w:rPr>
              <w:t>Digital Content Coordinator</w:t>
            </w:r>
          </w:p>
          <w:p w:rsidR="004B7EB6" w:rsidRPr="004B7EB6" w:rsidRDefault="004B7EB6" w:rsidP="004B7EB6">
            <w:pPr>
              <w:spacing w:after="60"/>
              <w:jc w:val="left"/>
              <w:rPr>
                <w:rFonts w:eastAsia="Times New Roman"/>
                <w:color w:val="000000"/>
                <w:szCs w:val="17"/>
                <w:lang w:eastAsia="en-AU"/>
              </w:rPr>
            </w:pPr>
            <w:r w:rsidRPr="004B7EB6">
              <w:rPr>
                <w:rFonts w:eastAsia="Times New Roman"/>
                <w:i/>
                <w:iCs/>
                <w:color w:val="000000"/>
                <w:szCs w:val="17"/>
                <w:lang w:eastAsia="en-AU"/>
              </w:rPr>
              <w:t>reasonable personal use of mobile phone</w:t>
            </w:r>
          </w:p>
        </w:tc>
        <w:tc>
          <w:tcPr>
            <w:tcW w:w="532" w:type="pct"/>
            <w:tcBorders>
              <w:top w:val="nil"/>
              <w:left w:val="nil"/>
              <w:bottom w:val="single" w:sz="4" w:space="0" w:color="auto"/>
              <w:right w:val="nil"/>
            </w:tcBorders>
            <w:shd w:val="clear" w:color="auto" w:fill="auto"/>
            <w:noWrap/>
            <w:hideMark/>
          </w:tcPr>
          <w:p w:rsidR="004B7EB6" w:rsidRPr="004B7EB6" w:rsidRDefault="004B7EB6" w:rsidP="004B7EB6">
            <w:pPr>
              <w:spacing w:after="0"/>
              <w:jc w:val="center"/>
              <w:rPr>
                <w:rFonts w:eastAsia="Times New Roman"/>
                <w:color w:val="000000"/>
                <w:szCs w:val="17"/>
                <w:lang w:eastAsia="en-AU"/>
              </w:rPr>
            </w:pPr>
            <w:r w:rsidRPr="004B7EB6">
              <w:rPr>
                <w:rFonts w:eastAsia="Times New Roman"/>
                <w:color w:val="000000"/>
                <w:szCs w:val="17"/>
                <w:lang w:eastAsia="en-AU"/>
              </w:rPr>
              <w:t>$50,000</w:t>
            </w:r>
          </w:p>
        </w:tc>
      </w:tr>
    </w:tbl>
    <w:p w:rsidR="004B7EB6" w:rsidRPr="004B7EB6" w:rsidRDefault="004B7EB6" w:rsidP="004B7EB6">
      <w:pPr>
        <w:spacing w:before="120" w:after="0"/>
        <w:rPr>
          <w:szCs w:val="17"/>
        </w:rPr>
      </w:pPr>
      <w:r w:rsidRPr="004B7EB6">
        <w:rPr>
          <w:szCs w:val="17"/>
          <w:lang w:val="en-US"/>
        </w:rPr>
        <w:t>Dated: 20 July 2020</w:t>
      </w:r>
    </w:p>
    <w:p w:rsidR="004B7EB6" w:rsidRPr="004B7EB6" w:rsidRDefault="004B7EB6" w:rsidP="004B7EB6">
      <w:pPr>
        <w:spacing w:after="0"/>
        <w:jc w:val="right"/>
        <w:rPr>
          <w:rFonts w:eastAsia="Times New Roman"/>
          <w:smallCaps/>
          <w:szCs w:val="20"/>
        </w:rPr>
      </w:pPr>
      <w:r w:rsidRPr="004B7EB6">
        <w:rPr>
          <w:rFonts w:eastAsia="Times New Roman"/>
          <w:smallCaps/>
          <w:szCs w:val="20"/>
        </w:rPr>
        <w:t>Steven Spence Marshall</w:t>
      </w:r>
    </w:p>
    <w:p w:rsidR="004B7EB6" w:rsidRPr="004B7EB6" w:rsidRDefault="004B7EB6" w:rsidP="004B7EB6">
      <w:pPr>
        <w:spacing w:after="0"/>
        <w:jc w:val="right"/>
        <w:rPr>
          <w:rFonts w:eastAsia="Times New Roman"/>
          <w:szCs w:val="17"/>
        </w:rPr>
      </w:pPr>
      <w:r w:rsidRPr="004B7EB6">
        <w:rPr>
          <w:rFonts w:eastAsia="Times New Roman"/>
          <w:szCs w:val="17"/>
        </w:rPr>
        <w:t>Premier of South Australia</w:t>
      </w:r>
    </w:p>
    <w:p w:rsidR="004B7EB6" w:rsidRPr="004B7EB6" w:rsidRDefault="004B7EB6" w:rsidP="004B7EB6">
      <w:pPr>
        <w:pBdr>
          <w:bottom w:val="single" w:sz="4" w:space="1" w:color="auto"/>
        </w:pBdr>
        <w:spacing w:after="0" w:line="52" w:lineRule="exact"/>
        <w:jc w:val="center"/>
        <w:rPr>
          <w:rFonts w:eastAsia="Times New Roman"/>
          <w:szCs w:val="17"/>
        </w:rPr>
      </w:pPr>
    </w:p>
    <w:p w:rsidR="004B7EB6" w:rsidRPr="004B7EB6" w:rsidRDefault="004B7EB6" w:rsidP="004B7EB6">
      <w:pPr>
        <w:pBdr>
          <w:top w:val="single" w:sz="4" w:space="1" w:color="auto"/>
        </w:pBdr>
        <w:spacing w:before="34" w:after="0" w:line="14" w:lineRule="exact"/>
        <w:jc w:val="center"/>
        <w:rPr>
          <w:rFonts w:eastAsia="Times New Roman"/>
          <w:szCs w:val="17"/>
        </w:rPr>
      </w:pPr>
    </w:p>
    <w:p w:rsidR="00D52222" w:rsidRDefault="00D52222" w:rsidP="0062275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9D1E2E" w:rsidRPr="009D1E2E" w:rsidRDefault="009D1E2E" w:rsidP="004E1DC3">
      <w:pPr>
        <w:pStyle w:val="Heading1"/>
      </w:pPr>
      <w:r>
        <w:rPr>
          <w:lang w:val="en-US"/>
        </w:rPr>
        <w:br w:type="page"/>
      </w:r>
      <w:bookmarkStart w:id="768" w:name="_Toc33707983"/>
      <w:bookmarkStart w:id="769" w:name="_Toc33708154"/>
      <w:bookmarkStart w:id="770" w:name="_Toc46398104"/>
      <w:r>
        <w:t>Local</w:t>
      </w:r>
      <w:r w:rsidRPr="009D1E2E">
        <w:t xml:space="preserve"> Government Instruments</w:t>
      </w:r>
      <w:bookmarkEnd w:id="768"/>
      <w:bookmarkEnd w:id="769"/>
      <w:bookmarkEnd w:id="770"/>
    </w:p>
    <w:p w:rsidR="008910ED" w:rsidRPr="008910ED" w:rsidRDefault="00782AB8" w:rsidP="00782AB8">
      <w:pPr>
        <w:pStyle w:val="Heading2"/>
      </w:pPr>
      <w:bookmarkStart w:id="771" w:name="_Toc46398105"/>
      <w:r w:rsidRPr="008910ED">
        <w:t>Campbelltown City Council</w:t>
      </w:r>
      <w:bookmarkEnd w:id="771"/>
    </w:p>
    <w:p w:rsidR="008910ED" w:rsidRPr="008910ED" w:rsidRDefault="008910ED" w:rsidP="008910ED">
      <w:pPr>
        <w:jc w:val="center"/>
        <w:rPr>
          <w:i/>
          <w:szCs w:val="17"/>
        </w:rPr>
      </w:pPr>
      <w:r w:rsidRPr="008910ED">
        <w:rPr>
          <w:i/>
          <w:szCs w:val="17"/>
        </w:rPr>
        <w:t>Adoption of Valuations and Declaration of Rates</w:t>
      </w:r>
    </w:p>
    <w:p w:rsidR="008910ED" w:rsidRPr="008910ED" w:rsidRDefault="008910ED" w:rsidP="008910ED">
      <w:pPr>
        <w:rPr>
          <w:rFonts w:eastAsia="Times New Roman"/>
          <w:szCs w:val="17"/>
        </w:rPr>
      </w:pPr>
      <w:r w:rsidRPr="008910ED">
        <w:rPr>
          <w:rFonts w:eastAsia="Times New Roman"/>
          <w:szCs w:val="17"/>
        </w:rPr>
        <w:t>NOTICE is hereby given that at its meeting held on 7 July 2020, the Corporation of the City of Campbelltown for the financial year ending 30 June 2021 resolved:</w:t>
      </w:r>
    </w:p>
    <w:p w:rsidR="008910ED" w:rsidRPr="008910ED" w:rsidRDefault="008910ED" w:rsidP="008910ED">
      <w:pPr>
        <w:ind w:left="142"/>
        <w:rPr>
          <w:b/>
          <w:szCs w:val="17"/>
        </w:rPr>
      </w:pPr>
      <w:r w:rsidRPr="008910ED">
        <w:rPr>
          <w:b/>
          <w:szCs w:val="17"/>
        </w:rPr>
        <w:t>Adoption of Valuation</w:t>
      </w:r>
    </w:p>
    <w:p w:rsidR="008910ED" w:rsidRPr="008910ED" w:rsidRDefault="008910ED" w:rsidP="008910ED">
      <w:pPr>
        <w:ind w:left="142"/>
        <w:rPr>
          <w:rFonts w:eastAsia="Times New Roman"/>
          <w:szCs w:val="17"/>
        </w:rPr>
      </w:pPr>
      <w:r w:rsidRPr="008910ED">
        <w:rPr>
          <w:rFonts w:eastAsia="Times New Roman"/>
          <w:szCs w:val="17"/>
        </w:rPr>
        <w:t>To adopt for rating purposes the most recent valuations supplied by the Valuer-General of the capital value of land within the Council’s area totalling $13,399,729,800.</w:t>
      </w:r>
    </w:p>
    <w:p w:rsidR="008910ED" w:rsidRPr="008910ED" w:rsidRDefault="008910ED" w:rsidP="008910ED">
      <w:pPr>
        <w:ind w:left="142"/>
        <w:rPr>
          <w:b/>
          <w:szCs w:val="17"/>
        </w:rPr>
      </w:pPr>
      <w:r w:rsidRPr="008910ED">
        <w:rPr>
          <w:b/>
          <w:szCs w:val="17"/>
        </w:rPr>
        <w:t>Declaration of General Rate for the Year 2020/2021</w:t>
      </w:r>
    </w:p>
    <w:p w:rsidR="008910ED" w:rsidRPr="008910ED" w:rsidRDefault="008910ED" w:rsidP="008910ED">
      <w:pPr>
        <w:ind w:left="142"/>
        <w:rPr>
          <w:rFonts w:eastAsia="Times New Roman"/>
          <w:szCs w:val="17"/>
        </w:rPr>
      </w:pPr>
      <w:r w:rsidRPr="008910ED">
        <w:rPr>
          <w:rFonts w:eastAsia="Times New Roman"/>
          <w:szCs w:val="17"/>
        </w:rPr>
        <w:t>To declare a general rate of 0.304791 cents for each dollar of the assessed capital value of rateable land within the Council’s area.</w:t>
      </w:r>
    </w:p>
    <w:p w:rsidR="008910ED" w:rsidRPr="008910ED" w:rsidRDefault="008910ED" w:rsidP="008910ED">
      <w:pPr>
        <w:ind w:left="142"/>
        <w:rPr>
          <w:b/>
          <w:szCs w:val="17"/>
        </w:rPr>
      </w:pPr>
      <w:r w:rsidRPr="008910ED">
        <w:rPr>
          <w:b/>
          <w:szCs w:val="17"/>
        </w:rPr>
        <w:t>Minimum Rate</w:t>
      </w:r>
    </w:p>
    <w:p w:rsidR="008910ED" w:rsidRPr="008910ED" w:rsidRDefault="008910ED" w:rsidP="008910ED">
      <w:pPr>
        <w:ind w:left="142"/>
        <w:rPr>
          <w:rFonts w:eastAsia="Times New Roman"/>
          <w:szCs w:val="17"/>
        </w:rPr>
      </w:pPr>
      <w:r w:rsidRPr="008910ED">
        <w:rPr>
          <w:rFonts w:eastAsia="Times New Roman"/>
          <w:szCs w:val="17"/>
        </w:rPr>
        <w:t>To fix a minimum amount payable by way of general rates of $984 in respect of rateable land within the Council’s area.</w:t>
      </w:r>
    </w:p>
    <w:p w:rsidR="008910ED" w:rsidRPr="008910ED" w:rsidRDefault="008910ED" w:rsidP="008910ED">
      <w:pPr>
        <w:ind w:left="142"/>
        <w:rPr>
          <w:b/>
          <w:szCs w:val="17"/>
        </w:rPr>
      </w:pPr>
      <w:r w:rsidRPr="008910ED">
        <w:rPr>
          <w:b/>
          <w:szCs w:val="17"/>
        </w:rPr>
        <w:t>Regional Landscape Levy</w:t>
      </w:r>
    </w:p>
    <w:p w:rsidR="008910ED" w:rsidRPr="008910ED" w:rsidRDefault="008910ED" w:rsidP="008910ED">
      <w:pPr>
        <w:ind w:left="142"/>
        <w:rPr>
          <w:rFonts w:eastAsia="Times New Roman"/>
          <w:szCs w:val="17"/>
        </w:rPr>
      </w:pPr>
      <w:r w:rsidRPr="008910ED">
        <w:rPr>
          <w:rFonts w:eastAsia="Times New Roman"/>
          <w:szCs w:val="17"/>
        </w:rPr>
        <w:t>To declare a separate rate of 0.009587 cents in the dollar on the capital value of all rateable land within the Council’s area to reimburse the Council for amounts contributed to the Greening Adelaide Board.</w:t>
      </w:r>
    </w:p>
    <w:p w:rsidR="008910ED" w:rsidRPr="008910ED" w:rsidRDefault="008910ED" w:rsidP="008910ED">
      <w:pPr>
        <w:spacing w:after="0"/>
        <w:rPr>
          <w:rFonts w:eastAsia="Times New Roman"/>
          <w:szCs w:val="17"/>
        </w:rPr>
      </w:pPr>
      <w:r w:rsidRPr="008910ED">
        <w:rPr>
          <w:rFonts w:eastAsia="Times New Roman"/>
          <w:szCs w:val="17"/>
        </w:rPr>
        <w:t>Dated: 23 July 2020</w:t>
      </w:r>
    </w:p>
    <w:p w:rsidR="008910ED" w:rsidRPr="008910ED" w:rsidRDefault="008910ED" w:rsidP="008910ED">
      <w:pPr>
        <w:spacing w:after="0"/>
        <w:jc w:val="right"/>
        <w:rPr>
          <w:rFonts w:eastAsia="Times New Roman"/>
          <w:smallCaps/>
          <w:szCs w:val="20"/>
        </w:rPr>
      </w:pPr>
      <w:r w:rsidRPr="008910ED">
        <w:rPr>
          <w:rFonts w:eastAsia="Times New Roman"/>
          <w:smallCaps/>
          <w:szCs w:val="20"/>
        </w:rPr>
        <w:t>P. Di Iulio</w:t>
      </w:r>
    </w:p>
    <w:p w:rsidR="008910ED" w:rsidRPr="008910ED" w:rsidRDefault="008910ED" w:rsidP="008910ED">
      <w:pPr>
        <w:spacing w:after="0"/>
        <w:jc w:val="right"/>
        <w:rPr>
          <w:rFonts w:eastAsia="Times New Roman"/>
          <w:szCs w:val="17"/>
        </w:rPr>
      </w:pPr>
      <w:r w:rsidRPr="008910ED">
        <w:rPr>
          <w:rFonts w:eastAsia="Times New Roman"/>
          <w:szCs w:val="17"/>
        </w:rPr>
        <w:t>Chief Executive Officer</w:t>
      </w:r>
    </w:p>
    <w:p w:rsidR="008910ED" w:rsidRPr="008910ED" w:rsidRDefault="008910ED" w:rsidP="008910ED">
      <w:pPr>
        <w:pBdr>
          <w:bottom w:val="single" w:sz="4" w:space="1" w:color="auto"/>
        </w:pBdr>
        <w:spacing w:after="0" w:line="52" w:lineRule="exact"/>
        <w:jc w:val="center"/>
        <w:rPr>
          <w:rFonts w:eastAsia="Times New Roman"/>
          <w:szCs w:val="17"/>
        </w:rPr>
      </w:pPr>
    </w:p>
    <w:p w:rsidR="008910ED" w:rsidRPr="008910ED" w:rsidRDefault="008910ED" w:rsidP="008910ED">
      <w:pPr>
        <w:pBdr>
          <w:top w:val="single" w:sz="4" w:space="1" w:color="auto"/>
        </w:pBdr>
        <w:spacing w:before="34" w:after="0" w:line="14" w:lineRule="exact"/>
        <w:jc w:val="center"/>
        <w:rPr>
          <w:rFonts w:eastAsia="Times New Roman"/>
          <w:szCs w:val="17"/>
        </w:rPr>
      </w:pPr>
    </w:p>
    <w:p w:rsidR="008910ED" w:rsidRPr="008910ED" w:rsidRDefault="008910ED" w:rsidP="008910E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8910ED" w:rsidRPr="00782AB8" w:rsidRDefault="00782AB8" w:rsidP="00782AB8">
      <w:pPr>
        <w:pStyle w:val="Heading2"/>
      </w:pPr>
      <w:bookmarkStart w:id="772" w:name="_Toc46398106"/>
      <w:r w:rsidRPr="00782AB8">
        <w:t>City of Onkaparinga</w:t>
      </w:r>
      <w:bookmarkEnd w:id="772"/>
    </w:p>
    <w:p w:rsidR="008910ED" w:rsidRPr="008910ED" w:rsidRDefault="008910ED" w:rsidP="008910ED">
      <w:pPr>
        <w:jc w:val="center"/>
        <w:rPr>
          <w:i/>
          <w:szCs w:val="17"/>
        </w:rPr>
      </w:pPr>
      <w:r w:rsidRPr="008910ED">
        <w:rPr>
          <w:i/>
          <w:szCs w:val="17"/>
        </w:rPr>
        <w:t>Adoption of Valuations and Declaration of Rates for 2020-21</w:t>
      </w:r>
    </w:p>
    <w:p w:rsidR="008910ED" w:rsidRPr="008910ED" w:rsidRDefault="008910ED" w:rsidP="008910ED">
      <w:pPr>
        <w:rPr>
          <w:rFonts w:eastAsia="Times New Roman"/>
          <w:szCs w:val="17"/>
          <w:lang w:val="en-US"/>
        </w:rPr>
      </w:pPr>
      <w:r w:rsidRPr="008910ED">
        <w:rPr>
          <w:rFonts w:eastAsia="Times New Roman"/>
          <w:szCs w:val="17"/>
          <w:lang w:val="en-US"/>
        </w:rPr>
        <w:t>Notice is given that at its meeting held on 7 July 2020 the Council, for the financial year ending 30 June 2021:</w:t>
      </w:r>
    </w:p>
    <w:p w:rsidR="008910ED" w:rsidRPr="008910ED" w:rsidRDefault="008910ED" w:rsidP="008910ED">
      <w:pPr>
        <w:ind w:left="160"/>
        <w:rPr>
          <w:rFonts w:eastAsia="Times New Roman"/>
          <w:b/>
          <w:szCs w:val="17"/>
          <w:lang w:val="en-US"/>
        </w:rPr>
      </w:pPr>
      <w:r w:rsidRPr="008910ED">
        <w:rPr>
          <w:rFonts w:eastAsia="Times New Roman"/>
          <w:b/>
          <w:szCs w:val="17"/>
          <w:lang w:val="en-US"/>
        </w:rPr>
        <w:t>Adoption of Valuation</w:t>
      </w:r>
    </w:p>
    <w:p w:rsidR="008910ED" w:rsidRPr="008910ED" w:rsidRDefault="008910ED" w:rsidP="008910ED">
      <w:pPr>
        <w:ind w:left="160"/>
        <w:rPr>
          <w:rFonts w:eastAsia="Times New Roman"/>
          <w:spacing w:val="-2"/>
          <w:szCs w:val="17"/>
          <w:lang w:val="en-US"/>
        </w:rPr>
      </w:pPr>
      <w:r w:rsidRPr="008910ED">
        <w:rPr>
          <w:rFonts w:eastAsia="Times New Roman"/>
          <w:spacing w:val="-2"/>
          <w:szCs w:val="17"/>
          <w:lang w:val="en-US"/>
        </w:rPr>
        <w:t xml:space="preserve">Adopted for rating purposes the Valuer-General’s most recent valuation of capital value being </w:t>
      </w:r>
      <w:r w:rsidRPr="008910ED">
        <w:rPr>
          <w:rFonts w:eastAsia="Times New Roman"/>
          <w:bCs/>
          <w:spacing w:val="-2"/>
          <w:szCs w:val="17"/>
        </w:rPr>
        <w:t xml:space="preserve">$31,560,530,140 </w:t>
      </w:r>
      <w:r w:rsidRPr="008910ED">
        <w:rPr>
          <w:rFonts w:eastAsia="Times New Roman"/>
          <w:spacing w:val="-2"/>
          <w:szCs w:val="17"/>
          <w:lang w:val="en-US"/>
        </w:rPr>
        <w:t>effective from 1 July 2020.</w:t>
      </w:r>
    </w:p>
    <w:p w:rsidR="008910ED" w:rsidRPr="008910ED" w:rsidRDefault="008910ED" w:rsidP="008910ED">
      <w:pPr>
        <w:ind w:left="160"/>
        <w:rPr>
          <w:rFonts w:eastAsia="Times New Roman"/>
          <w:b/>
          <w:szCs w:val="17"/>
          <w:lang w:val="en-US"/>
        </w:rPr>
      </w:pPr>
      <w:r w:rsidRPr="008910ED">
        <w:rPr>
          <w:rFonts w:eastAsia="Times New Roman"/>
          <w:b/>
          <w:szCs w:val="17"/>
          <w:lang w:val="en-US"/>
        </w:rPr>
        <w:t>Declaration of General Rates</w:t>
      </w:r>
    </w:p>
    <w:p w:rsidR="008910ED" w:rsidRPr="008910ED" w:rsidRDefault="008910ED" w:rsidP="008910ED">
      <w:pPr>
        <w:ind w:left="480" w:hanging="320"/>
        <w:rPr>
          <w:rFonts w:eastAsia="Times New Roman"/>
          <w:szCs w:val="17"/>
          <w:lang w:val="en-US"/>
        </w:rPr>
      </w:pPr>
      <w:r w:rsidRPr="008910ED">
        <w:rPr>
          <w:rFonts w:eastAsia="Times New Roman"/>
          <w:szCs w:val="17"/>
          <w:lang w:val="en-US"/>
        </w:rPr>
        <w:t>(1)</w:t>
      </w:r>
      <w:r w:rsidRPr="008910ED">
        <w:rPr>
          <w:rFonts w:eastAsia="Times New Roman"/>
          <w:szCs w:val="17"/>
          <w:lang w:val="en-US"/>
        </w:rPr>
        <w:tab/>
        <w:t>Declared differential general rates according to land use, as follows:</w:t>
      </w:r>
    </w:p>
    <w:p w:rsidR="008910ED" w:rsidRPr="008910ED" w:rsidRDefault="008910ED" w:rsidP="008910ED">
      <w:pPr>
        <w:numPr>
          <w:ilvl w:val="0"/>
          <w:numId w:val="47"/>
        </w:numPr>
        <w:ind w:left="840"/>
        <w:rPr>
          <w:rFonts w:eastAsia="Times New Roman"/>
          <w:szCs w:val="17"/>
          <w:lang w:val="en-US"/>
        </w:rPr>
      </w:pPr>
      <w:r w:rsidRPr="008910ED">
        <w:rPr>
          <w:rFonts w:eastAsia="Times New Roman"/>
          <w:bCs/>
          <w:szCs w:val="17"/>
        </w:rPr>
        <w:t xml:space="preserve">0.294158 </w:t>
      </w:r>
      <w:r w:rsidRPr="008910ED">
        <w:rPr>
          <w:rFonts w:eastAsia="Times New Roman"/>
          <w:szCs w:val="17"/>
          <w:lang w:val="en-US"/>
        </w:rPr>
        <w:t>cents in the dollar on rateable land of category (a) (Residential) use</w:t>
      </w:r>
    </w:p>
    <w:p w:rsidR="008910ED" w:rsidRPr="008910ED" w:rsidRDefault="008910ED" w:rsidP="008910ED">
      <w:pPr>
        <w:numPr>
          <w:ilvl w:val="0"/>
          <w:numId w:val="47"/>
        </w:numPr>
        <w:ind w:left="840"/>
        <w:rPr>
          <w:rFonts w:eastAsia="Times New Roman"/>
          <w:szCs w:val="17"/>
          <w:lang w:val="en-US"/>
        </w:rPr>
      </w:pPr>
      <w:r w:rsidRPr="008910ED">
        <w:rPr>
          <w:rFonts w:eastAsia="Times New Roman"/>
          <w:bCs/>
          <w:szCs w:val="17"/>
        </w:rPr>
        <w:t>0.441237</w:t>
      </w:r>
      <w:r w:rsidRPr="008910ED">
        <w:rPr>
          <w:rFonts w:eastAsia="Times New Roman"/>
          <w:szCs w:val="17"/>
          <w:lang w:val="en-US"/>
        </w:rPr>
        <w:t xml:space="preserve"> cents in the dollar on rateable land of categories (b), (c), (d), (Commercial - Shop, Office and Other) and (e) and (f) (Industrial - Light and Other) uses</w:t>
      </w:r>
    </w:p>
    <w:p w:rsidR="008910ED" w:rsidRPr="008910ED" w:rsidRDefault="008910ED" w:rsidP="008910ED">
      <w:pPr>
        <w:numPr>
          <w:ilvl w:val="0"/>
          <w:numId w:val="47"/>
        </w:numPr>
        <w:ind w:left="840"/>
        <w:rPr>
          <w:rFonts w:eastAsia="Times New Roman"/>
          <w:szCs w:val="17"/>
          <w:lang w:val="en-US"/>
        </w:rPr>
      </w:pPr>
      <w:r w:rsidRPr="008910ED">
        <w:rPr>
          <w:rFonts w:eastAsia="Times New Roman"/>
          <w:bCs/>
          <w:szCs w:val="17"/>
        </w:rPr>
        <w:t>0.323576</w:t>
      </w:r>
      <w:r w:rsidRPr="008910ED">
        <w:rPr>
          <w:rFonts w:eastAsia="Times New Roman"/>
          <w:szCs w:val="17"/>
          <w:lang w:val="en-US"/>
        </w:rPr>
        <w:t xml:space="preserve"> cents in the dollar on rateable land of category (g) (Primary Production) use</w:t>
      </w:r>
    </w:p>
    <w:p w:rsidR="008910ED" w:rsidRPr="008910ED" w:rsidRDefault="008910ED" w:rsidP="008910ED">
      <w:pPr>
        <w:numPr>
          <w:ilvl w:val="0"/>
          <w:numId w:val="47"/>
        </w:numPr>
        <w:ind w:left="840"/>
        <w:rPr>
          <w:rFonts w:eastAsia="Times New Roman"/>
          <w:szCs w:val="17"/>
          <w:lang w:val="en-US"/>
        </w:rPr>
      </w:pPr>
      <w:r w:rsidRPr="008910ED">
        <w:rPr>
          <w:rFonts w:eastAsia="Times New Roman"/>
          <w:bCs/>
          <w:szCs w:val="17"/>
        </w:rPr>
        <w:t>0.411821</w:t>
      </w:r>
      <w:r w:rsidRPr="008910ED">
        <w:rPr>
          <w:rFonts w:eastAsia="Times New Roman"/>
          <w:szCs w:val="17"/>
          <w:lang w:val="en-US"/>
        </w:rPr>
        <w:t xml:space="preserve"> cents in the dollar on rateable land of category (h) (Vacant Land) use and</w:t>
      </w:r>
    </w:p>
    <w:p w:rsidR="008910ED" w:rsidRPr="008910ED" w:rsidRDefault="008910ED" w:rsidP="008910ED">
      <w:pPr>
        <w:numPr>
          <w:ilvl w:val="0"/>
          <w:numId w:val="47"/>
        </w:numPr>
        <w:ind w:left="840"/>
        <w:rPr>
          <w:rFonts w:eastAsia="Times New Roman"/>
          <w:szCs w:val="17"/>
          <w:lang w:val="en-US"/>
        </w:rPr>
      </w:pPr>
      <w:r w:rsidRPr="008910ED">
        <w:rPr>
          <w:rFonts w:eastAsia="Times New Roman"/>
          <w:bCs/>
          <w:szCs w:val="17"/>
        </w:rPr>
        <w:t>0.367697</w:t>
      </w:r>
      <w:r w:rsidRPr="008910ED">
        <w:rPr>
          <w:rFonts w:eastAsia="Times New Roman"/>
          <w:szCs w:val="17"/>
          <w:lang w:val="en-US"/>
        </w:rPr>
        <w:t xml:space="preserve"> cents in the dollar on rateable land of category (i) (Other) use; and</w:t>
      </w:r>
    </w:p>
    <w:p w:rsidR="008910ED" w:rsidRPr="008910ED" w:rsidRDefault="008910ED" w:rsidP="008910ED">
      <w:pPr>
        <w:ind w:left="480" w:hanging="320"/>
        <w:rPr>
          <w:rFonts w:eastAsia="Times New Roman"/>
          <w:szCs w:val="17"/>
          <w:lang w:val="en-US"/>
        </w:rPr>
      </w:pPr>
      <w:r w:rsidRPr="008910ED">
        <w:rPr>
          <w:rFonts w:eastAsia="Times New Roman"/>
          <w:szCs w:val="17"/>
          <w:lang w:val="en-US"/>
        </w:rPr>
        <w:t>(2)</w:t>
      </w:r>
      <w:r w:rsidRPr="008910ED">
        <w:rPr>
          <w:rFonts w:eastAsia="Times New Roman"/>
          <w:szCs w:val="17"/>
          <w:lang w:val="en-US"/>
        </w:rPr>
        <w:tab/>
        <w:t>imposed a fixed charge of $515.</w:t>
      </w:r>
    </w:p>
    <w:p w:rsidR="008910ED" w:rsidRPr="008910ED" w:rsidRDefault="008910ED" w:rsidP="008910ED">
      <w:pPr>
        <w:ind w:left="160"/>
        <w:rPr>
          <w:rFonts w:eastAsia="Times New Roman"/>
          <w:b/>
          <w:szCs w:val="17"/>
          <w:lang w:val="en-US"/>
        </w:rPr>
      </w:pPr>
      <w:r w:rsidRPr="008910ED">
        <w:rPr>
          <w:rFonts w:eastAsia="Times New Roman"/>
          <w:b/>
          <w:szCs w:val="17"/>
          <w:lang w:val="en-US"/>
        </w:rPr>
        <w:t>Declaration of Separate Rates—Landscape Levies</w:t>
      </w:r>
    </w:p>
    <w:p w:rsidR="008910ED" w:rsidRPr="008910ED" w:rsidRDefault="008910ED" w:rsidP="008910ED">
      <w:pPr>
        <w:ind w:left="160"/>
        <w:rPr>
          <w:rFonts w:eastAsia="Times New Roman"/>
          <w:bCs/>
          <w:szCs w:val="17"/>
          <w:lang w:val="en-US"/>
        </w:rPr>
      </w:pPr>
      <w:r w:rsidRPr="008910ED">
        <w:rPr>
          <w:rFonts w:eastAsia="Times New Roman"/>
          <w:bCs/>
          <w:szCs w:val="17"/>
          <w:lang w:val="en-US"/>
        </w:rPr>
        <w:t>Declared separate rates as follows:</w:t>
      </w:r>
    </w:p>
    <w:p w:rsidR="008910ED" w:rsidRPr="008910ED" w:rsidRDefault="008910ED" w:rsidP="008910ED">
      <w:pPr>
        <w:ind w:left="600" w:hanging="320"/>
        <w:rPr>
          <w:rFonts w:eastAsia="Times New Roman"/>
          <w:b/>
          <w:bCs/>
          <w:szCs w:val="17"/>
          <w:lang w:val="en-US"/>
        </w:rPr>
      </w:pPr>
      <w:r w:rsidRPr="008910ED">
        <w:rPr>
          <w:rFonts w:eastAsia="Times New Roman"/>
          <w:bCs/>
          <w:szCs w:val="17"/>
          <w:lang w:val="en-US"/>
        </w:rPr>
        <w:t>(1)</w:t>
      </w:r>
      <w:r w:rsidRPr="008910ED">
        <w:rPr>
          <w:rFonts w:eastAsia="Times New Roman"/>
          <w:bCs/>
          <w:szCs w:val="17"/>
          <w:lang w:val="en-US"/>
        </w:rPr>
        <w:tab/>
        <w:t>0.020121 cents in the dollar on all rateable land in the Council area of the former SA Murray</w:t>
      </w:r>
      <w:r w:rsidRPr="008910ED">
        <w:rPr>
          <w:rFonts w:eastAsia="Times New Roman"/>
          <w:b/>
          <w:bCs/>
          <w:szCs w:val="17"/>
          <w:lang w:val="en-US"/>
        </w:rPr>
        <w:t>-</w:t>
      </w:r>
      <w:r w:rsidRPr="008910ED">
        <w:rPr>
          <w:rFonts w:eastAsia="Times New Roman"/>
          <w:bCs/>
          <w:szCs w:val="17"/>
          <w:lang w:val="en-US"/>
        </w:rPr>
        <w:t>Darling Basin NRM and now in the area of the Hills and Fleurieu landscape management region</w:t>
      </w:r>
    </w:p>
    <w:p w:rsidR="008910ED" w:rsidRPr="008910ED" w:rsidRDefault="008910ED" w:rsidP="008910ED">
      <w:pPr>
        <w:ind w:left="600" w:hanging="320"/>
        <w:rPr>
          <w:rFonts w:eastAsia="Times New Roman"/>
          <w:b/>
          <w:bCs/>
          <w:szCs w:val="17"/>
          <w:lang w:val="en-US"/>
        </w:rPr>
      </w:pPr>
      <w:r w:rsidRPr="008910ED">
        <w:rPr>
          <w:rFonts w:eastAsia="Times New Roman"/>
          <w:bCs/>
          <w:szCs w:val="17"/>
          <w:lang w:val="en-US"/>
        </w:rPr>
        <w:t>(2)</w:t>
      </w:r>
      <w:r w:rsidRPr="008910ED">
        <w:rPr>
          <w:rFonts w:eastAsia="Times New Roman"/>
          <w:bCs/>
          <w:szCs w:val="17"/>
          <w:lang w:val="en-US"/>
        </w:rPr>
        <w:tab/>
        <w:t>0.010688 cents in the dollar on all rateable land in the Council area of the former Adelaide and Mt Lofty Ranges NRM and now in the areas of Green Adelaide and the Hills and Fleurieu landscape management regions</w:t>
      </w:r>
    </w:p>
    <w:p w:rsidR="008910ED" w:rsidRPr="008910ED" w:rsidRDefault="008910ED" w:rsidP="008910ED">
      <w:pPr>
        <w:ind w:left="160"/>
        <w:rPr>
          <w:rFonts w:eastAsia="Times New Roman"/>
          <w:b/>
          <w:szCs w:val="17"/>
          <w:lang w:val="en-US"/>
        </w:rPr>
      </w:pPr>
      <w:r w:rsidRPr="008910ED">
        <w:rPr>
          <w:rFonts w:eastAsia="Times New Roman"/>
          <w:b/>
          <w:szCs w:val="17"/>
          <w:lang w:val="en-US"/>
        </w:rPr>
        <w:t>Service Charges</w:t>
      </w:r>
    </w:p>
    <w:p w:rsidR="008910ED" w:rsidRPr="008910ED" w:rsidRDefault="008910ED" w:rsidP="008910ED">
      <w:pPr>
        <w:ind w:left="480" w:hanging="320"/>
        <w:rPr>
          <w:rFonts w:eastAsia="Times New Roman"/>
          <w:szCs w:val="17"/>
          <w:lang w:val="en-US"/>
        </w:rPr>
      </w:pPr>
      <w:r w:rsidRPr="008910ED">
        <w:rPr>
          <w:rFonts w:eastAsia="Times New Roman"/>
          <w:szCs w:val="17"/>
          <w:lang w:val="en-US"/>
        </w:rPr>
        <w:t>(1)</w:t>
      </w:r>
      <w:r w:rsidRPr="008910ED">
        <w:rPr>
          <w:rFonts w:eastAsia="Times New Roman"/>
          <w:szCs w:val="17"/>
          <w:lang w:val="en-US"/>
        </w:rPr>
        <w:tab/>
        <w:t>Imposed a community wastewater management annual service charge of:</w:t>
      </w:r>
    </w:p>
    <w:p w:rsidR="008910ED" w:rsidRPr="008910ED" w:rsidRDefault="008910ED" w:rsidP="008910ED">
      <w:pPr>
        <w:numPr>
          <w:ilvl w:val="0"/>
          <w:numId w:val="46"/>
        </w:numPr>
        <w:ind w:hanging="240"/>
        <w:rPr>
          <w:rFonts w:eastAsia="Times New Roman"/>
          <w:szCs w:val="17"/>
          <w:lang w:val="en-US"/>
        </w:rPr>
      </w:pPr>
      <w:r w:rsidRPr="008910ED">
        <w:rPr>
          <w:rFonts w:eastAsia="Times New Roman"/>
          <w:szCs w:val="17"/>
          <w:lang w:val="en-US"/>
        </w:rPr>
        <w:t>$976 per unit on each occupied allotment; and</w:t>
      </w:r>
    </w:p>
    <w:p w:rsidR="008910ED" w:rsidRPr="008910ED" w:rsidRDefault="008910ED" w:rsidP="008910ED">
      <w:pPr>
        <w:numPr>
          <w:ilvl w:val="0"/>
          <w:numId w:val="46"/>
        </w:numPr>
        <w:ind w:hanging="240"/>
        <w:rPr>
          <w:rFonts w:eastAsia="Times New Roman"/>
          <w:szCs w:val="17"/>
          <w:lang w:val="en-US"/>
        </w:rPr>
      </w:pPr>
      <w:r w:rsidRPr="008910ED">
        <w:rPr>
          <w:rFonts w:eastAsia="Times New Roman"/>
          <w:szCs w:val="17"/>
          <w:lang w:val="en-US"/>
        </w:rPr>
        <w:t>$976 per unit on each vacant allotment; and</w:t>
      </w:r>
    </w:p>
    <w:p w:rsidR="008910ED" w:rsidRPr="008910ED" w:rsidRDefault="008910ED" w:rsidP="008910ED">
      <w:pPr>
        <w:numPr>
          <w:ilvl w:val="0"/>
          <w:numId w:val="46"/>
        </w:numPr>
        <w:ind w:hanging="240"/>
        <w:rPr>
          <w:rFonts w:eastAsia="Times New Roman"/>
          <w:szCs w:val="17"/>
          <w:lang w:val="en-US"/>
        </w:rPr>
      </w:pPr>
      <w:r w:rsidRPr="008910ED">
        <w:rPr>
          <w:rFonts w:eastAsia="Times New Roman"/>
          <w:szCs w:val="17"/>
          <w:lang w:val="en-US"/>
        </w:rPr>
        <w:t xml:space="preserve">imposed </w:t>
      </w:r>
      <w:r w:rsidRPr="008910ED">
        <w:rPr>
          <w:rFonts w:eastAsia="Times New Roman"/>
          <w:szCs w:val="17"/>
        </w:rPr>
        <w:t xml:space="preserve">an annual service charge to recover the costs incurred by council for the disposal and treatment of major trade waste. Calculated on either a per kilolitre basis or an annual amount (as negotiated with the customer) and inclusive of: </w:t>
      </w:r>
      <w:r w:rsidRPr="008910ED">
        <w:rPr>
          <w:rFonts w:eastAsia="Times New Roman"/>
          <w:szCs w:val="17"/>
          <w:lang w:val="en-US"/>
        </w:rPr>
        <w:t>the cost of service provision (based on the nature and the level of usage of the service), return on assets, allowance for unquantifiable risk, plus other regulatory requirements.</w:t>
      </w:r>
    </w:p>
    <w:p w:rsidR="008910ED" w:rsidRPr="008910ED" w:rsidRDefault="008910ED" w:rsidP="008910ED">
      <w:pPr>
        <w:spacing w:after="0"/>
        <w:rPr>
          <w:rFonts w:eastAsia="Times New Roman"/>
          <w:szCs w:val="17"/>
        </w:rPr>
      </w:pPr>
      <w:r w:rsidRPr="008910ED">
        <w:rPr>
          <w:rFonts w:eastAsia="Times New Roman"/>
          <w:szCs w:val="17"/>
        </w:rPr>
        <w:t>Dated: 10 July 2020</w:t>
      </w:r>
    </w:p>
    <w:p w:rsidR="008910ED" w:rsidRPr="008910ED" w:rsidRDefault="008910ED" w:rsidP="008910ED">
      <w:pPr>
        <w:spacing w:after="0"/>
        <w:jc w:val="right"/>
        <w:rPr>
          <w:rFonts w:eastAsia="Times New Roman"/>
          <w:smallCaps/>
          <w:szCs w:val="20"/>
          <w:lang w:val="en-US"/>
        </w:rPr>
      </w:pPr>
      <w:r w:rsidRPr="008910ED">
        <w:rPr>
          <w:rFonts w:eastAsia="Times New Roman"/>
          <w:smallCaps/>
          <w:szCs w:val="20"/>
          <w:lang w:val="en-US"/>
        </w:rPr>
        <w:t>Scott Ashby</w:t>
      </w:r>
    </w:p>
    <w:p w:rsidR="008910ED" w:rsidRDefault="008910ED" w:rsidP="008910ED">
      <w:pPr>
        <w:spacing w:after="0"/>
        <w:jc w:val="right"/>
        <w:rPr>
          <w:rFonts w:eastAsia="Times New Roman"/>
          <w:szCs w:val="17"/>
          <w:lang w:val="en-US"/>
        </w:rPr>
      </w:pPr>
      <w:r w:rsidRPr="008910ED">
        <w:rPr>
          <w:rFonts w:eastAsia="Times New Roman"/>
          <w:szCs w:val="17"/>
          <w:lang w:val="en-US"/>
        </w:rPr>
        <w:t>Chief Executive Officer</w:t>
      </w:r>
    </w:p>
    <w:p w:rsidR="008910ED" w:rsidRDefault="008910ED" w:rsidP="008910ED">
      <w:pPr>
        <w:pBdr>
          <w:bottom w:val="single" w:sz="4" w:space="1" w:color="auto"/>
        </w:pBdr>
        <w:spacing w:after="0" w:line="52" w:lineRule="exact"/>
        <w:jc w:val="center"/>
        <w:rPr>
          <w:lang w:val="en-US"/>
        </w:rPr>
      </w:pPr>
    </w:p>
    <w:p w:rsidR="008910ED" w:rsidRDefault="008910ED" w:rsidP="008910ED">
      <w:pPr>
        <w:pBdr>
          <w:top w:val="single" w:sz="4" w:space="1" w:color="auto"/>
        </w:pBdr>
        <w:spacing w:before="34" w:after="0" w:line="14" w:lineRule="exact"/>
        <w:jc w:val="center"/>
        <w:rPr>
          <w:lang w:val="en-US"/>
        </w:rPr>
      </w:pPr>
    </w:p>
    <w:p w:rsidR="008910ED" w:rsidRDefault="008910ED" w:rsidP="008910E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0865EE" w:rsidRDefault="000865EE">
      <w:pPr>
        <w:spacing w:after="0" w:line="240" w:lineRule="auto"/>
        <w:jc w:val="left"/>
        <w:rPr>
          <w:lang w:val="en-US"/>
        </w:rPr>
      </w:pPr>
      <w:r>
        <w:rPr>
          <w:lang w:val="en-US"/>
        </w:rPr>
        <w:br w:type="page"/>
      </w:r>
    </w:p>
    <w:p w:rsidR="000865EE" w:rsidRPr="000865EE" w:rsidRDefault="00782AB8" w:rsidP="00782AB8">
      <w:pPr>
        <w:pStyle w:val="Heading2"/>
      </w:pPr>
      <w:bookmarkStart w:id="773" w:name="_Toc46398107"/>
      <w:r w:rsidRPr="000865EE">
        <w:t xml:space="preserve">City </w:t>
      </w:r>
      <w:r>
        <w:t>o</w:t>
      </w:r>
      <w:r w:rsidRPr="000865EE">
        <w:t>f Tea Tree Gully</w:t>
      </w:r>
      <w:bookmarkEnd w:id="773"/>
    </w:p>
    <w:p w:rsidR="000865EE" w:rsidRPr="000865EE" w:rsidRDefault="000865EE" w:rsidP="000865EE">
      <w:pPr>
        <w:jc w:val="center"/>
        <w:rPr>
          <w:smallCaps/>
          <w:szCs w:val="17"/>
        </w:rPr>
      </w:pPr>
      <w:r w:rsidRPr="000865EE">
        <w:rPr>
          <w:smallCaps/>
          <w:szCs w:val="17"/>
        </w:rPr>
        <w:t>Roads (Opening and Closing) Act 1991</w:t>
      </w:r>
    </w:p>
    <w:p w:rsidR="000865EE" w:rsidRPr="000865EE" w:rsidRDefault="000865EE" w:rsidP="000865EE">
      <w:pPr>
        <w:jc w:val="center"/>
        <w:rPr>
          <w:i/>
          <w:szCs w:val="17"/>
        </w:rPr>
      </w:pPr>
      <w:r w:rsidRPr="000865EE">
        <w:rPr>
          <w:i/>
          <w:szCs w:val="17"/>
        </w:rPr>
        <w:t>Road Closure—Portion of Lower North East Road, Highbury</w:t>
      </w:r>
    </w:p>
    <w:p w:rsidR="000865EE" w:rsidRPr="000865EE" w:rsidRDefault="000865EE" w:rsidP="000865EE">
      <w:pPr>
        <w:rPr>
          <w:rFonts w:eastAsia="Times New Roman"/>
          <w:szCs w:val="17"/>
        </w:rPr>
      </w:pPr>
      <w:r w:rsidRPr="000865EE">
        <w:rPr>
          <w:rFonts w:eastAsia="Times New Roman"/>
          <w:szCs w:val="17"/>
        </w:rPr>
        <w:t>NOTICE is hereby given pursuant to section 10 of the Roads (Opening and Closing) Act 1991, that the City of Tea Tree Gully proposes to make a Road Process Order to close and merge with the adjoining property portion of Lower North East Road, Highbury, situated adjoining Allotment 26 in Deposited Plan 9810, more particularly delineated and lettered ‘A’ on Preliminary Plan 19/0020.</w:t>
      </w:r>
    </w:p>
    <w:p w:rsidR="000865EE" w:rsidRPr="000865EE" w:rsidRDefault="000865EE" w:rsidP="000865EE">
      <w:pPr>
        <w:rPr>
          <w:rFonts w:eastAsia="Times New Roman"/>
          <w:szCs w:val="17"/>
        </w:rPr>
      </w:pPr>
      <w:r w:rsidRPr="000865EE">
        <w:rPr>
          <w:rFonts w:eastAsia="Times New Roman"/>
          <w:szCs w:val="17"/>
        </w:rPr>
        <w:t xml:space="preserve">A copy of the plan and a statement of persons affected are available for public inspection at the offices of the Council at 571 Montague Road, Modbury and the Office of the Surveyor-General at 101 Grenfell Street, Adelaide during normal office hours. The Preliminary Plan can also be viewed at </w:t>
      </w:r>
      <w:hyperlink r:id="rId96" w:history="1">
        <w:r w:rsidRPr="000865EE">
          <w:rPr>
            <w:color w:val="0000FF"/>
            <w:szCs w:val="17"/>
            <w:u w:val="single"/>
          </w:rPr>
          <w:t>http://www.sa.gov.au/roadsactproposals</w:t>
        </w:r>
      </w:hyperlink>
      <w:r w:rsidRPr="000865EE">
        <w:rPr>
          <w:rFonts w:eastAsia="Times New Roman"/>
          <w:szCs w:val="17"/>
        </w:rPr>
        <w:t xml:space="preserve">. </w:t>
      </w:r>
    </w:p>
    <w:p w:rsidR="000865EE" w:rsidRPr="000865EE" w:rsidRDefault="000865EE" w:rsidP="000865EE">
      <w:pPr>
        <w:rPr>
          <w:rFonts w:eastAsia="Times New Roman"/>
          <w:szCs w:val="17"/>
        </w:rPr>
      </w:pPr>
      <w:r w:rsidRPr="000865EE">
        <w:rPr>
          <w:rFonts w:eastAsia="Times New Roman"/>
          <w:szCs w:val="17"/>
        </w:rPr>
        <w:t>Any application for easement or objection must set out the full name, address and details of the submission and must be fully supported by reasons. The application for easement or objection must be made in writing to the Council at 571 Montague Road, Modbury SA 5092 WITHIN 28 DAYS OF THIS NOTICE and a copy must be forwarded to the Surveyor-General at GPO Box 1354, Adelaide SA 5001. Where a submission is made, the Council will give notification of a meeting at which the matter will be considered.</w:t>
      </w:r>
    </w:p>
    <w:p w:rsidR="000865EE" w:rsidRPr="000865EE" w:rsidRDefault="000865EE" w:rsidP="000865EE">
      <w:pPr>
        <w:spacing w:after="0"/>
        <w:rPr>
          <w:rFonts w:eastAsia="Times New Roman"/>
          <w:szCs w:val="17"/>
        </w:rPr>
      </w:pPr>
      <w:r w:rsidRPr="000865EE">
        <w:rPr>
          <w:rFonts w:eastAsia="Times New Roman"/>
          <w:szCs w:val="17"/>
        </w:rPr>
        <w:t>Dated: 23 July 2020</w:t>
      </w:r>
    </w:p>
    <w:p w:rsidR="000865EE" w:rsidRPr="000865EE" w:rsidRDefault="000865EE" w:rsidP="000865EE">
      <w:pPr>
        <w:spacing w:after="0"/>
        <w:jc w:val="right"/>
        <w:rPr>
          <w:rFonts w:eastAsia="Times New Roman"/>
          <w:smallCaps/>
          <w:szCs w:val="20"/>
        </w:rPr>
      </w:pPr>
      <w:r w:rsidRPr="000865EE">
        <w:rPr>
          <w:rFonts w:eastAsia="Times New Roman"/>
          <w:smallCaps/>
          <w:szCs w:val="20"/>
        </w:rPr>
        <w:t>John Moyle</w:t>
      </w:r>
    </w:p>
    <w:p w:rsidR="000865EE" w:rsidRDefault="000865EE" w:rsidP="000865EE">
      <w:pPr>
        <w:spacing w:after="0"/>
        <w:jc w:val="right"/>
        <w:rPr>
          <w:rFonts w:eastAsia="Times New Roman"/>
          <w:szCs w:val="17"/>
        </w:rPr>
      </w:pPr>
      <w:r w:rsidRPr="000865EE">
        <w:rPr>
          <w:rFonts w:eastAsia="Times New Roman"/>
          <w:szCs w:val="17"/>
        </w:rPr>
        <w:t>Chief Executive Officer</w:t>
      </w:r>
    </w:p>
    <w:p w:rsidR="000865EE" w:rsidRDefault="000865EE" w:rsidP="000865EE">
      <w:pPr>
        <w:pBdr>
          <w:bottom w:val="single" w:sz="4" w:space="1" w:color="auto"/>
        </w:pBdr>
        <w:spacing w:after="0" w:line="52" w:lineRule="exact"/>
        <w:jc w:val="center"/>
        <w:rPr>
          <w:lang w:val="en-US"/>
        </w:rPr>
      </w:pPr>
    </w:p>
    <w:p w:rsidR="000865EE" w:rsidRDefault="000865EE" w:rsidP="000865EE">
      <w:pPr>
        <w:pBdr>
          <w:top w:val="single" w:sz="4" w:space="1" w:color="auto"/>
        </w:pBdr>
        <w:spacing w:before="34" w:after="0" w:line="14" w:lineRule="exact"/>
        <w:jc w:val="center"/>
        <w:rPr>
          <w:lang w:val="en-US"/>
        </w:rPr>
      </w:pPr>
    </w:p>
    <w:p w:rsidR="000865EE" w:rsidRDefault="000865EE" w:rsidP="000865E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403434" w:rsidRPr="00403434" w:rsidRDefault="00782AB8" w:rsidP="00782AB8">
      <w:pPr>
        <w:pStyle w:val="Heading2"/>
      </w:pPr>
      <w:bookmarkStart w:id="774" w:name="_Toc46398108"/>
      <w:r w:rsidRPr="00403434">
        <w:t>Adelaide Plains Council</w:t>
      </w:r>
      <w:bookmarkEnd w:id="774"/>
    </w:p>
    <w:p w:rsidR="00403434" w:rsidRPr="00403434" w:rsidRDefault="00403434" w:rsidP="00403434">
      <w:pPr>
        <w:jc w:val="center"/>
        <w:rPr>
          <w:i/>
          <w:szCs w:val="17"/>
        </w:rPr>
      </w:pPr>
      <w:r w:rsidRPr="00403434">
        <w:rPr>
          <w:i/>
          <w:szCs w:val="17"/>
        </w:rPr>
        <w:t>Adoption of Valuations and Declaration of Rates</w:t>
      </w:r>
    </w:p>
    <w:p w:rsidR="00403434" w:rsidRPr="00403434" w:rsidRDefault="00403434" w:rsidP="00403434">
      <w:pPr>
        <w:rPr>
          <w:rFonts w:eastAsia="Times New Roman"/>
          <w:szCs w:val="17"/>
        </w:rPr>
      </w:pPr>
      <w:r w:rsidRPr="00403434">
        <w:rPr>
          <w:rFonts w:eastAsia="Times New Roman"/>
          <w:spacing w:val="-4"/>
          <w:szCs w:val="17"/>
        </w:rPr>
        <w:t xml:space="preserve">NOTICE is hereby given that the Council at a Special Council meeting held on 8 July 2020, in respect of the financial year ending 30 June 2021, </w:t>
      </w:r>
      <w:r w:rsidRPr="00403434">
        <w:rPr>
          <w:rFonts w:eastAsia="Times New Roman"/>
          <w:color w:val="000000"/>
          <w:szCs w:val="17"/>
        </w:rPr>
        <w:t>adopted its Annual Business Plan and Budget and</w:t>
      </w:r>
      <w:r w:rsidRPr="00403434">
        <w:rPr>
          <w:rFonts w:eastAsia="Times New Roman"/>
          <w:szCs w:val="17"/>
        </w:rPr>
        <w:t xml:space="preserve"> resolved as follows:</w:t>
      </w:r>
    </w:p>
    <w:p w:rsidR="00403434" w:rsidRPr="00403434" w:rsidRDefault="00403434" w:rsidP="00403434">
      <w:pPr>
        <w:rPr>
          <w:rFonts w:eastAsia="Times New Roman"/>
          <w:b/>
          <w:szCs w:val="17"/>
        </w:rPr>
      </w:pPr>
      <w:r w:rsidRPr="00403434">
        <w:rPr>
          <w:rFonts w:eastAsia="Times New Roman"/>
          <w:b/>
          <w:szCs w:val="17"/>
        </w:rPr>
        <w:t>Adoption of Valuations</w:t>
      </w:r>
    </w:p>
    <w:p w:rsidR="00403434" w:rsidRPr="00403434" w:rsidRDefault="00403434" w:rsidP="00403434">
      <w:pPr>
        <w:rPr>
          <w:rFonts w:eastAsia="Times New Roman"/>
          <w:szCs w:val="17"/>
        </w:rPr>
      </w:pPr>
      <w:r w:rsidRPr="00403434">
        <w:rPr>
          <w:rFonts w:eastAsia="Times New Roman"/>
          <w:szCs w:val="17"/>
        </w:rPr>
        <w:t>To adopt, for rating purposes, the most recent valuations of the Valuer-General available to the Council of the Capital Value of land within the Council’s area totalling $2,067,146,160, of which $2,040,476,112 is the total Capital Value of rateable land.</w:t>
      </w:r>
    </w:p>
    <w:p w:rsidR="00403434" w:rsidRPr="00403434" w:rsidRDefault="00403434" w:rsidP="00403434">
      <w:pPr>
        <w:rPr>
          <w:rFonts w:eastAsia="Times New Roman"/>
          <w:b/>
          <w:szCs w:val="17"/>
        </w:rPr>
      </w:pPr>
      <w:r w:rsidRPr="00403434">
        <w:rPr>
          <w:rFonts w:eastAsia="Times New Roman"/>
          <w:b/>
          <w:szCs w:val="17"/>
        </w:rPr>
        <w:t>Declaration of Rates and Service Charges</w:t>
      </w:r>
    </w:p>
    <w:p w:rsidR="00403434" w:rsidRPr="00403434" w:rsidRDefault="00403434" w:rsidP="00403434">
      <w:pPr>
        <w:rPr>
          <w:rFonts w:eastAsia="Times New Roman"/>
          <w:i/>
          <w:szCs w:val="17"/>
        </w:rPr>
      </w:pPr>
      <w:r w:rsidRPr="00403434">
        <w:rPr>
          <w:rFonts w:eastAsia="Times New Roman"/>
          <w:i/>
          <w:szCs w:val="17"/>
        </w:rPr>
        <w:t>General Rates</w:t>
      </w:r>
    </w:p>
    <w:p w:rsidR="00403434" w:rsidRPr="00403434" w:rsidRDefault="00403434" w:rsidP="00403434">
      <w:pPr>
        <w:rPr>
          <w:color w:val="000000"/>
          <w:szCs w:val="17"/>
          <w:lang w:val="en-US"/>
        </w:rPr>
      </w:pPr>
      <w:r w:rsidRPr="00403434">
        <w:rPr>
          <w:color w:val="000000"/>
          <w:szCs w:val="17"/>
          <w:lang w:val="en-US"/>
        </w:rPr>
        <w:t>To declare differential general rates comprising two components:</w:t>
      </w:r>
    </w:p>
    <w:p w:rsidR="00403434" w:rsidRPr="00403434" w:rsidRDefault="00403434" w:rsidP="00403434">
      <w:pPr>
        <w:ind w:left="360" w:hanging="360"/>
        <w:rPr>
          <w:color w:val="000000"/>
          <w:szCs w:val="17"/>
          <w:lang w:val="en-US"/>
        </w:rPr>
      </w:pPr>
      <w:r w:rsidRPr="00403434">
        <w:rPr>
          <w:color w:val="000000"/>
          <w:szCs w:val="17"/>
          <w:lang w:val="en-US"/>
        </w:rPr>
        <w:t>(a)</w:t>
      </w:r>
      <w:r w:rsidRPr="00403434">
        <w:rPr>
          <w:color w:val="000000"/>
          <w:szCs w:val="17"/>
          <w:lang w:val="en-US"/>
        </w:rPr>
        <w:tab/>
        <w:t>one being based on the capital value of rateable land within its area varying according to land use as follows:</w:t>
      </w:r>
    </w:p>
    <w:p w:rsidR="00403434" w:rsidRPr="00403434" w:rsidRDefault="00403434" w:rsidP="00403434">
      <w:pPr>
        <w:tabs>
          <w:tab w:val="left" w:pos="1134"/>
        </w:tabs>
        <w:spacing w:after="0"/>
        <w:ind w:left="600" w:hanging="240"/>
        <w:jc w:val="left"/>
        <w:rPr>
          <w:szCs w:val="17"/>
          <w:lang w:val="en-US"/>
        </w:rPr>
      </w:pPr>
      <w:r w:rsidRPr="00403434">
        <w:rPr>
          <w:szCs w:val="17"/>
          <w:lang w:val="en-US"/>
        </w:rPr>
        <w:t>0.458313 cents in the dollar on rateable land attributed with a land use category of Residential;</w:t>
      </w:r>
    </w:p>
    <w:p w:rsidR="00403434" w:rsidRPr="00403434" w:rsidRDefault="00403434" w:rsidP="00403434">
      <w:pPr>
        <w:tabs>
          <w:tab w:val="left" w:pos="1134"/>
        </w:tabs>
        <w:spacing w:after="0"/>
        <w:ind w:left="600" w:hanging="240"/>
        <w:jc w:val="left"/>
        <w:rPr>
          <w:szCs w:val="17"/>
          <w:lang w:val="en-US"/>
        </w:rPr>
      </w:pPr>
      <w:r w:rsidRPr="00403434">
        <w:rPr>
          <w:szCs w:val="17"/>
          <w:lang w:val="en-US"/>
        </w:rPr>
        <w:t>0.595765 cents in the dollar on rateable land attributed with a land use category of Commercial Shop, Commercial Office, Commercial Other, Industry Light or Industry Other;</w:t>
      </w:r>
    </w:p>
    <w:p w:rsidR="00403434" w:rsidRPr="00403434" w:rsidRDefault="00403434" w:rsidP="00403434">
      <w:pPr>
        <w:tabs>
          <w:tab w:val="left" w:pos="1134"/>
        </w:tabs>
        <w:spacing w:after="0"/>
        <w:ind w:left="600" w:hanging="240"/>
        <w:jc w:val="left"/>
        <w:rPr>
          <w:szCs w:val="17"/>
          <w:lang w:val="en-US"/>
        </w:rPr>
      </w:pPr>
      <w:r w:rsidRPr="00403434">
        <w:rPr>
          <w:szCs w:val="17"/>
          <w:lang w:val="en-US"/>
        </w:rPr>
        <w:t>0.416658 cents in the dollar on all rateable land attributed with a land use category of Primary Production; and</w:t>
      </w:r>
    </w:p>
    <w:p w:rsidR="00403434" w:rsidRPr="00403434" w:rsidRDefault="00403434" w:rsidP="00403434">
      <w:pPr>
        <w:tabs>
          <w:tab w:val="left" w:pos="1134"/>
        </w:tabs>
        <w:ind w:left="600" w:hanging="240"/>
        <w:contextualSpacing/>
        <w:jc w:val="left"/>
        <w:rPr>
          <w:szCs w:val="17"/>
          <w:lang w:val="en-US"/>
        </w:rPr>
      </w:pPr>
      <w:r w:rsidRPr="00403434">
        <w:rPr>
          <w:szCs w:val="17"/>
          <w:lang w:val="en-US"/>
        </w:rPr>
        <w:t>0.458313 cents in the dollar on rateable land attributed with a land use category of Vacant or Other; and</w:t>
      </w:r>
    </w:p>
    <w:p w:rsidR="00403434" w:rsidRPr="00403434" w:rsidRDefault="00403434" w:rsidP="00403434">
      <w:pPr>
        <w:ind w:left="360" w:hanging="360"/>
        <w:rPr>
          <w:rFonts w:eastAsia="Times New Roman"/>
          <w:szCs w:val="17"/>
        </w:rPr>
      </w:pPr>
      <w:r w:rsidRPr="00403434">
        <w:rPr>
          <w:rFonts w:eastAsia="Times New Roman"/>
          <w:szCs w:val="17"/>
        </w:rPr>
        <w:t>(b)</w:t>
      </w:r>
      <w:r w:rsidRPr="00403434">
        <w:rPr>
          <w:rFonts w:eastAsia="Times New Roman"/>
          <w:szCs w:val="17"/>
        </w:rPr>
        <w:tab/>
        <w:t>the other being fixed charge of $110.00 on all rateable land within its area.</w:t>
      </w:r>
    </w:p>
    <w:p w:rsidR="00403434" w:rsidRPr="00403434" w:rsidRDefault="00403434" w:rsidP="00403434">
      <w:pPr>
        <w:rPr>
          <w:rFonts w:eastAsia="Times New Roman"/>
          <w:i/>
          <w:szCs w:val="17"/>
        </w:rPr>
      </w:pPr>
      <w:r w:rsidRPr="00403434">
        <w:rPr>
          <w:rFonts w:eastAsia="Times New Roman"/>
          <w:i/>
          <w:szCs w:val="17"/>
        </w:rPr>
        <w:t>Waste Collection Annual Service Charges</w:t>
      </w:r>
    </w:p>
    <w:p w:rsidR="00403434" w:rsidRPr="00403434" w:rsidRDefault="00403434" w:rsidP="00403434">
      <w:pPr>
        <w:rPr>
          <w:rFonts w:eastAsia="Times New Roman"/>
          <w:spacing w:val="-2"/>
          <w:szCs w:val="17"/>
        </w:rPr>
      </w:pPr>
      <w:r w:rsidRPr="00403434">
        <w:rPr>
          <w:rFonts w:eastAsia="Times New Roman"/>
          <w:spacing w:val="-2"/>
          <w:szCs w:val="17"/>
        </w:rPr>
        <w:t>To impose annual service charges of $160.00 per assessment in respect of all land (except vacant land) to which the Council provides or makes available a three-bin waste collection service within the townships of Mallala, Two Wells and Dublin, and a two-bin waste collection service outside those townships, provided that the sliding scale provided for in regulations will apply to reduce the service charge, as prescribed.</w:t>
      </w:r>
    </w:p>
    <w:p w:rsidR="00403434" w:rsidRPr="00403434" w:rsidRDefault="00403434" w:rsidP="00403434">
      <w:pPr>
        <w:rPr>
          <w:rFonts w:eastAsia="Times New Roman"/>
          <w:i/>
          <w:iCs/>
          <w:szCs w:val="17"/>
        </w:rPr>
      </w:pPr>
      <w:r w:rsidRPr="00403434">
        <w:rPr>
          <w:rFonts w:eastAsia="Times New Roman"/>
          <w:bCs/>
          <w:i/>
          <w:szCs w:val="17"/>
        </w:rPr>
        <w:t xml:space="preserve">Community Wastewater Management </w:t>
      </w:r>
      <w:r w:rsidRPr="00403434">
        <w:rPr>
          <w:rFonts w:eastAsia="Times New Roman"/>
          <w:i/>
          <w:iCs/>
          <w:szCs w:val="17"/>
        </w:rPr>
        <w:t>Annual Service Charges</w:t>
      </w:r>
    </w:p>
    <w:p w:rsidR="00403434" w:rsidRPr="00403434" w:rsidRDefault="00403434" w:rsidP="00403434">
      <w:pPr>
        <w:rPr>
          <w:rFonts w:eastAsia="Times New Roman"/>
          <w:szCs w:val="17"/>
        </w:rPr>
      </w:pPr>
      <w:r w:rsidRPr="00403434">
        <w:rPr>
          <w:rFonts w:eastAsia="Times New Roman"/>
          <w:szCs w:val="17"/>
        </w:rPr>
        <w:t xml:space="preserve">To impose annual service charges to collect, treat and dispose of wastewater as part of the Council’s </w:t>
      </w:r>
      <w:bookmarkStart w:id="775" w:name="_Hlk45636865"/>
      <w:r w:rsidRPr="00403434">
        <w:rPr>
          <w:rFonts w:eastAsia="Times New Roman"/>
          <w:szCs w:val="17"/>
        </w:rPr>
        <w:t xml:space="preserve">Community Wastewater Management </w:t>
      </w:r>
      <w:bookmarkEnd w:id="775"/>
      <w:r w:rsidRPr="00403434">
        <w:rPr>
          <w:rFonts w:eastAsia="Times New Roman"/>
          <w:szCs w:val="17"/>
        </w:rPr>
        <w:t>Scheme in respect to rateable and non-rateable land to which the service is provided or made available as follows:</w:t>
      </w:r>
    </w:p>
    <w:p w:rsidR="00403434" w:rsidRPr="00403434" w:rsidRDefault="00403434" w:rsidP="00403434">
      <w:pPr>
        <w:spacing w:after="0"/>
        <w:ind w:left="120"/>
        <w:rPr>
          <w:rFonts w:eastAsia="Times New Roman"/>
          <w:szCs w:val="17"/>
        </w:rPr>
      </w:pPr>
      <w:r w:rsidRPr="00403434">
        <w:rPr>
          <w:rFonts w:eastAsia="Times New Roman"/>
          <w:szCs w:val="17"/>
        </w:rPr>
        <w:t>Middle Beach</w:t>
      </w:r>
    </w:p>
    <w:p w:rsidR="00403434" w:rsidRPr="00403434" w:rsidRDefault="00403434" w:rsidP="00403434">
      <w:pPr>
        <w:spacing w:after="0"/>
        <w:ind w:left="3240" w:hanging="3000"/>
        <w:rPr>
          <w:rFonts w:eastAsia="Times New Roman"/>
          <w:szCs w:val="17"/>
        </w:rPr>
      </w:pPr>
      <w:r w:rsidRPr="00403434">
        <w:rPr>
          <w:rFonts w:eastAsia="Times New Roman"/>
          <w:szCs w:val="17"/>
        </w:rPr>
        <w:t>Large tank:</w:t>
      </w:r>
      <w:r w:rsidRPr="00403434">
        <w:rPr>
          <w:rFonts w:eastAsia="Times New Roman"/>
          <w:szCs w:val="17"/>
        </w:rPr>
        <w:tab/>
        <w:t>$430.00</w:t>
      </w:r>
    </w:p>
    <w:p w:rsidR="00403434" w:rsidRPr="00403434" w:rsidRDefault="00403434" w:rsidP="00403434">
      <w:pPr>
        <w:ind w:left="3240" w:hanging="3000"/>
        <w:rPr>
          <w:rFonts w:eastAsia="Times New Roman"/>
          <w:szCs w:val="17"/>
        </w:rPr>
      </w:pPr>
      <w:r w:rsidRPr="00403434">
        <w:rPr>
          <w:rFonts w:eastAsia="Times New Roman"/>
          <w:szCs w:val="17"/>
        </w:rPr>
        <w:t>Small Tank:</w:t>
      </w:r>
      <w:r w:rsidRPr="00403434">
        <w:rPr>
          <w:rFonts w:eastAsia="Times New Roman"/>
          <w:szCs w:val="17"/>
        </w:rPr>
        <w:tab/>
        <w:t>$430.00</w:t>
      </w:r>
    </w:p>
    <w:p w:rsidR="00403434" w:rsidRPr="00403434" w:rsidRDefault="00403434" w:rsidP="00403434">
      <w:pPr>
        <w:spacing w:after="0"/>
        <w:ind w:left="120"/>
        <w:rPr>
          <w:rFonts w:eastAsia="Times New Roman"/>
          <w:szCs w:val="17"/>
        </w:rPr>
      </w:pPr>
      <w:r w:rsidRPr="00403434">
        <w:rPr>
          <w:rFonts w:eastAsia="Times New Roman"/>
          <w:szCs w:val="17"/>
        </w:rPr>
        <w:t>Mallala Township</w:t>
      </w:r>
    </w:p>
    <w:p w:rsidR="00403434" w:rsidRPr="00403434" w:rsidRDefault="00403434" w:rsidP="00403434">
      <w:pPr>
        <w:ind w:left="3240" w:hanging="3000"/>
        <w:rPr>
          <w:rFonts w:eastAsia="Times New Roman"/>
          <w:szCs w:val="17"/>
        </w:rPr>
      </w:pPr>
      <w:r w:rsidRPr="00403434">
        <w:rPr>
          <w:rFonts w:eastAsia="Times New Roman"/>
          <w:szCs w:val="17"/>
        </w:rPr>
        <w:t>Per Property Connection:</w:t>
      </w:r>
      <w:r w:rsidRPr="00403434">
        <w:rPr>
          <w:rFonts w:eastAsia="Times New Roman"/>
          <w:szCs w:val="17"/>
        </w:rPr>
        <w:tab/>
        <w:t>$640.00</w:t>
      </w:r>
    </w:p>
    <w:p w:rsidR="00403434" w:rsidRPr="00403434" w:rsidRDefault="00403434" w:rsidP="00403434">
      <w:pPr>
        <w:rPr>
          <w:rFonts w:eastAsia="Times New Roman"/>
          <w:i/>
          <w:szCs w:val="17"/>
          <w:lang w:val="en-US"/>
        </w:rPr>
      </w:pPr>
      <w:r w:rsidRPr="00403434">
        <w:rPr>
          <w:rFonts w:eastAsia="Times New Roman"/>
          <w:i/>
          <w:szCs w:val="17"/>
          <w:lang w:val="en-US"/>
        </w:rPr>
        <w:t>Landscape South Australia Levy</w:t>
      </w:r>
    </w:p>
    <w:p w:rsidR="00403434" w:rsidRPr="00403434" w:rsidRDefault="00403434" w:rsidP="00403434">
      <w:pPr>
        <w:rPr>
          <w:rFonts w:eastAsia="Times New Roman"/>
          <w:szCs w:val="17"/>
          <w:lang w:val="en-US"/>
        </w:rPr>
      </w:pPr>
      <w:r w:rsidRPr="00403434">
        <w:rPr>
          <w:rFonts w:eastAsia="Times New Roman"/>
          <w:iCs/>
          <w:szCs w:val="17"/>
          <w:lang w:val="en-US"/>
        </w:rPr>
        <w:t xml:space="preserve">To </w:t>
      </w:r>
      <w:r w:rsidRPr="00403434">
        <w:rPr>
          <w:rFonts w:eastAsia="Times New Roman"/>
          <w:szCs w:val="17"/>
          <w:lang w:val="en-US"/>
        </w:rPr>
        <w:t>declare a separate rate of 0.009271 cents in the dollar on all rateable land within its area for the purpose of raising the amount of $188,195 to reimburse the council for the amount payable to the Northern and Yorke Landscape Board.</w:t>
      </w:r>
    </w:p>
    <w:p w:rsidR="00403434" w:rsidRPr="00403434" w:rsidRDefault="00403434" w:rsidP="00403434">
      <w:pPr>
        <w:rPr>
          <w:rFonts w:eastAsia="Times New Roman"/>
          <w:bCs/>
          <w:i/>
          <w:szCs w:val="17"/>
          <w:lang w:val="en-US"/>
        </w:rPr>
      </w:pPr>
      <w:r w:rsidRPr="00403434">
        <w:rPr>
          <w:rFonts w:eastAsia="Times New Roman"/>
          <w:bCs/>
          <w:i/>
          <w:szCs w:val="17"/>
          <w:lang w:val="en-US"/>
        </w:rPr>
        <w:t>Payment of Rates</w:t>
      </w:r>
    </w:p>
    <w:p w:rsidR="00403434" w:rsidRPr="00403434" w:rsidRDefault="00403434" w:rsidP="00403434">
      <w:pPr>
        <w:rPr>
          <w:rFonts w:eastAsia="Times New Roman"/>
          <w:spacing w:val="-2"/>
          <w:szCs w:val="17"/>
        </w:rPr>
      </w:pPr>
      <w:r w:rsidRPr="00403434">
        <w:rPr>
          <w:rFonts w:eastAsia="Times New Roman"/>
          <w:spacing w:val="-2"/>
          <w:szCs w:val="17"/>
        </w:rPr>
        <w:t>To determine all rates and annual service charges shall be due in four equal or approximately equal instalments payable on 18 September 2020, 18 December 2020, 19 March 2021 and 18 June 2021.</w:t>
      </w:r>
    </w:p>
    <w:p w:rsidR="00403434" w:rsidRPr="00403434" w:rsidRDefault="00403434" w:rsidP="00403434">
      <w:pPr>
        <w:rPr>
          <w:rFonts w:eastAsia="Times New Roman"/>
          <w:szCs w:val="17"/>
          <w:lang w:val="en-US"/>
        </w:rPr>
      </w:pPr>
      <w:r w:rsidRPr="00403434">
        <w:rPr>
          <w:rFonts w:eastAsia="Times New Roman"/>
          <w:szCs w:val="17"/>
        </w:rPr>
        <w:t>Dated: 23 July 2020</w:t>
      </w:r>
    </w:p>
    <w:p w:rsidR="00403434" w:rsidRPr="00403434" w:rsidRDefault="00403434" w:rsidP="00403434">
      <w:pPr>
        <w:spacing w:after="0"/>
        <w:jc w:val="right"/>
        <w:rPr>
          <w:rFonts w:eastAsia="Times New Roman"/>
          <w:smallCaps/>
          <w:szCs w:val="20"/>
        </w:rPr>
      </w:pPr>
      <w:r w:rsidRPr="00403434">
        <w:rPr>
          <w:rFonts w:eastAsia="Times New Roman"/>
          <w:smallCaps/>
          <w:szCs w:val="20"/>
        </w:rPr>
        <w:t>James Miller</w:t>
      </w:r>
    </w:p>
    <w:p w:rsidR="00403434" w:rsidRDefault="00403434" w:rsidP="00403434">
      <w:pPr>
        <w:spacing w:after="0"/>
        <w:jc w:val="right"/>
        <w:rPr>
          <w:rFonts w:eastAsia="Times New Roman"/>
          <w:szCs w:val="17"/>
        </w:rPr>
      </w:pPr>
      <w:r w:rsidRPr="00403434">
        <w:rPr>
          <w:rFonts w:eastAsia="Times New Roman"/>
          <w:szCs w:val="17"/>
        </w:rPr>
        <w:t>Chief Executive Officer</w:t>
      </w:r>
    </w:p>
    <w:p w:rsidR="00403434" w:rsidRDefault="00403434" w:rsidP="00403434">
      <w:pPr>
        <w:pBdr>
          <w:bottom w:val="single" w:sz="4" w:space="1" w:color="auto"/>
        </w:pBdr>
        <w:spacing w:after="0" w:line="52" w:lineRule="exact"/>
        <w:jc w:val="center"/>
        <w:rPr>
          <w:lang w:val="en-US"/>
        </w:rPr>
      </w:pPr>
    </w:p>
    <w:p w:rsidR="00403434" w:rsidRDefault="00403434" w:rsidP="00403434">
      <w:pPr>
        <w:pBdr>
          <w:top w:val="single" w:sz="4" w:space="1" w:color="auto"/>
        </w:pBdr>
        <w:spacing w:before="34" w:after="0" w:line="14" w:lineRule="exact"/>
        <w:jc w:val="center"/>
        <w:rPr>
          <w:lang w:val="en-US"/>
        </w:rPr>
      </w:pPr>
    </w:p>
    <w:p w:rsidR="00403434" w:rsidRDefault="00403434" w:rsidP="0040343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CC34A9" w:rsidRPr="00782AB8" w:rsidRDefault="00CC34A9" w:rsidP="00782AB8">
      <w:pPr>
        <w:pStyle w:val="Heading2"/>
      </w:pPr>
      <w:r>
        <w:br w:type="page"/>
      </w:r>
      <w:bookmarkStart w:id="776" w:name="_Toc46398109"/>
      <w:r w:rsidR="00782AB8" w:rsidRPr="00782AB8">
        <w:t>District Council of Lower Eyre Peninsula</w:t>
      </w:r>
      <w:bookmarkEnd w:id="776"/>
    </w:p>
    <w:p w:rsidR="00CC34A9" w:rsidRPr="00CC34A9" w:rsidRDefault="00CC34A9" w:rsidP="00CC34A9">
      <w:pPr>
        <w:jc w:val="center"/>
        <w:rPr>
          <w:i/>
          <w:szCs w:val="17"/>
        </w:rPr>
      </w:pPr>
      <w:r w:rsidRPr="00CC34A9">
        <w:rPr>
          <w:i/>
          <w:szCs w:val="17"/>
        </w:rPr>
        <w:t>Adoption of Valuation and Declaration of Rates</w:t>
      </w:r>
    </w:p>
    <w:p w:rsidR="00CC34A9" w:rsidRPr="00CC34A9" w:rsidRDefault="00CC34A9" w:rsidP="00CC34A9">
      <w:pPr>
        <w:rPr>
          <w:rFonts w:eastAsia="Times New Roman"/>
          <w:szCs w:val="17"/>
        </w:rPr>
      </w:pPr>
      <w:r w:rsidRPr="00CC34A9">
        <w:rPr>
          <w:rFonts w:eastAsia="Times New Roman"/>
          <w:szCs w:val="17"/>
        </w:rPr>
        <w:t xml:space="preserve">Notice is hereby given that on 17 July 2020, the District Council of Lower Eyre Peninsula, pursuant to Chapter 10 of </w:t>
      </w:r>
      <w:r w:rsidRPr="00CC34A9">
        <w:rPr>
          <w:rFonts w:eastAsia="Times New Roman"/>
          <w:i/>
          <w:szCs w:val="17"/>
        </w:rPr>
        <w:t>the Local Government Act 1999</w:t>
      </w:r>
      <w:r w:rsidRPr="00CC34A9">
        <w:rPr>
          <w:rFonts w:eastAsia="Times New Roman"/>
          <w:szCs w:val="17"/>
        </w:rPr>
        <w:t xml:space="preserve"> and for the financial year ending 30 June 2021:</w:t>
      </w:r>
    </w:p>
    <w:p w:rsidR="00CC34A9" w:rsidRPr="00CC34A9" w:rsidRDefault="00CC34A9" w:rsidP="00CC34A9">
      <w:pPr>
        <w:ind w:left="360" w:hanging="240"/>
        <w:rPr>
          <w:rFonts w:eastAsia="Times New Roman"/>
          <w:szCs w:val="17"/>
        </w:rPr>
      </w:pPr>
      <w:r w:rsidRPr="00CC34A9">
        <w:rPr>
          <w:rFonts w:eastAsia="Times New Roman"/>
          <w:szCs w:val="17"/>
        </w:rPr>
        <w:t>1.</w:t>
      </w:r>
      <w:r w:rsidRPr="00CC34A9">
        <w:rPr>
          <w:rFonts w:eastAsia="Times New Roman"/>
          <w:szCs w:val="17"/>
        </w:rPr>
        <w:tab/>
        <w:t xml:space="preserve">Pursuant to Section 167(2)(a) of the </w:t>
      </w:r>
      <w:r w:rsidRPr="00CC34A9">
        <w:rPr>
          <w:rFonts w:eastAsia="Times New Roman"/>
          <w:i/>
          <w:szCs w:val="17"/>
        </w:rPr>
        <w:t>Local Government Act 1999</w:t>
      </w:r>
      <w:r w:rsidRPr="00CC34A9">
        <w:rPr>
          <w:rFonts w:eastAsia="Times New Roman"/>
          <w:szCs w:val="17"/>
        </w:rPr>
        <w:t xml:space="preserve"> adopted for rating purposes the most recent capital valuations made by the Valuer-General and available to Council that apply to rateable land within its area totalling $2,180,402,920.</w:t>
      </w:r>
    </w:p>
    <w:p w:rsidR="00CC34A9" w:rsidRPr="00CC34A9" w:rsidRDefault="00CC34A9" w:rsidP="00CC34A9">
      <w:pPr>
        <w:ind w:left="360" w:hanging="240"/>
        <w:rPr>
          <w:rFonts w:eastAsia="Times New Roman"/>
          <w:szCs w:val="17"/>
        </w:rPr>
      </w:pPr>
      <w:r w:rsidRPr="00CC34A9">
        <w:rPr>
          <w:rFonts w:eastAsia="Times New Roman"/>
          <w:szCs w:val="17"/>
        </w:rPr>
        <w:t>2.</w:t>
      </w:r>
      <w:r w:rsidRPr="00CC34A9">
        <w:rPr>
          <w:rFonts w:eastAsia="Times New Roman"/>
          <w:szCs w:val="17"/>
        </w:rPr>
        <w:tab/>
        <w:t xml:space="preserve">Pursuant to Section 153(1)(b) of the </w:t>
      </w:r>
      <w:r w:rsidRPr="00CC34A9">
        <w:rPr>
          <w:rFonts w:eastAsia="Times New Roman"/>
          <w:i/>
          <w:szCs w:val="17"/>
        </w:rPr>
        <w:t>Local Government Act 1999</w:t>
      </w:r>
      <w:r w:rsidRPr="00CC34A9">
        <w:rPr>
          <w:rFonts w:eastAsia="Times New Roman"/>
          <w:szCs w:val="17"/>
        </w:rPr>
        <w:t xml:space="preserve"> declared differential general rates varying according to the locality of land as follows:</w:t>
      </w:r>
    </w:p>
    <w:p w:rsidR="00CC34A9" w:rsidRPr="00CC34A9" w:rsidRDefault="00CC34A9" w:rsidP="00CC34A9">
      <w:pPr>
        <w:ind w:left="600" w:hanging="240"/>
        <w:rPr>
          <w:rFonts w:eastAsia="Times New Roman"/>
          <w:szCs w:val="17"/>
        </w:rPr>
      </w:pPr>
      <w:r w:rsidRPr="00CC34A9">
        <w:rPr>
          <w:rFonts w:eastAsia="Times New Roman"/>
          <w:szCs w:val="17"/>
        </w:rPr>
        <w:t>•</w:t>
      </w:r>
      <w:r w:rsidRPr="00CC34A9">
        <w:rPr>
          <w:rFonts w:eastAsia="Times New Roman"/>
          <w:szCs w:val="17"/>
        </w:rPr>
        <w:tab/>
        <w:t>0.2474 cents in the dollar in respect of rateable land within the gazetted townships of Cummins, Coffin Bay, North Shields, Louth Bay, Boston, Tulka and Tiatukia;</w:t>
      </w:r>
    </w:p>
    <w:p w:rsidR="00CC34A9" w:rsidRPr="00CC34A9" w:rsidRDefault="00CC34A9" w:rsidP="00CC34A9">
      <w:pPr>
        <w:ind w:left="600" w:hanging="240"/>
        <w:rPr>
          <w:rFonts w:eastAsia="Times New Roman"/>
          <w:szCs w:val="17"/>
        </w:rPr>
      </w:pPr>
      <w:r w:rsidRPr="00CC34A9">
        <w:rPr>
          <w:rFonts w:eastAsia="Times New Roman"/>
          <w:szCs w:val="17"/>
        </w:rPr>
        <w:t>•</w:t>
      </w:r>
      <w:r w:rsidRPr="00CC34A9">
        <w:rPr>
          <w:rFonts w:eastAsia="Times New Roman"/>
          <w:szCs w:val="17"/>
        </w:rPr>
        <w:tab/>
        <w:t>0.2189 cents in the dollar in respect of rateable land within the gazetted townships of Edillilie, Yeelanna, Coulta, Mount Hope, Wanilla, Farm Beach, Poonindie, Little Douglas, Mount Dutton Bay and Lake Wangary; and</w:t>
      </w:r>
    </w:p>
    <w:p w:rsidR="00CC34A9" w:rsidRPr="00CC34A9" w:rsidRDefault="00CC34A9" w:rsidP="00CC34A9">
      <w:pPr>
        <w:ind w:left="600" w:hanging="240"/>
        <w:rPr>
          <w:rFonts w:eastAsia="Times New Roman"/>
          <w:szCs w:val="17"/>
        </w:rPr>
      </w:pPr>
      <w:r w:rsidRPr="00CC34A9">
        <w:rPr>
          <w:rFonts w:eastAsia="Times New Roman"/>
          <w:szCs w:val="17"/>
        </w:rPr>
        <w:t>•</w:t>
      </w:r>
      <w:r w:rsidRPr="00CC34A9">
        <w:rPr>
          <w:rFonts w:eastAsia="Times New Roman"/>
          <w:szCs w:val="17"/>
        </w:rPr>
        <w:tab/>
        <w:t>0.2189 cents in the dollar in respect of all other rateable land outside of those gazetted townships and within the area of the Council.</w:t>
      </w:r>
    </w:p>
    <w:p w:rsidR="00CC34A9" w:rsidRPr="00CC34A9" w:rsidRDefault="00CC34A9" w:rsidP="00CC34A9">
      <w:pPr>
        <w:ind w:left="360" w:hanging="240"/>
        <w:rPr>
          <w:rFonts w:eastAsia="Times New Roman"/>
          <w:szCs w:val="17"/>
        </w:rPr>
      </w:pPr>
      <w:r w:rsidRPr="00CC34A9">
        <w:rPr>
          <w:rFonts w:eastAsia="Times New Roman"/>
          <w:szCs w:val="17"/>
        </w:rPr>
        <w:t>3.</w:t>
      </w:r>
      <w:r w:rsidRPr="00CC34A9">
        <w:rPr>
          <w:rFonts w:eastAsia="Times New Roman"/>
          <w:szCs w:val="17"/>
        </w:rPr>
        <w:tab/>
        <w:t xml:space="preserve">Pursuant to Section 152(1)(c)(ii) of the Local Government Act 1999 and in accordance with the provisions of Section 152 of the </w:t>
      </w:r>
      <w:r w:rsidRPr="00CC34A9">
        <w:rPr>
          <w:rFonts w:eastAsia="Times New Roman"/>
          <w:i/>
          <w:szCs w:val="17"/>
        </w:rPr>
        <w:t>Local Government Act 1999</w:t>
      </w:r>
      <w:r w:rsidRPr="00CC34A9">
        <w:rPr>
          <w:rFonts w:eastAsia="Times New Roman"/>
          <w:szCs w:val="17"/>
        </w:rPr>
        <w:t xml:space="preserve"> declared a fixed charge of $520.00 in respect of all rateable land within the area of the Council.</w:t>
      </w:r>
    </w:p>
    <w:p w:rsidR="00CC34A9" w:rsidRPr="00CC34A9" w:rsidRDefault="00CC34A9" w:rsidP="00CC34A9">
      <w:pPr>
        <w:ind w:left="360" w:hanging="240"/>
        <w:rPr>
          <w:rFonts w:eastAsia="Times New Roman"/>
          <w:szCs w:val="17"/>
        </w:rPr>
      </w:pPr>
      <w:r w:rsidRPr="00CC34A9">
        <w:rPr>
          <w:rFonts w:eastAsia="Times New Roman"/>
          <w:szCs w:val="17"/>
        </w:rPr>
        <w:t>4.</w:t>
      </w:r>
      <w:r w:rsidRPr="00CC34A9">
        <w:rPr>
          <w:rFonts w:eastAsia="Times New Roman"/>
          <w:szCs w:val="17"/>
        </w:rPr>
        <w:tab/>
        <w:t xml:space="preserve">Pursuant to Section 69 of the </w:t>
      </w:r>
      <w:r w:rsidRPr="00CC34A9">
        <w:rPr>
          <w:rFonts w:eastAsia="Times New Roman"/>
          <w:i/>
          <w:szCs w:val="17"/>
        </w:rPr>
        <w:t>Landscape South Australia Act 2019</w:t>
      </w:r>
      <w:r w:rsidRPr="00CC34A9">
        <w:rPr>
          <w:rFonts w:eastAsia="Times New Roman"/>
          <w:szCs w:val="17"/>
        </w:rPr>
        <w:t xml:space="preserve"> and Section 154 of the </w:t>
      </w:r>
      <w:r w:rsidRPr="00CC34A9">
        <w:rPr>
          <w:rFonts w:eastAsia="Times New Roman"/>
          <w:i/>
          <w:szCs w:val="17"/>
        </w:rPr>
        <w:t>Local Government Act 1999</w:t>
      </w:r>
      <w:r w:rsidRPr="00CC34A9">
        <w:rPr>
          <w:rFonts w:eastAsia="Times New Roman"/>
          <w:szCs w:val="17"/>
        </w:rPr>
        <w:t xml:space="preserve"> and in order to reimburse the Council the amounts to be contributed to the Eyre Peninsula Regional Landscape Board, declared the following separate rates in respect of all rateable land within the area of the Board and within the area of the Council:</w:t>
      </w:r>
    </w:p>
    <w:p w:rsidR="00CC34A9" w:rsidRPr="00CC34A9" w:rsidRDefault="00CC34A9" w:rsidP="00CC34A9">
      <w:pPr>
        <w:ind w:left="360"/>
        <w:rPr>
          <w:rFonts w:eastAsia="Times New Roman"/>
          <w:szCs w:val="17"/>
        </w:rPr>
      </w:pPr>
      <w:r w:rsidRPr="00CC34A9">
        <w:rPr>
          <w:rFonts w:eastAsia="Times New Roman"/>
          <w:szCs w:val="17"/>
        </w:rPr>
        <w:t>$78.85 per Residential Property</w:t>
      </w:r>
    </w:p>
    <w:p w:rsidR="00CC34A9" w:rsidRPr="00CC34A9" w:rsidRDefault="00CC34A9" w:rsidP="00CC34A9">
      <w:pPr>
        <w:ind w:left="360"/>
        <w:rPr>
          <w:rFonts w:eastAsia="Times New Roman"/>
          <w:szCs w:val="17"/>
        </w:rPr>
      </w:pPr>
      <w:r w:rsidRPr="00CC34A9">
        <w:rPr>
          <w:rFonts w:eastAsia="Times New Roman"/>
          <w:szCs w:val="17"/>
        </w:rPr>
        <w:t>$118.27 per Commercial – Shop Property</w:t>
      </w:r>
    </w:p>
    <w:p w:rsidR="00CC34A9" w:rsidRPr="00CC34A9" w:rsidRDefault="00CC34A9" w:rsidP="00CC34A9">
      <w:pPr>
        <w:ind w:left="360"/>
        <w:rPr>
          <w:rFonts w:eastAsia="Times New Roman"/>
          <w:szCs w:val="17"/>
        </w:rPr>
      </w:pPr>
      <w:r w:rsidRPr="00CC34A9">
        <w:rPr>
          <w:rFonts w:eastAsia="Times New Roman"/>
          <w:szCs w:val="17"/>
        </w:rPr>
        <w:t>$118.27 per Commercial – Office Property</w:t>
      </w:r>
    </w:p>
    <w:p w:rsidR="00CC34A9" w:rsidRPr="00CC34A9" w:rsidRDefault="00CC34A9" w:rsidP="00CC34A9">
      <w:pPr>
        <w:ind w:left="360"/>
        <w:rPr>
          <w:rFonts w:eastAsia="Times New Roman"/>
          <w:szCs w:val="17"/>
        </w:rPr>
      </w:pPr>
      <w:r w:rsidRPr="00CC34A9">
        <w:rPr>
          <w:rFonts w:eastAsia="Times New Roman"/>
          <w:szCs w:val="17"/>
        </w:rPr>
        <w:t>$118.27 per Commercial – Other Property</w:t>
      </w:r>
    </w:p>
    <w:p w:rsidR="00CC34A9" w:rsidRPr="00CC34A9" w:rsidRDefault="00CC34A9" w:rsidP="00CC34A9">
      <w:pPr>
        <w:ind w:left="360"/>
        <w:rPr>
          <w:rFonts w:eastAsia="Times New Roman"/>
          <w:szCs w:val="17"/>
        </w:rPr>
      </w:pPr>
      <w:r w:rsidRPr="00CC34A9">
        <w:rPr>
          <w:rFonts w:eastAsia="Times New Roman"/>
          <w:szCs w:val="17"/>
        </w:rPr>
        <w:t>$118.27 per Industry – Light Property</w:t>
      </w:r>
    </w:p>
    <w:p w:rsidR="00CC34A9" w:rsidRPr="00CC34A9" w:rsidRDefault="00CC34A9" w:rsidP="00CC34A9">
      <w:pPr>
        <w:ind w:left="360"/>
        <w:rPr>
          <w:rFonts w:eastAsia="Times New Roman"/>
          <w:szCs w:val="17"/>
        </w:rPr>
      </w:pPr>
      <w:r w:rsidRPr="00CC34A9">
        <w:rPr>
          <w:rFonts w:eastAsia="Times New Roman"/>
          <w:szCs w:val="17"/>
        </w:rPr>
        <w:t>$118.27 per Industry – Other Property</w:t>
      </w:r>
    </w:p>
    <w:p w:rsidR="00CC34A9" w:rsidRPr="00CC34A9" w:rsidRDefault="00CC34A9" w:rsidP="00CC34A9">
      <w:pPr>
        <w:ind w:left="360"/>
        <w:rPr>
          <w:rFonts w:eastAsia="Times New Roman"/>
          <w:szCs w:val="17"/>
        </w:rPr>
      </w:pPr>
      <w:r w:rsidRPr="00CC34A9">
        <w:rPr>
          <w:rFonts w:eastAsia="Times New Roman"/>
          <w:szCs w:val="17"/>
        </w:rPr>
        <w:t>$157.70 per Primary Production Property</w:t>
      </w:r>
    </w:p>
    <w:p w:rsidR="00CC34A9" w:rsidRPr="00CC34A9" w:rsidRDefault="00CC34A9" w:rsidP="00CC34A9">
      <w:pPr>
        <w:ind w:left="360"/>
        <w:rPr>
          <w:rFonts w:eastAsia="Times New Roman"/>
          <w:szCs w:val="17"/>
        </w:rPr>
      </w:pPr>
      <w:r w:rsidRPr="00CC34A9">
        <w:rPr>
          <w:rFonts w:eastAsia="Times New Roman"/>
          <w:szCs w:val="17"/>
        </w:rPr>
        <w:t>$78.85 per Vacant Land Property</w:t>
      </w:r>
    </w:p>
    <w:p w:rsidR="00CC34A9" w:rsidRPr="00CC34A9" w:rsidRDefault="00CC34A9" w:rsidP="00CC34A9">
      <w:pPr>
        <w:ind w:left="360"/>
        <w:rPr>
          <w:rFonts w:eastAsia="Times New Roman"/>
          <w:szCs w:val="17"/>
        </w:rPr>
      </w:pPr>
      <w:r w:rsidRPr="00CC34A9">
        <w:rPr>
          <w:rFonts w:eastAsia="Times New Roman"/>
          <w:szCs w:val="17"/>
        </w:rPr>
        <w:t>$78.85 per Other Property</w:t>
      </w:r>
    </w:p>
    <w:p w:rsidR="00CC34A9" w:rsidRPr="00CC34A9" w:rsidRDefault="00CC34A9" w:rsidP="00CC34A9">
      <w:pPr>
        <w:ind w:left="360" w:hanging="240"/>
        <w:rPr>
          <w:rFonts w:eastAsia="Times New Roman"/>
          <w:szCs w:val="17"/>
        </w:rPr>
      </w:pPr>
      <w:r w:rsidRPr="00CC34A9">
        <w:rPr>
          <w:rFonts w:eastAsia="Times New Roman"/>
          <w:szCs w:val="17"/>
        </w:rPr>
        <w:t>5.</w:t>
      </w:r>
      <w:r w:rsidRPr="00CC34A9">
        <w:rPr>
          <w:rFonts w:eastAsia="Times New Roman"/>
          <w:szCs w:val="17"/>
        </w:rPr>
        <w:tab/>
        <w:t xml:space="preserve">Pursuant to Section 155 of the </w:t>
      </w:r>
      <w:r w:rsidRPr="00CC34A9">
        <w:rPr>
          <w:rFonts w:eastAsia="Times New Roman"/>
          <w:i/>
          <w:szCs w:val="17"/>
        </w:rPr>
        <w:t>Local Government Act 1999</w:t>
      </w:r>
      <w:r w:rsidRPr="00CC34A9">
        <w:rPr>
          <w:rFonts w:eastAsia="Times New Roman"/>
          <w:szCs w:val="17"/>
        </w:rPr>
        <w:t xml:space="preserve"> declared the following annual service charges based on the nature of the service in respect of all land to which it provides or makes available Community Wastewater Management Systems within the Council area:</w:t>
      </w:r>
    </w:p>
    <w:p w:rsidR="00CC34A9" w:rsidRPr="00CC34A9" w:rsidRDefault="00CC34A9" w:rsidP="00CC34A9">
      <w:pPr>
        <w:tabs>
          <w:tab w:val="right" w:leader="dot" w:pos="4440"/>
        </w:tabs>
        <w:ind w:left="4680" w:hanging="4320"/>
        <w:rPr>
          <w:rFonts w:eastAsia="Times New Roman"/>
          <w:szCs w:val="17"/>
        </w:rPr>
      </w:pPr>
      <w:r w:rsidRPr="00CC34A9">
        <w:rPr>
          <w:rFonts w:eastAsia="Times New Roman"/>
          <w:szCs w:val="17"/>
        </w:rPr>
        <w:t>Occupied Allotment Charge</w:t>
      </w:r>
      <w:r w:rsidRPr="00CC34A9">
        <w:rPr>
          <w:rFonts w:eastAsia="Times New Roman"/>
          <w:szCs w:val="17"/>
        </w:rPr>
        <w:tab/>
        <w:t>$500.00</w:t>
      </w:r>
    </w:p>
    <w:p w:rsidR="00CC34A9" w:rsidRPr="00CC34A9" w:rsidRDefault="00CC34A9" w:rsidP="00CC34A9">
      <w:pPr>
        <w:tabs>
          <w:tab w:val="right" w:leader="dot" w:pos="4440"/>
        </w:tabs>
        <w:ind w:left="4680" w:hanging="4320"/>
        <w:rPr>
          <w:rFonts w:eastAsia="Times New Roman"/>
          <w:szCs w:val="17"/>
        </w:rPr>
      </w:pPr>
      <w:r w:rsidRPr="00CC34A9">
        <w:rPr>
          <w:rFonts w:eastAsia="Times New Roman"/>
          <w:szCs w:val="17"/>
        </w:rPr>
        <w:t>Vacant Allotment Charge</w:t>
      </w:r>
      <w:r w:rsidRPr="00CC34A9">
        <w:rPr>
          <w:rFonts w:eastAsia="Times New Roman"/>
          <w:szCs w:val="17"/>
        </w:rPr>
        <w:tab/>
        <w:t>$340.00</w:t>
      </w:r>
    </w:p>
    <w:p w:rsidR="00CC34A9" w:rsidRPr="00CC34A9" w:rsidRDefault="00CC34A9" w:rsidP="00CC34A9">
      <w:pPr>
        <w:tabs>
          <w:tab w:val="right" w:leader="dot" w:pos="4440"/>
        </w:tabs>
        <w:ind w:left="4680" w:hanging="4320"/>
        <w:rPr>
          <w:rFonts w:eastAsia="Times New Roman"/>
          <w:szCs w:val="17"/>
        </w:rPr>
      </w:pPr>
      <w:r w:rsidRPr="00CC34A9">
        <w:rPr>
          <w:rFonts w:eastAsia="Times New Roman"/>
          <w:szCs w:val="17"/>
        </w:rPr>
        <w:t>Full Pump Reduction Charge</w:t>
      </w:r>
      <w:r w:rsidRPr="00CC34A9">
        <w:rPr>
          <w:rFonts w:eastAsia="Times New Roman"/>
          <w:szCs w:val="17"/>
        </w:rPr>
        <w:tab/>
        <w:t>$340.00</w:t>
      </w:r>
    </w:p>
    <w:p w:rsidR="00CC34A9" w:rsidRPr="00CC34A9" w:rsidRDefault="00CC34A9" w:rsidP="00CC34A9">
      <w:pPr>
        <w:tabs>
          <w:tab w:val="right" w:leader="dot" w:pos="4440"/>
        </w:tabs>
        <w:ind w:left="4680" w:hanging="4320"/>
        <w:rPr>
          <w:rFonts w:eastAsia="Times New Roman"/>
          <w:szCs w:val="17"/>
        </w:rPr>
      </w:pPr>
      <w:r w:rsidRPr="00CC34A9">
        <w:rPr>
          <w:rFonts w:eastAsia="Times New Roman"/>
          <w:szCs w:val="17"/>
        </w:rPr>
        <w:t>Power Only Pump Reduction Charge</w:t>
      </w:r>
      <w:r w:rsidRPr="00CC34A9">
        <w:rPr>
          <w:rFonts w:eastAsia="Times New Roman"/>
          <w:szCs w:val="17"/>
        </w:rPr>
        <w:tab/>
        <w:t>$475.00</w:t>
      </w:r>
    </w:p>
    <w:p w:rsidR="00CC34A9" w:rsidRPr="00CC34A9" w:rsidRDefault="00CC34A9" w:rsidP="00CC34A9">
      <w:pPr>
        <w:tabs>
          <w:tab w:val="right" w:leader="dot" w:pos="4440"/>
        </w:tabs>
        <w:ind w:left="4680" w:hanging="4320"/>
        <w:rPr>
          <w:rFonts w:eastAsia="Times New Roman"/>
          <w:szCs w:val="17"/>
        </w:rPr>
      </w:pPr>
      <w:r w:rsidRPr="00CC34A9">
        <w:rPr>
          <w:rFonts w:eastAsia="Times New Roman"/>
          <w:szCs w:val="17"/>
        </w:rPr>
        <w:t>Extra Pump Out Charge – Coffin Bay Township</w:t>
      </w:r>
      <w:r w:rsidRPr="00CC34A9">
        <w:rPr>
          <w:rFonts w:eastAsia="Times New Roman"/>
          <w:szCs w:val="17"/>
        </w:rPr>
        <w:tab/>
        <w:t>$65.00</w:t>
      </w:r>
    </w:p>
    <w:p w:rsidR="00CC34A9" w:rsidRPr="00CC34A9" w:rsidRDefault="00CC34A9" w:rsidP="00CC34A9">
      <w:pPr>
        <w:spacing w:after="0"/>
        <w:rPr>
          <w:rFonts w:eastAsia="Times New Roman"/>
          <w:szCs w:val="17"/>
        </w:rPr>
      </w:pPr>
      <w:r w:rsidRPr="00CC34A9">
        <w:rPr>
          <w:rFonts w:eastAsia="Times New Roman"/>
          <w:szCs w:val="17"/>
        </w:rPr>
        <w:t>Dated: 23 July 2020</w:t>
      </w:r>
    </w:p>
    <w:p w:rsidR="00CC34A9" w:rsidRPr="00CC34A9" w:rsidRDefault="00CC34A9" w:rsidP="00CC34A9">
      <w:pPr>
        <w:spacing w:after="0"/>
        <w:jc w:val="right"/>
        <w:rPr>
          <w:rFonts w:eastAsia="Times New Roman"/>
          <w:smallCaps/>
          <w:szCs w:val="20"/>
        </w:rPr>
      </w:pPr>
      <w:r w:rsidRPr="00CC34A9">
        <w:rPr>
          <w:rFonts w:eastAsia="Times New Roman"/>
          <w:smallCaps/>
          <w:szCs w:val="20"/>
        </w:rPr>
        <w:t>Rodney Pearson</w:t>
      </w:r>
    </w:p>
    <w:p w:rsidR="00CC34A9" w:rsidRDefault="00CC34A9" w:rsidP="00CC34A9">
      <w:pPr>
        <w:spacing w:after="0"/>
        <w:jc w:val="right"/>
        <w:rPr>
          <w:rFonts w:eastAsia="Times New Roman"/>
          <w:szCs w:val="17"/>
        </w:rPr>
      </w:pPr>
      <w:r w:rsidRPr="00CC34A9">
        <w:rPr>
          <w:rFonts w:eastAsia="Times New Roman"/>
          <w:szCs w:val="17"/>
        </w:rPr>
        <w:t>Chief Executive Officer</w:t>
      </w:r>
    </w:p>
    <w:p w:rsidR="00CC34A9" w:rsidRDefault="00CC34A9" w:rsidP="00CC34A9">
      <w:pPr>
        <w:pBdr>
          <w:bottom w:val="single" w:sz="4" w:space="1" w:color="auto"/>
        </w:pBdr>
        <w:spacing w:after="0" w:line="52" w:lineRule="exact"/>
        <w:jc w:val="center"/>
        <w:rPr>
          <w:lang w:val="en-US"/>
        </w:rPr>
      </w:pPr>
    </w:p>
    <w:p w:rsidR="00CC34A9" w:rsidRDefault="00CC34A9" w:rsidP="00CC34A9">
      <w:pPr>
        <w:pBdr>
          <w:top w:val="single" w:sz="4" w:space="1" w:color="auto"/>
        </w:pBdr>
        <w:spacing w:before="34" w:after="0" w:line="14" w:lineRule="exact"/>
        <w:jc w:val="center"/>
        <w:rPr>
          <w:lang w:val="en-US"/>
        </w:rPr>
      </w:pPr>
    </w:p>
    <w:p w:rsidR="00CC34A9" w:rsidRDefault="00CC34A9" w:rsidP="00CC34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9B0E1C" w:rsidRPr="009B0E1C" w:rsidRDefault="00782AB8" w:rsidP="00782AB8">
      <w:pPr>
        <w:pStyle w:val="Heading2"/>
      </w:pPr>
      <w:bookmarkStart w:id="777" w:name="_Toc46398110"/>
      <w:r w:rsidRPr="009B0E1C">
        <w:t xml:space="preserve">District Council </w:t>
      </w:r>
      <w:r>
        <w:t>o</w:t>
      </w:r>
      <w:r w:rsidRPr="009B0E1C">
        <w:t>f Mount Remarkable</w:t>
      </w:r>
      <w:bookmarkEnd w:id="777"/>
    </w:p>
    <w:p w:rsidR="009B0E1C" w:rsidRPr="009B0E1C" w:rsidRDefault="009B0E1C" w:rsidP="009B0E1C">
      <w:pPr>
        <w:jc w:val="center"/>
        <w:rPr>
          <w:i/>
          <w:szCs w:val="17"/>
        </w:rPr>
      </w:pPr>
      <w:r w:rsidRPr="009B0E1C">
        <w:rPr>
          <w:i/>
          <w:szCs w:val="17"/>
        </w:rPr>
        <w:t>Adoption of Valuations and Declaration of Rates 2020/2021</w:t>
      </w:r>
    </w:p>
    <w:p w:rsidR="009B0E1C" w:rsidRPr="009B0E1C" w:rsidRDefault="009B0E1C" w:rsidP="009B0E1C">
      <w:pPr>
        <w:rPr>
          <w:rFonts w:eastAsia="Times New Roman"/>
          <w:szCs w:val="17"/>
        </w:rPr>
      </w:pPr>
      <w:r w:rsidRPr="009B0E1C">
        <w:rPr>
          <w:rFonts w:eastAsia="Times New Roman"/>
          <w:szCs w:val="17"/>
        </w:rPr>
        <w:t>NOTICE is hereby given that the District Council of Mount Remarkable at a Special Meeting held on 7 July 2020 for the financial year ending 30 June 2021 adopted its Annual Business Plan and Budget and:</w:t>
      </w:r>
    </w:p>
    <w:p w:rsidR="009B0E1C" w:rsidRPr="009B0E1C" w:rsidRDefault="009B0E1C" w:rsidP="009B0E1C">
      <w:pPr>
        <w:jc w:val="center"/>
        <w:rPr>
          <w:i/>
          <w:szCs w:val="17"/>
        </w:rPr>
      </w:pPr>
      <w:r w:rsidRPr="009B0E1C">
        <w:rPr>
          <w:i/>
          <w:szCs w:val="17"/>
        </w:rPr>
        <w:t>Adoption of Valuations</w:t>
      </w:r>
    </w:p>
    <w:p w:rsidR="009B0E1C" w:rsidRPr="009B0E1C" w:rsidRDefault="009B0E1C" w:rsidP="009B0E1C">
      <w:pPr>
        <w:ind w:left="120"/>
        <w:rPr>
          <w:rFonts w:eastAsia="Times New Roman"/>
          <w:szCs w:val="17"/>
        </w:rPr>
      </w:pPr>
      <w:r w:rsidRPr="009B0E1C">
        <w:rPr>
          <w:rFonts w:eastAsia="Times New Roman"/>
          <w:szCs w:val="17"/>
        </w:rPr>
        <w:t>Adopted, for rating purposes, the Valuer-General’s most recent valuations of capital values applicable to land within the area of Council, which totals $833,860,660 as at 1 July 2020.</w:t>
      </w:r>
    </w:p>
    <w:p w:rsidR="009B0E1C" w:rsidRPr="009B0E1C" w:rsidRDefault="009B0E1C" w:rsidP="009B0E1C">
      <w:pPr>
        <w:jc w:val="center"/>
        <w:rPr>
          <w:i/>
          <w:szCs w:val="17"/>
        </w:rPr>
      </w:pPr>
      <w:r w:rsidRPr="009B0E1C">
        <w:rPr>
          <w:i/>
          <w:szCs w:val="17"/>
        </w:rPr>
        <w:t>Declaration of General Rates</w:t>
      </w:r>
    </w:p>
    <w:p w:rsidR="009B0E1C" w:rsidRPr="009B0E1C" w:rsidRDefault="009B0E1C" w:rsidP="009B0E1C">
      <w:pPr>
        <w:ind w:left="120"/>
        <w:rPr>
          <w:rFonts w:eastAsia="Times New Roman"/>
          <w:szCs w:val="17"/>
        </w:rPr>
      </w:pPr>
      <w:r w:rsidRPr="009B0E1C">
        <w:rPr>
          <w:rFonts w:eastAsia="Times New Roman"/>
          <w:szCs w:val="17"/>
        </w:rPr>
        <w:t>Declared a general rate comprising two components, one based on the value of the land subject of the rate of 0.3706 cents in the dollar and the other being a fixed charge of $325.50 upon each rateable assessment.</w:t>
      </w:r>
    </w:p>
    <w:p w:rsidR="009B0E1C" w:rsidRPr="009B0E1C" w:rsidRDefault="009B0E1C" w:rsidP="009B0E1C">
      <w:pPr>
        <w:jc w:val="center"/>
        <w:rPr>
          <w:smallCaps/>
          <w:szCs w:val="17"/>
        </w:rPr>
      </w:pPr>
      <w:r w:rsidRPr="009B0E1C">
        <w:rPr>
          <w:smallCaps/>
          <w:szCs w:val="17"/>
        </w:rPr>
        <w:t>Declaration of Separate Rate</w:t>
      </w:r>
    </w:p>
    <w:p w:rsidR="009B0E1C" w:rsidRPr="009B0E1C" w:rsidRDefault="009B0E1C" w:rsidP="009B0E1C">
      <w:pPr>
        <w:jc w:val="center"/>
        <w:rPr>
          <w:i/>
          <w:szCs w:val="17"/>
        </w:rPr>
      </w:pPr>
      <w:r w:rsidRPr="009B0E1C">
        <w:rPr>
          <w:i/>
          <w:szCs w:val="17"/>
        </w:rPr>
        <w:t>Regional Landscape Levy</w:t>
      </w:r>
    </w:p>
    <w:p w:rsidR="009B0E1C" w:rsidRPr="009B0E1C" w:rsidRDefault="009B0E1C" w:rsidP="009B0E1C">
      <w:pPr>
        <w:ind w:left="120"/>
        <w:rPr>
          <w:rFonts w:eastAsia="Times New Roman"/>
          <w:szCs w:val="17"/>
        </w:rPr>
      </w:pPr>
      <w:r w:rsidRPr="009B0E1C">
        <w:rPr>
          <w:rFonts w:eastAsia="Times New Roman"/>
          <w:szCs w:val="17"/>
        </w:rPr>
        <w:t>Declared a separate rate of 0.0262 cents in the dollar on all rateable land located within the area of the Council to reimburse the Council for the amount payable to the Northern and Yorke Landscape Board.</w:t>
      </w:r>
    </w:p>
    <w:p w:rsidR="009B0E1C" w:rsidRPr="009B0E1C" w:rsidRDefault="009B0E1C" w:rsidP="009B0E1C">
      <w:pPr>
        <w:jc w:val="center"/>
        <w:rPr>
          <w:i/>
          <w:szCs w:val="17"/>
        </w:rPr>
      </w:pPr>
      <w:r w:rsidRPr="009B0E1C">
        <w:rPr>
          <w:i/>
          <w:szCs w:val="17"/>
        </w:rPr>
        <w:t>Annual Service Charges</w:t>
      </w:r>
    </w:p>
    <w:p w:rsidR="009B0E1C" w:rsidRPr="009B0E1C" w:rsidRDefault="009B0E1C" w:rsidP="009B0E1C">
      <w:pPr>
        <w:ind w:left="480" w:hanging="360"/>
        <w:rPr>
          <w:rFonts w:eastAsia="Times New Roman"/>
          <w:szCs w:val="17"/>
        </w:rPr>
      </w:pPr>
      <w:r w:rsidRPr="009B0E1C">
        <w:rPr>
          <w:rFonts w:eastAsia="Times New Roman"/>
          <w:szCs w:val="17"/>
        </w:rPr>
        <w:t>1.</w:t>
      </w:r>
      <w:r w:rsidRPr="009B0E1C">
        <w:rPr>
          <w:rFonts w:eastAsia="Times New Roman"/>
          <w:szCs w:val="17"/>
        </w:rPr>
        <w:tab/>
        <w:t>Imposed an annual service charge based on the nature of the service of $526.20 on each assessment of rateable and non-rateable land for the collection and treatment of waste within the townships of Wilmington, Melrose, Booleroo Centre and Wirrabara to which Council provides or makes available a Community Wastewater Management Scheme; and</w:t>
      </w:r>
    </w:p>
    <w:p w:rsidR="009B0E1C" w:rsidRPr="009B0E1C" w:rsidRDefault="009B0E1C" w:rsidP="009B0E1C">
      <w:pPr>
        <w:ind w:left="480" w:hanging="360"/>
        <w:rPr>
          <w:rFonts w:eastAsia="Times New Roman"/>
          <w:szCs w:val="17"/>
        </w:rPr>
      </w:pPr>
      <w:r w:rsidRPr="009B0E1C">
        <w:rPr>
          <w:rFonts w:eastAsia="Times New Roman"/>
          <w:szCs w:val="17"/>
        </w:rPr>
        <w:t>2.</w:t>
      </w:r>
      <w:r w:rsidRPr="009B0E1C">
        <w:rPr>
          <w:rFonts w:eastAsia="Times New Roman"/>
          <w:szCs w:val="17"/>
        </w:rPr>
        <w:tab/>
        <w:t>Imposed an annual service charge based on the nature of the service and level of usage of $160.00 per septic or sullage tank with a capacity of up to 1,500 litres (small two (2) yearly desludging cycle) on each assessment of rateable and non-rateable land the service for the collection and treatment of waste in relation to these tanks within the town ships of Wilmington, Melrose and Booleroo Centre is provided or made available.</w:t>
      </w:r>
    </w:p>
    <w:p w:rsidR="009B0E1C" w:rsidRPr="009B0E1C" w:rsidRDefault="009B0E1C" w:rsidP="009B0E1C">
      <w:pPr>
        <w:ind w:left="480" w:hanging="360"/>
        <w:rPr>
          <w:rFonts w:eastAsia="Times New Roman"/>
          <w:szCs w:val="17"/>
        </w:rPr>
      </w:pPr>
      <w:r w:rsidRPr="009B0E1C">
        <w:rPr>
          <w:rFonts w:eastAsia="Times New Roman"/>
          <w:szCs w:val="17"/>
        </w:rPr>
        <w:t>3.</w:t>
      </w:r>
      <w:r w:rsidRPr="009B0E1C">
        <w:rPr>
          <w:rFonts w:eastAsia="Times New Roman"/>
          <w:szCs w:val="17"/>
        </w:rPr>
        <w:tab/>
        <w:t>Imposed an annual service charge of $255.60 for the weekly collection and disposal of waste in a mobile garbage bin and the fortnightly collection and disposal of recyclables in a mobile garbage bin, on:</w:t>
      </w:r>
    </w:p>
    <w:p w:rsidR="009B0E1C" w:rsidRPr="009B0E1C" w:rsidRDefault="009B0E1C" w:rsidP="009B0E1C">
      <w:pPr>
        <w:ind w:left="840" w:hanging="360"/>
        <w:rPr>
          <w:rFonts w:eastAsia="Times New Roman"/>
          <w:szCs w:val="17"/>
        </w:rPr>
      </w:pPr>
      <w:r w:rsidRPr="009B0E1C">
        <w:rPr>
          <w:rFonts w:eastAsia="Times New Roman"/>
          <w:szCs w:val="17"/>
        </w:rPr>
        <w:t>(a)</w:t>
      </w:r>
      <w:r w:rsidRPr="009B0E1C">
        <w:rPr>
          <w:rFonts w:eastAsia="Times New Roman"/>
          <w:szCs w:val="17"/>
        </w:rPr>
        <w:tab/>
        <w:t>all occupied land in the defined townships of Appila, Booleroo Centre, Hammond, Melrose, Murray Town, Port Germein, Weeroona Island, Willowie, Wilmington and Wirrabara for which the service is provided or made available; and</w:t>
      </w:r>
    </w:p>
    <w:p w:rsidR="009B0E1C" w:rsidRPr="009B0E1C" w:rsidRDefault="009B0E1C" w:rsidP="009B0E1C">
      <w:pPr>
        <w:ind w:left="840" w:hanging="360"/>
        <w:rPr>
          <w:rFonts w:eastAsia="Times New Roman"/>
          <w:szCs w:val="17"/>
        </w:rPr>
      </w:pPr>
      <w:r w:rsidRPr="009B0E1C">
        <w:rPr>
          <w:rFonts w:eastAsia="Times New Roman"/>
          <w:szCs w:val="17"/>
        </w:rPr>
        <w:t>(b)</w:t>
      </w:r>
      <w:r w:rsidRPr="009B0E1C">
        <w:rPr>
          <w:rFonts w:eastAsia="Times New Roman"/>
          <w:szCs w:val="17"/>
        </w:rPr>
        <w:tab/>
        <w:t>each section of land outside of the townships abutting the defined collection route on which a habitable dwelling exists for which the service is provided or made available,</w:t>
      </w:r>
    </w:p>
    <w:p w:rsidR="009B0E1C" w:rsidRPr="009B0E1C" w:rsidRDefault="009B0E1C" w:rsidP="009B0E1C">
      <w:pPr>
        <w:ind w:left="480"/>
        <w:rPr>
          <w:rFonts w:eastAsia="Times New Roman"/>
          <w:szCs w:val="17"/>
        </w:rPr>
      </w:pPr>
      <w:r w:rsidRPr="009B0E1C">
        <w:rPr>
          <w:rFonts w:eastAsia="Times New Roman"/>
          <w:szCs w:val="17"/>
        </w:rPr>
        <w:t>Provided that the sliding scale set out in Regulation 13 of the Local Government (General) Regulations 2013 will apply to reduce the service charge as prescribed.</w:t>
      </w:r>
    </w:p>
    <w:p w:rsidR="009B0E1C" w:rsidRPr="009B0E1C" w:rsidRDefault="009B0E1C" w:rsidP="009B0E1C">
      <w:pPr>
        <w:ind w:left="480" w:hanging="360"/>
        <w:rPr>
          <w:rFonts w:eastAsia="Times New Roman"/>
          <w:szCs w:val="17"/>
        </w:rPr>
      </w:pPr>
      <w:r w:rsidRPr="009B0E1C">
        <w:rPr>
          <w:rFonts w:eastAsia="Times New Roman"/>
          <w:szCs w:val="17"/>
        </w:rPr>
        <w:t>4.</w:t>
      </w:r>
      <w:r w:rsidRPr="009B0E1C">
        <w:rPr>
          <w:rFonts w:eastAsia="Times New Roman"/>
          <w:szCs w:val="17"/>
        </w:rPr>
        <w:tab/>
        <w:t>Imposed an annual service (and supply) charge based on the nature of the service and the level of usage of the service of:</w:t>
      </w:r>
    </w:p>
    <w:p w:rsidR="009B0E1C" w:rsidRPr="009B0E1C" w:rsidRDefault="009B0E1C" w:rsidP="009B0E1C">
      <w:pPr>
        <w:ind w:left="840" w:hanging="360"/>
        <w:rPr>
          <w:rFonts w:eastAsia="Times New Roman"/>
          <w:szCs w:val="17"/>
        </w:rPr>
      </w:pPr>
      <w:r w:rsidRPr="009B0E1C">
        <w:rPr>
          <w:rFonts w:eastAsia="Times New Roman"/>
          <w:szCs w:val="17"/>
        </w:rPr>
        <w:t>(a)</w:t>
      </w:r>
      <w:r w:rsidRPr="009B0E1C">
        <w:rPr>
          <w:rFonts w:eastAsia="Times New Roman"/>
          <w:szCs w:val="17"/>
        </w:rPr>
        <w:tab/>
        <w:t>$301.60 for the nature of the service on each assessment of rateable and non-rateable land within the township of Weeroona Island to which Council provides or makes available the ‘Weeroona Island Water Supply’; and</w:t>
      </w:r>
    </w:p>
    <w:p w:rsidR="009B0E1C" w:rsidRPr="009B0E1C" w:rsidRDefault="009B0E1C" w:rsidP="009B0E1C">
      <w:pPr>
        <w:ind w:left="840" w:hanging="360"/>
        <w:rPr>
          <w:rFonts w:eastAsia="Times New Roman"/>
          <w:szCs w:val="17"/>
        </w:rPr>
      </w:pPr>
      <w:r w:rsidRPr="009B0E1C">
        <w:rPr>
          <w:rFonts w:eastAsia="Times New Roman"/>
          <w:szCs w:val="17"/>
        </w:rPr>
        <w:t>(b)</w:t>
      </w:r>
      <w:r w:rsidRPr="009B0E1C">
        <w:rPr>
          <w:rFonts w:eastAsia="Times New Roman"/>
          <w:szCs w:val="17"/>
        </w:rPr>
        <w:tab/>
        <w:t>Including a level of usage charge of $3.007 per kilolitre for each kilolitre of water supplied to each assessment of rateable and non-rateable land to which Council provides or makes available the ‘Weeroona Island Water Supply’.</w:t>
      </w:r>
    </w:p>
    <w:p w:rsidR="009B0E1C" w:rsidRPr="009B0E1C" w:rsidRDefault="009B0E1C" w:rsidP="009B0E1C">
      <w:pPr>
        <w:jc w:val="center"/>
        <w:rPr>
          <w:i/>
          <w:szCs w:val="17"/>
        </w:rPr>
      </w:pPr>
      <w:r w:rsidRPr="009B0E1C">
        <w:rPr>
          <w:i/>
          <w:szCs w:val="17"/>
        </w:rPr>
        <w:t>Payment of Rates</w:t>
      </w:r>
    </w:p>
    <w:p w:rsidR="009B0E1C" w:rsidRPr="009B0E1C" w:rsidRDefault="009B0E1C" w:rsidP="009B0E1C">
      <w:pPr>
        <w:ind w:left="120"/>
        <w:rPr>
          <w:rFonts w:eastAsia="Times New Roman"/>
          <w:szCs w:val="17"/>
        </w:rPr>
      </w:pPr>
      <w:r w:rsidRPr="009B0E1C">
        <w:rPr>
          <w:rFonts w:eastAsia="Times New Roman"/>
          <w:szCs w:val="17"/>
        </w:rPr>
        <w:t>Determined all rates and annual service charges will be payable in four equal or approximately equal instalments and that the due date for those instalments will be 25 September 2020, 11 December 2020, 12 March 2021 and 11 June 2021.</w:t>
      </w:r>
    </w:p>
    <w:p w:rsidR="009B0E1C" w:rsidRPr="009B0E1C" w:rsidRDefault="009B0E1C" w:rsidP="009B0E1C">
      <w:pPr>
        <w:spacing w:after="0"/>
        <w:rPr>
          <w:rFonts w:eastAsia="Times New Roman"/>
          <w:szCs w:val="17"/>
        </w:rPr>
      </w:pPr>
      <w:r w:rsidRPr="009B0E1C">
        <w:rPr>
          <w:rFonts w:eastAsia="Times New Roman"/>
          <w:szCs w:val="17"/>
        </w:rPr>
        <w:t>Dated: 23 July 2020</w:t>
      </w:r>
    </w:p>
    <w:p w:rsidR="009B0E1C" w:rsidRPr="009B0E1C" w:rsidRDefault="009B0E1C" w:rsidP="009B0E1C">
      <w:pPr>
        <w:spacing w:after="0"/>
        <w:jc w:val="right"/>
        <w:rPr>
          <w:rFonts w:eastAsia="Times New Roman"/>
          <w:smallCaps/>
          <w:szCs w:val="20"/>
        </w:rPr>
      </w:pPr>
      <w:r w:rsidRPr="009B0E1C">
        <w:rPr>
          <w:rFonts w:eastAsia="Times New Roman"/>
          <w:smallCaps/>
          <w:szCs w:val="20"/>
        </w:rPr>
        <w:t>S. Johnson</w:t>
      </w:r>
    </w:p>
    <w:p w:rsidR="009B0E1C" w:rsidRDefault="009B0E1C" w:rsidP="009B0E1C">
      <w:pPr>
        <w:spacing w:after="0"/>
        <w:jc w:val="right"/>
        <w:rPr>
          <w:rFonts w:eastAsia="Times New Roman"/>
          <w:szCs w:val="17"/>
        </w:rPr>
      </w:pPr>
      <w:r w:rsidRPr="009B0E1C">
        <w:rPr>
          <w:rFonts w:eastAsia="Times New Roman"/>
          <w:szCs w:val="17"/>
        </w:rPr>
        <w:t>Chief Executive Officer</w:t>
      </w:r>
    </w:p>
    <w:p w:rsidR="009B0E1C" w:rsidRDefault="009B0E1C" w:rsidP="009B0E1C">
      <w:pPr>
        <w:pBdr>
          <w:bottom w:val="single" w:sz="4" w:space="1" w:color="auto"/>
        </w:pBdr>
        <w:spacing w:after="0" w:line="52" w:lineRule="exact"/>
        <w:jc w:val="center"/>
        <w:rPr>
          <w:lang w:val="en-US"/>
        </w:rPr>
      </w:pPr>
    </w:p>
    <w:p w:rsidR="009B0E1C" w:rsidRDefault="009B0E1C" w:rsidP="009B0E1C">
      <w:pPr>
        <w:pBdr>
          <w:top w:val="single" w:sz="4" w:space="1" w:color="auto"/>
        </w:pBdr>
        <w:spacing w:before="34" w:after="0" w:line="14" w:lineRule="exact"/>
        <w:jc w:val="center"/>
        <w:rPr>
          <w:lang w:val="en-US"/>
        </w:rPr>
      </w:pPr>
    </w:p>
    <w:p w:rsidR="009B0E1C" w:rsidRDefault="009B0E1C" w:rsidP="009B0E1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942873" w:rsidRPr="00942873" w:rsidRDefault="00782AB8" w:rsidP="00782AB8">
      <w:pPr>
        <w:pStyle w:val="Heading2"/>
      </w:pPr>
      <w:bookmarkStart w:id="778" w:name="_Toc46398111"/>
      <w:r w:rsidRPr="00942873">
        <w:t xml:space="preserve">District Council </w:t>
      </w:r>
      <w:r>
        <w:t>o</w:t>
      </w:r>
      <w:r w:rsidRPr="00942873">
        <w:t>f Tumby Bay</w:t>
      </w:r>
      <w:bookmarkEnd w:id="778"/>
    </w:p>
    <w:p w:rsidR="00942873" w:rsidRPr="00942873" w:rsidRDefault="00942873" w:rsidP="00942873">
      <w:pPr>
        <w:jc w:val="center"/>
        <w:rPr>
          <w:i/>
          <w:szCs w:val="17"/>
        </w:rPr>
      </w:pPr>
      <w:r w:rsidRPr="00942873">
        <w:rPr>
          <w:i/>
          <w:szCs w:val="17"/>
        </w:rPr>
        <w:t>Adoption of Valuations and Declaration of Rates</w:t>
      </w:r>
    </w:p>
    <w:p w:rsidR="00942873" w:rsidRPr="00942873" w:rsidRDefault="00942873" w:rsidP="00942873">
      <w:pPr>
        <w:rPr>
          <w:rFonts w:eastAsia="Times New Roman"/>
          <w:szCs w:val="17"/>
        </w:rPr>
      </w:pPr>
      <w:r w:rsidRPr="00942873">
        <w:rPr>
          <w:rFonts w:eastAsia="Times New Roman"/>
          <w:szCs w:val="17"/>
        </w:rPr>
        <w:t>NOTICE is hereby given that the District Council of Tumby Bay at its Ordinary Council Meeting held on 14 July 2020, resolved for the financial year ending 30 June 2021 the following:</w:t>
      </w:r>
    </w:p>
    <w:p w:rsidR="00942873" w:rsidRPr="00942873" w:rsidRDefault="00942873" w:rsidP="00942873">
      <w:pPr>
        <w:ind w:left="360" w:hanging="240"/>
        <w:rPr>
          <w:rFonts w:eastAsia="Times New Roman"/>
          <w:szCs w:val="17"/>
        </w:rPr>
      </w:pPr>
      <w:r w:rsidRPr="00942873">
        <w:rPr>
          <w:rFonts w:eastAsia="Times New Roman"/>
          <w:szCs w:val="17"/>
        </w:rPr>
        <w:t>1.</w:t>
      </w:r>
      <w:r w:rsidRPr="00942873">
        <w:rPr>
          <w:rFonts w:eastAsia="Times New Roman"/>
          <w:szCs w:val="17"/>
        </w:rPr>
        <w:tab/>
        <w:t>Adopted for rating purposes the most recent valuations of the Valuer-General of the site value of land within the Council’s area, totalling $943,889,600.</w:t>
      </w:r>
    </w:p>
    <w:p w:rsidR="00942873" w:rsidRPr="00942873" w:rsidRDefault="00942873" w:rsidP="00942873">
      <w:pPr>
        <w:ind w:left="360" w:hanging="240"/>
        <w:rPr>
          <w:rFonts w:eastAsia="Times New Roman"/>
          <w:szCs w:val="17"/>
        </w:rPr>
      </w:pPr>
      <w:r w:rsidRPr="00942873">
        <w:rPr>
          <w:rFonts w:eastAsia="Times New Roman"/>
          <w:szCs w:val="17"/>
        </w:rPr>
        <w:t>2.</w:t>
      </w:r>
      <w:r w:rsidRPr="00942873">
        <w:rPr>
          <w:rFonts w:eastAsia="Times New Roman"/>
          <w:szCs w:val="17"/>
        </w:rPr>
        <w:tab/>
        <w:t>Declared differential general rate as follows:</w:t>
      </w:r>
    </w:p>
    <w:p w:rsidR="00942873" w:rsidRPr="00942873" w:rsidRDefault="00942873" w:rsidP="00942873">
      <w:pPr>
        <w:ind w:left="720" w:hanging="360"/>
        <w:rPr>
          <w:rFonts w:eastAsia="Times New Roman"/>
          <w:szCs w:val="17"/>
        </w:rPr>
      </w:pPr>
      <w:r w:rsidRPr="00942873">
        <w:rPr>
          <w:rFonts w:eastAsia="Times New Roman"/>
          <w:szCs w:val="17"/>
        </w:rPr>
        <w:t>(a)</w:t>
      </w:r>
      <w:r w:rsidRPr="00942873">
        <w:rPr>
          <w:rFonts w:eastAsia="Times New Roman"/>
          <w:szCs w:val="17"/>
        </w:rPr>
        <w:tab/>
        <w:t>0.53441 cents in the dollar on rateable land within all the Townships in the Council’s area excluding any such land with a land use Commercial-Shop, Commercial-Other, Industry-Light and Industry Other;</w:t>
      </w:r>
    </w:p>
    <w:p w:rsidR="00942873" w:rsidRPr="00942873" w:rsidRDefault="00942873" w:rsidP="00942873">
      <w:pPr>
        <w:ind w:left="720" w:hanging="360"/>
        <w:rPr>
          <w:rFonts w:eastAsia="Times New Roman"/>
          <w:szCs w:val="17"/>
        </w:rPr>
      </w:pPr>
      <w:r w:rsidRPr="00942873">
        <w:rPr>
          <w:rFonts w:eastAsia="Times New Roman"/>
          <w:szCs w:val="17"/>
        </w:rPr>
        <w:t>(b)</w:t>
      </w:r>
      <w:r w:rsidRPr="00942873">
        <w:rPr>
          <w:rFonts w:eastAsia="Times New Roman"/>
          <w:szCs w:val="17"/>
        </w:rPr>
        <w:tab/>
        <w:t>0.43083 cents in the dollar on rateable land with a land use of Commercial-Shop, Commercial-Office, Commercial-Other, Industry Light and Industry-Other;</w:t>
      </w:r>
    </w:p>
    <w:p w:rsidR="00942873" w:rsidRPr="00942873" w:rsidRDefault="00942873" w:rsidP="00942873">
      <w:pPr>
        <w:ind w:left="720" w:hanging="360"/>
        <w:rPr>
          <w:rFonts w:eastAsia="Times New Roman"/>
          <w:szCs w:val="17"/>
        </w:rPr>
      </w:pPr>
      <w:r w:rsidRPr="00942873">
        <w:rPr>
          <w:rFonts w:eastAsia="Times New Roman"/>
          <w:szCs w:val="17"/>
        </w:rPr>
        <w:t>(c)</w:t>
      </w:r>
      <w:r w:rsidRPr="00942873">
        <w:rPr>
          <w:rFonts w:eastAsia="Times New Roman"/>
          <w:szCs w:val="17"/>
        </w:rPr>
        <w:tab/>
        <w:t>7.75 cents in the dollar on rateable land within the Commercial (Bulk Handling) zone under the Council’s Development Plan consolidated at 3 December 2015;</w:t>
      </w:r>
    </w:p>
    <w:p w:rsidR="00942873" w:rsidRPr="00942873" w:rsidRDefault="00942873" w:rsidP="00942873">
      <w:pPr>
        <w:ind w:left="720" w:hanging="360"/>
        <w:rPr>
          <w:rFonts w:eastAsia="Times New Roman"/>
          <w:szCs w:val="17"/>
        </w:rPr>
      </w:pPr>
      <w:r w:rsidRPr="00942873">
        <w:rPr>
          <w:rFonts w:eastAsia="Times New Roman"/>
          <w:szCs w:val="17"/>
        </w:rPr>
        <w:t>(d)</w:t>
      </w:r>
      <w:r w:rsidRPr="00942873">
        <w:rPr>
          <w:rFonts w:eastAsia="Times New Roman"/>
          <w:szCs w:val="17"/>
        </w:rPr>
        <w:tab/>
        <w:t>0.23197 cents in the dollar on all other rateable land within the Council’s area not included in subparagraphs (a), (b) or (c) above.</w:t>
      </w:r>
    </w:p>
    <w:p w:rsidR="00942873" w:rsidRPr="00942873" w:rsidRDefault="00942873" w:rsidP="00942873">
      <w:pPr>
        <w:ind w:left="360" w:hanging="240"/>
        <w:rPr>
          <w:rFonts w:eastAsia="Times New Roman"/>
          <w:szCs w:val="17"/>
        </w:rPr>
      </w:pPr>
      <w:r w:rsidRPr="00942873">
        <w:rPr>
          <w:rFonts w:eastAsia="Times New Roman"/>
          <w:szCs w:val="17"/>
        </w:rPr>
        <w:t>3.</w:t>
      </w:r>
      <w:r w:rsidRPr="00942873">
        <w:rPr>
          <w:rFonts w:eastAsia="Times New Roman"/>
          <w:szCs w:val="17"/>
        </w:rPr>
        <w:tab/>
        <w:t>Declared a fixed charge of $692 on all rateable land.</w:t>
      </w:r>
    </w:p>
    <w:p w:rsidR="00942873" w:rsidRPr="00942873" w:rsidRDefault="00942873" w:rsidP="00942873">
      <w:pPr>
        <w:ind w:left="360" w:hanging="240"/>
        <w:rPr>
          <w:rFonts w:eastAsia="Times New Roman"/>
          <w:szCs w:val="17"/>
        </w:rPr>
      </w:pPr>
      <w:r w:rsidRPr="00942873">
        <w:rPr>
          <w:rFonts w:eastAsia="Times New Roman"/>
          <w:szCs w:val="17"/>
        </w:rPr>
        <w:t>4.</w:t>
      </w:r>
      <w:r w:rsidRPr="00942873">
        <w:rPr>
          <w:rFonts w:eastAsia="Times New Roman"/>
          <w:szCs w:val="17"/>
        </w:rPr>
        <w:tab/>
        <w:t>Declared a differential separate rate as follows:</w:t>
      </w:r>
    </w:p>
    <w:p w:rsidR="00942873" w:rsidRPr="00942873" w:rsidRDefault="00942873" w:rsidP="00942873">
      <w:pPr>
        <w:ind w:left="720" w:hanging="360"/>
        <w:rPr>
          <w:rFonts w:eastAsia="Times New Roman"/>
          <w:szCs w:val="17"/>
        </w:rPr>
      </w:pPr>
      <w:r w:rsidRPr="00942873">
        <w:rPr>
          <w:rFonts w:eastAsia="Times New Roman"/>
          <w:szCs w:val="17"/>
        </w:rPr>
        <w:t>(a)</w:t>
      </w:r>
      <w:r w:rsidRPr="00942873">
        <w:rPr>
          <w:rFonts w:eastAsia="Times New Roman"/>
          <w:szCs w:val="17"/>
        </w:rPr>
        <w:tab/>
        <w:t>For the purpose of making available and maintaining the Port Neill War Memorial Hall:</w:t>
      </w:r>
    </w:p>
    <w:p w:rsidR="00942873" w:rsidRPr="00942873" w:rsidRDefault="00942873" w:rsidP="00942873">
      <w:pPr>
        <w:ind w:left="960" w:hanging="240"/>
        <w:rPr>
          <w:rFonts w:eastAsia="Times New Roman"/>
          <w:szCs w:val="17"/>
        </w:rPr>
      </w:pPr>
      <w:r w:rsidRPr="00942873">
        <w:rPr>
          <w:rFonts w:eastAsia="Times New Roman"/>
          <w:szCs w:val="17"/>
        </w:rPr>
        <w:t>•</w:t>
      </w:r>
      <w:r w:rsidRPr="00942873">
        <w:rPr>
          <w:rFonts w:eastAsia="Times New Roman"/>
          <w:szCs w:val="17"/>
        </w:rPr>
        <w:tab/>
        <w:t>0.018685 cents in the dollar on rateable land within the Port Neill Township.</w:t>
      </w:r>
    </w:p>
    <w:p w:rsidR="00942873" w:rsidRPr="00942873" w:rsidRDefault="00942873" w:rsidP="00942873">
      <w:pPr>
        <w:ind w:left="960" w:hanging="240"/>
        <w:rPr>
          <w:rFonts w:eastAsia="Times New Roman"/>
          <w:szCs w:val="17"/>
        </w:rPr>
      </w:pPr>
      <w:r w:rsidRPr="00942873">
        <w:rPr>
          <w:rFonts w:eastAsia="Times New Roman"/>
          <w:szCs w:val="17"/>
        </w:rPr>
        <w:t>•</w:t>
      </w:r>
      <w:r w:rsidRPr="00942873">
        <w:rPr>
          <w:rFonts w:eastAsia="Times New Roman"/>
          <w:szCs w:val="17"/>
        </w:rPr>
        <w:tab/>
        <w:t>0.00557 cents in the dollar on rateable land outside the Port Neill Township and within the Hundred of Dixson.</w:t>
      </w:r>
    </w:p>
    <w:p w:rsidR="00942873" w:rsidRPr="00942873" w:rsidRDefault="00942873" w:rsidP="00942873">
      <w:pPr>
        <w:ind w:left="360" w:hanging="240"/>
        <w:rPr>
          <w:rFonts w:eastAsia="Times New Roman"/>
          <w:szCs w:val="17"/>
        </w:rPr>
      </w:pPr>
      <w:r w:rsidRPr="00942873">
        <w:rPr>
          <w:rFonts w:eastAsia="Times New Roman"/>
          <w:szCs w:val="17"/>
        </w:rPr>
        <w:t>5.</w:t>
      </w:r>
      <w:r w:rsidRPr="00942873">
        <w:rPr>
          <w:rFonts w:eastAsia="Times New Roman"/>
          <w:szCs w:val="17"/>
        </w:rPr>
        <w:tab/>
        <w:t>Declared a separate rate for the Eyre Peninsula Landscape Board, based on a fixed charge of:</w:t>
      </w:r>
    </w:p>
    <w:p w:rsidR="00942873" w:rsidRPr="00942873" w:rsidRDefault="00942873" w:rsidP="00942873">
      <w:pPr>
        <w:ind w:left="960" w:hanging="240"/>
        <w:rPr>
          <w:rFonts w:eastAsia="Times New Roman"/>
          <w:szCs w:val="17"/>
        </w:rPr>
      </w:pPr>
      <w:r w:rsidRPr="00942873">
        <w:rPr>
          <w:rFonts w:eastAsia="Times New Roman"/>
          <w:szCs w:val="17"/>
        </w:rPr>
        <w:t>•</w:t>
      </w:r>
      <w:r w:rsidRPr="00942873">
        <w:rPr>
          <w:rFonts w:eastAsia="Times New Roman"/>
          <w:szCs w:val="17"/>
        </w:rPr>
        <w:tab/>
        <w:t>$79.15 on rateable land with a land use of Residential, Other and Vacant Land;</w:t>
      </w:r>
    </w:p>
    <w:p w:rsidR="00942873" w:rsidRPr="00942873" w:rsidRDefault="00942873" w:rsidP="00942873">
      <w:pPr>
        <w:ind w:left="960" w:hanging="240"/>
        <w:rPr>
          <w:rFonts w:eastAsia="Times New Roman"/>
          <w:szCs w:val="17"/>
        </w:rPr>
      </w:pPr>
      <w:r w:rsidRPr="00942873">
        <w:rPr>
          <w:rFonts w:eastAsia="Times New Roman"/>
          <w:szCs w:val="17"/>
        </w:rPr>
        <w:t>•</w:t>
      </w:r>
      <w:r w:rsidRPr="00942873">
        <w:rPr>
          <w:rFonts w:eastAsia="Times New Roman"/>
          <w:szCs w:val="17"/>
        </w:rPr>
        <w:tab/>
        <w:t>$118.72 on rateable land with a land use of Commercial-Shop, Commercial-Office, Commercial-Other, Industry-Light and Industry Other;</w:t>
      </w:r>
    </w:p>
    <w:p w:rsidR="00942873" w:rsidRPr="00942873" w:rsidRDefault="00942873" w:rsidP="00942873">
      <w:pPr>
        <w:ind w:left="960" w:hanging="240"/>
        <w:rPr>
          <w:rFonts w:eastAsia="Times New Roman"/>
          <w:szCs w:val="17"/>
        </w:rPr>
      </w:pPr>
      <w:r w:rsidRPr="00942873">
        <w:rPr>
          <w:rFonts w:eastAsia="Times New Roman"/>
          <w:szCs w:val="17"/>
        </w:rPr>
        <w:t>•</w:t>
      </w:r>
      <w:r w:rsidRPr="00942873">
        <w:rPr>
          <w:rFonts w:eastAsia="Times New Roman"/>
          <w:szCs w:val="17"/>
        </w:rPr>
        <w:tab/>
        <w:t>$158.30 on rateable land with a land use of Primary Production.</w:t>
      </w:r>
    </w:p>
    <w:p w:rsidR="00942873" w:rsidRPr="00942873" w:rsidRDefault="00942873" w:rsidP="00942873">
      <w:pPr>
        <w:ind w:left="360" w:hanging="240"/>
        <w:rPr>
          <w:rFonts w:eastAsia="Times New Roman"/>
          <w:szCs w:val="17"/>
        </w:rPr>
      </w:pPr>
      <w:r w:rsidRPr="00942873">
        <w:rPr>
          <w:rFonts w:eastAsia="Times New Roman"/>
          <w:szCs w:val="17"/>
        </w:rPr>
        <w:t>6.</w:t>
      </w:r>
      <w:r w:rsidRPr="00942873">
        <w:rPr>
          <w:rFonts w:eastAsia="Times New Roman"/>
          <w:szCs w:val="17"/>
        </w:rPr>
        <w:tab/>
        <w:t>Declared an annual service charge:</w:t>
      </w:r>
    </w:p>
    <w:p w:rsidR="00942873" w:rsidRPr="00942873" w:rsidRDefault="00942873" w:rsidP="00942873">
      <w:pPr>
        <w:ind w:left="720" w:hanging="360"/>
        <w:rPr>
          <w:rFonts w:eastAsia="Times New Roman"/>
          <w:szCs w:val="17"/>
        </w:rPr>
      </w:pPr>
      <w:r w:rsidRPr="00942873">
        <w:rPr>
          <w:rFonts w:eastAsia="Times New Roman"/>
          <w:szCs w:val="17"/>
        </w:rPr>
        <w:t>(a)</w:t>
      </w:r>
      <w:r w:rsidRPr="00942873">
        <w:rPr>
          <w:rFonts w:eastAsia="Times New Roman"/>
          <w:szCs w:val="17"/>
        </w:rPr>
        <w:tab/>
        <w:t xml:space="preserve">within the townships of Tumby Bay, Port Neill, Lipson and Ungarra for the collection, treatment or disposal of waste in the amount of: </w:t>
      </w:r>
    </w:p>
    <w:p w:rsidR="00942873" w:rsidRPr="00942873" w:rsidRDefault="00942873" w:rsidP="00942873">
      <w:pPr>
        <w:ind w:left="1080" w:hanging="360"/>
        <w:rPr>
          <w:rFonts w:eastAsia="Times New Roman"/>
          <w:szCs w:val="17"/>
        </w:rPr>
      </w:pPr>
      <w:r w:rsidRPr="00942873">
        <w:rPr>
          <w:rFonts w:eastAsia="Times New Roman"/>
          <w:szCs w:val="17"/>
        </w:rPr>
        <w:t>(i)</w:t>
      </w:r>
      <w:r w:rsidRPr="00942873">
        <w:rPr>
          <w:rFonts w:eastAsia="Times New Roman"/>
          <w:szCs w:val="17"/>
        </w:rPr>
        <w:tab/>
        <w:t>$219 for each occupied allotment;</w:t>
      </w:r>
    </w:p>
    <w:p w:rsidR="00942873" w:rsidRPr="00942873" w:rsidRDefault="00942873" w:rsidP="00942873">
      <w:pPr>
        <w:ind w:left="1080" w:hanging="360"/>
        <w:rPr>
          <w:rFonts w:eastAsia="Times New Roman"/>
          <w:szCs w:val="17"/>
        </w:rPr>
      </w:pPr>
      <w:r w:rsidRPr="00942873">
        <w:rPr>
          <w:rFonts w:eastAsia="Times New Roman"/>
          <w:szCs w:val="17"/>
        </w:rPr>
        <w:t>(ii)</w:t>
      </w:r>
      <w:r w:rsidRPr="00942873">
        <w:rPr>
          <w:rFonts w:eastAsia="Times New Roman"/>
          <w:szCs w:val="17"/>
        </w:rPr>
        <w:tab/>
        <w:t>$219 for each additional 140 litre bin requested per property; and</w:t>
      </w:r>
    </w:p>
    <w:p w:rsidR="00942873" w:rsidRPr="00942873" w:rsidRDefault="00942873" w:rsidP="00942873">
      <w:pPr>
        <w:ind w:left="720" w:hanging="360"/>
        <w:rPr>
          <w:rFonts w:eastAsia="Times New Roman"/>
          <w:szCs w:val="17"/>
        </w:rPr>
      </w:pPr>
      <w:r w:rsidRPr="00942873">
        <w:rPr>
          <w:rFonts w:eastAsia="Times New Roman"/>
          <w:szCs w:val="17"/>
        </w:rPr>
        <w:t>(b)</w:t>
      </w:r>
      <w:r w:rsidRPr="00942873">
        <w:rPr>
          <w:rFonts w:eastAsia="Times New Roman"/>
          <w:szCs w:val="17"/>
        </w:rPr>
        <w:tab/>
        <w:t>for the provision of the Community Wastewater Management Scheme of $538 per property unit.</w:t>
      </w:r>
    </w:p>
    <w:p w:rsidR="00942873" w:rsidRPr="00942873" w:rsidRDefault="00942873" w:rsidP="00942873">
      <w:pPr>
        <w:spacing w:after="0"/>
        <w:rPr>
          <w:rFonts w:eastAsia="Times New Roman"/>
          <w:szCs w:val="17"/>
        </w:rPr>
      </w:pPr>
      <w:r w:rsidRPr="00942873">
        <w:rPr>
          <w:rFonts w:eastAsia="Times New Roman"/>
          <w:szCs w:val="17"/>
        </w:rPr>
        <w:t>Dated: 14 July 2020</w:t>
      </w:r>
    </w:p>
    <w:p w:rsidR="00942873" w:rsidRPr="00942873" w:rsidRDefault="00942873" w:rsidP="00942873">
      <w:pPr>
        <w:spacing w:after="0"/>
        <w:jc w:val="right"/>
        <w:rPr>
          <w:rFonts w:eastAsia="Times New Roman"/>
          <w:smallCaps/>
          <w:szCs w:val="20"/>
        </w:rPr>
      </w:pPr>
      <w:r w:rsidRPr="00942873">
        <w:rPr>
          <w:rFonts w:eastAsia="Times New Roman"/>
          <w:smallCaps/>
          <w:szCs w:val="20"/>
        </w:rPr>
        <w:t>T. J. Smith</w:t>
      </w:r>
    </w:p>
    <w:p w:rsidR="00B1475C" w:rsidRDefault="00942873" w:rsidP="00B1475C">
      <w:pPr>
        <w:spacing w:after="0"/>
        <w:jc w:val="right"/>
        <w:rPr>
          <w:rFonts w:eastAsia="Times New Roman"/>
          <w:szCs w:val="17"/>
        </w:rPr>
      </w:pPr>
      <w:r w:rsidRPr="00942873">
        <w:rPr>
          <w:rFonts w:eastAsia="Times New Roman"/>
          <w:szCs w:val="17"/>
        </w:rPr>
        <w:t>Chief Executive Officer</w:t>
      </w:r>
    </w:p>
    <w:p w:rsidR="00B1475C" w:rsidRDefault="00B1475C" w:rsidP="00B1475C">
      <w:pPr>
        <w:pBdr>
          <w:bottom w:val="single" w:sz="4" w:space="1" w:color="auto"/>
        </w:pBdr>
        <w:spacing w:after="0" w:line="52" w:lineRule="exact"/>
        <w:jc w:val="center"/>
        <w:rPr>
          <w:lang w:val="en-US"/>
        </w:rPr>
      </w:pPr>
    </w:p>
    <w:p w:rsidR="00B1475C" w:rsidRDefault="00B1475C" w:rsidP="00B1475C">
      <w:pPr>
        <w:pBdr>
          <w:top w:val="single" w:sz="4" w:space="1" w:color="auto"/>
        </w:pBdr>
        <w:spacing w:before="34" w:after="0" w:line="14" w:lineRule="exact"/>
        <w:jc w:val="center"/>
        <w:rPr>
          <w:lang w:val="en-US"/>
        </w:rPr>
      </w:pPr>
    </w:p>
    <w:p w:rsidR="00B1475C" w:rsidRDefault="00B1475C" w:rsidP="00B1475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B76985" w:rsidRDefault="00B76985">
      <w:pPr>
        <w:spacing w:after="0" w:line="240" w:lineRule="auto"/>
        <w:jc w:val="left"/>
        <w:rPr>
          <w:lang w:val="en-US"/>
        </w:rPr>
      </w:pPr>
      <w:r>
        <w:rPr>
          <w:lang w:val="en-US"/>
        </w:rPr>
        <w:br w:type="page"/>
      </w:r>
    </w:p>
    <w:p w:rsidR="00B76985" w:rsidRPr="00B76985" w:rsidRDefault="00782AB8" w:rsidP="00782AB8">
      <w:pPr>
        <w:pStyle w:val="Heading2"/>
      </w:pPr>
      <w:bookmarkStart w:id="779" w:name="_Toc46398112"/>
      <w:r w:rsidRPr="00B76985">
        <w:t xml:space="preserve">District Council </w:t>
      </w:r>
      <w:r>
        <w:t>o</w:t>
      </w:r>
      <w:r w:rsidRPr="00B76985">
        <w:t>f Streaky Bay</w:t>
      </w:r>
      <w:bookmarkEnd w:id="779"/>
    </w:p>
    <w:p w:rsidR="00B76985" w:rsidRPr="00B76985" w:rsidRDefault="00B76985" w:rsidP="007405FF">
      <w:pPr>
        <w:jc w:val="center"/>
        <w:rPr>
          <w:i/>
          <w:szCs w:val="17"/>
        </w:rPr>
      </w:pPr>
      <w:r w:rsidRPr="00B76985">
        <w:rPr>
          <w:i/>
          <w:szCs w:val="17"/>
        </w:rPr>
        <w:t>New Moores Boat Ramp—Signage Requirements</w:t>
      </w:r>
    </w:p>
    <w:p w:rsidR="00B76985" w:rsidRPr="00B76985" w:rsidRDefault="00B76985" w:rsidP="00B76985">
      <w:pPr>
        <w:rPr>
          <w:rFonts w:eastAsia="Times New Roman"/>
          <w:szCs w:val="17"/>
        </w:rPr>
      </w:pPr>
      <w:r w:rsidRPr="00B76985">
        <w:rPr>
          <w:rFonts w:eastAsia="Times New Roman"/>
          <w:szCs w:val="17"/>
        </w:rPr>
        <w:t>NOTICE is hereby given that at its Ordinary Council Meeting held on 16 July, 2020 the District Council of Streaky Bay resolved the following:</w:t>
      </w:r>
    </w:p>
    <w:p w:rsidR="00B76985" w:rsidRPr="00B76985" w:rsidRDefault="00B76985" w:rsidP="00B76985">
      <w:pPr>
        <w:ind w:left="142"/>
        <w:rPr>
          <w:rFonts w:eastAsia="Times New Roman"/>
          <w:szCs w:val="17"/>
        </w:rPr>
      </w:pPr>
      <w:r w:rsidRPr="00B76985">
        <w:rPr>
          <w:rFonts w:eastAsia="Times New Roman"/>
          <w:szCs w:val="17"/>
        </w:rPr>
        <w:t>Council, having considered Report No 11.16, Title: New Moores Boat Ramp—Signage Requirements, dated: 16 July 2020 and its role under Section 6, 7 and 8 of the Local Government Act 1999:</w:t>
      </w:r>
    </w:p>
    <w:p w:rsidR="00B76985" w:rsidRPr="00B76985" w:rsidRDefault="00B76985" w:rsidP="00B76985">
      <w:pPr>
        <w:ind w:left="567" w:hanging="283"/>
        <w:rPr>
          <w:rFonts w:eastAsia="Times New Roman"/>
          <w:szCs w:val="17"/>
        </w:rPr>
      </w:pPr>
      <w:r w:rsidRPr="00B76985">
        <w:rPr>
          <w:rFonts w:eastAsia="Times New Roman"/>
          <w:szCs w:val="17"/>
        </w:rPr>
        <w:t>1.</w:t>
      </w:r>
      <w:r w:rsidRPr="00B76985">
        <w:rPr>
          <w:rFonts w:eastAsia="Times New Roman"/>
          <w:szCs w:val="17"/>
        </w:rPr>
        <w:tab/>
        <w:t>determines, in accordance with paragraph 9.10.6 of Council’s Local Government Land By-law 2017, that the time limit for the mooring of boats on or to the local government land known as Moores Boat Ramp without permission is 30 minutes; and</w:t>
      </w:r>
    </w:p>
    <w:p w:rsidR="00B76985" w:rsidRPr="00B76985" w:rsidRDefault="00B76985" w:rsidP="00B76985">
      <w:pPr>
        <w:ind w:left="567" w:hanging="283"/>
        <w:rPr>
          <w:rFonts w:eastAsia="Times New Roman"/>
          <w:szCs w:val="17"/>
        </w:rPr>
      </w:pPr>
      <w:r w:rsidRPr="00B76985">
        <w:rPr>
          <w:rFonts w:eastAsia="Times New Roman"/>
          <w:szCs w:val="17"/>
        </w:rPr>
        <w:t>2.</w:t>
      </w:r>
      <w:r w:rsidRPr="00B76985">
        <w:rPr>
          <w:rFonts w:eastAsia="Times New Roman"/>
          <w:szCs w:val="17"/>
        </w:rPr>
        <w:tab/>
        <w:t xml:space="preserve">determines, in accordance with paragraph 9.10.6 of Council’s Local Government Land By-law 2017, that the conditions for the mooring of boats on or to the local government land known as Moores Boat Ramp without permission are: </w:t>
      </w:r>
    </w:p>
    <w:p w:rsidR="00B76985" w:rsidRPr="00B76985" w:rsidRDefault="00B76985" w:rsidP="00B76985">
      <w:pPr>
        <w:ind w:left="851" w:hanging="284"/>
        <w:rPr>
          <w:rFonts w:eastAsia="Times New Roman"/>
          <w:szCs w:val="17"/>
        </w:rPr>
      </w:pPr>
      <w:r w:rsidRPr="00B76985">
        <w:rPr>
          <w:rFonts w:eastAsia="Times New Roman"/>
          <w:szCs w:val="17"/>
        </w:rPr>
        <w:t>a.</w:t>
      </w:r>
      <w:r w:rsidRPr="00B76985">
        <w:rPr>
          <w:rFonts w:eastAsia="Times New Roman"/>
          <w:szCs w:val="17"/>
        </w:rPr>
        <w:tab/>
        <w:t>a boat must only be moored at Moores Boat Ramp for the purposes of:</w:t>
      </w:r>
    </w:p>
    <w:p w:rsidR="00B76985" w:rsidRPr="00B76985" w:rsidRDefault="00B76985" w:rsidP="00B76985">
      <w:pPr>
        <w:ind w:left="1134" w:hanging="283"/>
        <w:rPr>
          <w:rFonts w:eastAsia="Times New Roman"/>
          <w:szCs w:val="17"/>
        </w:rPr>
      </w:pPr>
      <w:r w:rsidRPr="00B76985">
        <w:rPr>
          <w:rFonts w:eastAsia="Times New Roman"/>
          <w:szCs w:val="17"/>
        </w:rPr>
        <w:t>i.</w:t>
      </w:r>
      <w:r w:rsidRPr="00B76985">
        <w:rPr>
          <w:rFonts w:eastAsia="Times New Roman"/>
          <w:szCs w:val="17"/>
        </w:rPr>
        <w:tab/>
        <w:t>the loading or unloading of passengers;</w:t>
      </w:r>
    </w:p>
    <w:p w:rsidR="00B76985" w:rsidRPr="00B76985" w:rsidRDefault="00B76985" w:rsidP="00B76985">
      <w:pPr>
        <w:ind w:left="851"/>
        <w:rPr>
          <w:rFonts w:eastAsia="Times New Roman"/>
          <w:szCs w:val="17"/>
        </w:rPr>
      </w:pPr>
      <w:r w:rsidRPr="00B76985">
        <w:rPr>
          <w:rFonts w:eastAsia="Times New Roman"/>
          <w:szCs w:val="17"/>
        </w:rPr>
        <w:t>ii.</w:t>
      </w:r>
      <w:r w:rsidRPr="00B76985">
        <w:rPr>
          <w:rFonts w:eastAsia="Times New Roman"/>
          <w:szCs w:val="17"/>
        </w:rPr>
        <w:tab/>
        <w:t>the loading or unloading of goods; or</w:t>
      </w:r>
    </w:p>
    <w:p w:rsidR="00B76985" w:rsidRPr="00B76985" w:rsidRDefault="00B76985" w:rsidP="00B76985">
      <w:pPr>
        <w:ind w:left="1134" w:hanging="283"/>
        <w:rPr>
          <w:rFonts w:eastAsia="Times New Roman"/>
          <w:szCs w:val="17"/>
        </w:rPr>
      </w:pPr>
      <w:r w:rsidRPr="00B76985">
        <w:rPr>
          <w:rFonts w:eastAsia="Times New Roman"/>
          <w:szCs w:val="17"/>
        </w:rPr>
        <w:t>iii.</w:t>
      </w:r>
      <w:r w:rsidRPr="00B76985">
        <w:rPr>
          <w:rFonts w:eastAsia="Times New Roman"/>
          <w:szCs w:val="17"/>
        </w:rPr>
        <w:tab/>
        <w:t>while the operator or member of the crew of the boat is retrieving or parking a vehicle that is to be used or was used for the purposes of launching or retrieving the vessel from waters;</w:t>
      </w:r>
    </w:p>
    <w:p w:rsidR="00B76985" w:rsidRPr="00B76985" w:rsidRDefault="00B76985" w:rsidP="00B76985">
      <w:pPr>
        <w:ind w:left="851" w:hanging="284"/>
        <w:rPr>
          <w:rFonts w:eastAsia="Times New Roman"/>
          <w:szCs w:val="17"/>
        </w:rPr>
      </w:pPr>
      <w:r w:rsidRPr="00B76985">
        <w:rPr>
          <w:rFonts w:eastAsia="Times New Roman"/>
          <w:szCs w:val="17"/>
        </w:rPr>
        <w:t>b.</w:t>
      </w:r>
      <w:r w:rsidRPr="00B76985">
        <w:rPr>
          <w:rFonts w:eastAsia="Times New Roman"/>
          <w:szCs w:val="17"/>
        </w:rPr>
        <w:tab/>
        <w:t>a boat must only be moored to a pontoon at Moores Boat Ramp and must not be attached to any pile;</w:t>
      </w:r>
    </w:p>
    <w:p w:rsidR="00B76985" w:rsidRPr="00B76985" w:rsidRDefault="00B76985" w:rsidP="00B76985">
      <w:pPr>
        <w:ind w:left="567" w:hanging="283"/>
        <w:rPr>
          <w:rFonts w:eastAsia="Times New Roman"/>
          <w:szCs w:val="17"/>
        </w:rPr>
      </w:pPr>
      <w:r w:rsidRPr="00B76985">
        <w:rPr>
          <w:rFonts w:eastAsia="Times New Roman"/>
          <w:szCs w:val="17"/>
        </w:rPr>
        <w:t>3.</w:t>
      </w:r>
      <w:r w:rsidRPr="00B76985">
        <w:rPr>
          <w:rFonts w:eastAsia="Times New Roman"/>
          <w:szCs w:val="17"/>
        </w:rPr>
        <w:tab/>
        <w:t>determines, that for the purposes of this resolution that ‘Moores Boat Ramp’ means that part of local government land adjacent to Cape Bauer Road, Streaky Bay that is within, adjacent and subjacent to Crown Record 5472 Folio 286 as depicted and highlighted in red in Attachment 1 to this report to Council Item No.11.16, Title: New Moores Boat Ramp—Signage Requirements dated: 16 July 2020 and any pontoon, pile, abutment or other structure located on, adjacent and subjacent to that land from time to time; and</w:t>
      </w:r>
    </w:p>
    <w:p w:rsidR="00B76985" w:rsidRPr="00B76985" w:rsidRDefault="00B76985" w:rsidP="00B76985">
      <w:pPr>
        <w:ind w:left="567" w:hanging="283"/>
        <w:rPr>
          <w:rFonts w:eastAsia="Times New Roman"/>
          <w:szCs w:val="17"/>
        </w:rPr>
      </w:pPr>
      <w:r w:rsidRPr="00B76985">
        <w:rPr>
          <w:rFonts w:eastAsia="Times New Roman"/>
          <w:szCs w:val="17"/>
        </w:rPr>
        <w:t>4.</w:t>
      </w:r>
      <w:r w:rsidRPr="00B76985">
        <w:rPr>
          <w:rFonts w:eastAsia="Times New Roman"/>
          <w:szCs w:val="17"/>
        </w:rPr>
        <w:tab/>
        <w:t>instructs the Chief Executive Officer, in accordance with paragraph 9.10.6 of Council’s Local Government Land By-law 2017, to prepare and install signage at Moores Boat Ramp to inform users of the Boat Ramp of the terms of this resolution and to publish notice of this resolution in the Gazette and in the Port Lincoln Times.</w:t>
      </w:r>
    </w:p>
    <w:p w:rsidR="00B76985" w:rsidRPr="00B76985" w:rsidRDefault="00B76985" w:rsidP="007405FF">
      <w:pPr>
        <w:spacing w:before="240"/>
        <w:jc w:val="center"/>
        <w:rPr>
          <w:smallCaps/>
          <w:szCs w:val="17"/>
        </w:rPr>
      </w:pPr>
      <w:r w:rsidRPr="00B76985">
        <w:rPr>
          <w:smallCaps/>
          <w:noProof/>
          <w:szCs w:val="17"/>
          <w:lang w:eastAsia="en-AU"/>
        </w:rPr>
        <w:drawing>
          <wp:anchor distT="0" distB="0" distL="114300" distR="114300" simplePos="0" relativeHeight="251659776" behindDoc="1" locked="0" layoutInCell="1" allowOverlap="1" wp14:anchorId="3EC9F977" wp14:editId="657426EA">
            <wp:simplePos x="0" y="0"/>
            <wp:positionH relativeFrom="margin">
              <wp:posOffset>1234440</wp:posOffset>
            </wp:positionH>
            <wp:positionV relativeFrom="paragraph">
              <wp:posOffset>366090</wp:posOffset>
            </wp:positionV>
            <wp:extent cx="3474720" cy="4507230"/>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7">
                      <a:extLst>
                        <a:ext uri="{28A0092B-C50C-407E-A947-70E740481C1C}">
                          <a14:useLocalDpi xmlns:a14="http://schemas.microsoft.com/office/drawing/2010/main" val="0"/>
                        </a:ext>
                      </a:extLst>
                    </a:blip>
                    <a:srcRect t="573" r="1897" b="617"/>
                    <a:stretch/>
                  </pic:blipFill>
                  <pic:spPr bwMode="auto">
                    <a:xfrm>
                      <a:off x="0" y="0"/>
                      <a:ext cx="3474720" cy="4507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6985">
        <w:rPr>
          <w:smallCaps/>
          <w:szCs w:val="17"/>
        </w:rPr>
        <w:t>Attachment 1—Moores Boat Ramp Area</w:t>
      </w:r>
    </w:p>
    <w:p w:rsidR="00B76985" w:rsidRPr="00B76985" w:rsidRDefault="00B76985" w:rsidP="00B76985">
      <w:pPr>
        <w:spacing w:before="240" w:after="0"/>
        <w:rPr>
          <w:rFonts w:eastAsia="Times New Roman"/>
          <w:szCs w:val="17"/>
        </w:rPr>
      </w:pPr>
      <w:r w:rsidRPr="00B76985">
        <w:rPr>
          <w:rFonts w:eastAsia="Times New Roman"/>
          <w:szCs w:val="17"/>
        </w:rPr>
        <w:t>Dated: 23 July 2020</w:t>
      </w:r>
    </w:p>
    <w:p w:rsidR="00B76985" w:rsidRPr="00B76985" w:rsidRDefault="00B76985" w:rsidP="00B76985">
      <w:pPr>
        <w:spacing w:after="0"/>
        <w:jc w:val="right"/>
        <w:rPr>
          <w:rFonts w:eastAsia="Times New Roman"/>
          <w:smallCaps/>
          <w:szCs w:val="20"/>
        </w:rPr>
      </w:pPr>
      <w:r w:rsidRPr="00B76985">
        <w:rPr>
          <w:rFonts w:eastAsia="Times New Roman"/>
          <w:smallCaps/>
          <w:szCs w:val="20"/>
        </w:rPr>
        <w:t>Karina Ewer</w:t>
      </w:r>
    </w:p>
    <w:p w:rsidR="00B76985" w:rsidRPr="00B76985" w:rsidRDefault="00B76985" w:rsidP="00B76985">
      <w:pPr>
        <w:spacing w:after="0"/>
        <w:jc w:val="right"/>
        <w:rPr>
          <w:rFonts w:eastAsia="Times New Roman"/>
          <w:szCs w:val="17"/>
        </w:rPr>
      </w:pPr>
      <w:r w:rsidRPr="00B76985">
        <w:rPr>
          <w:rFonts w:eastAsia="Times New Roman"/>
          <w:szCs w:val="17"/>
        </w:rPr>
        <w:t>Chief Executive Officer</w:t>
      </w:r>
    </w:p>
    <w:p w:rsidR="00B76985" w:rsidRPr="00B76985" w:rsidRDefault="00B76985" w:rsidP="00B76985">
      <w:pPr>
        <w:pBdr>
          <w:bottom w:val="single" w:sz="4" w:space="1" w:color="auto"/>
        </w:pBdr>
        <w:spacing w:after="0" w:line="52" w:lineRule="exact"/>
        <w:jc w:val="center"/>
        <w:rPr>
          <w:rFonts w:eastAsia="Times New Roman"/>
          <w:szCs w:val="17"/>
        </w:rPr>
      </w:pPr>
    </w:p>
    <w:p w:rsidR="00B76985" w:rsidRPr="00B76985" w:rsidRDefault="00B76985" w:rsidP="00B76985">
      <w:pPr>
        <w:pBdr>
          <w:top w:val="single" w:sz="4" w:space="1" w:color="auto"/>
        </w:pBdr>
        <w:spacing w:before="34" w:after="0" w:line="14" w:lineRule="exact"/>
        <w:jc w:val="center"/>
        <w:rPr>
          <w:rFonts w:eastAsia="Times New Roman"/>
          <w:szCs w:val="17"/>
        </w:rPr>
      </w:pPr>
    </w:p>
    <w:p w:rsidR="00B1475C" w:rsidRDefault="00B1475C" w:rsidP="00B1475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9D1E2E" w:rsidRPr="009D1E2E" w:rsidRDefault="009D1E2E" w:rsidP="00FF4ACA">
      <w:pPr>
        <w:pStyle w:val="Heading1"/>
      </w:pPr>
      <w:r>
        <w:rPr>
          <w:lang w:val="en-US"/>
        </w:rPr>
        <w:br w:type="page"/>
      </w:r>
      <w:bookmarkStart w:id="780" w:name="_Toc33707984"/>
      <w:bookmarkStart w:id="781" w:name="_Toc33708155"/>
      <w:bookmarkStart w:id="782" w:name="_Toc46398113"/>
      <w:r>
        <w:t>Public Notices</w:t>
      </w:r>
      <w:bookmarkEnd w:id="780"/>
      <w:bookmarkEnd w:id="781"/>
      <w:bookmarkEnd w:id="782"/>
    </w:p>
    <w:p w:rsidR="006353A3" w:rsidRPr="006353A3" w:rsidRDefault="00782AB8" w:rsidP="00782AB8">
      <w:pPr>
        <w:pStyle w:val="Heading2"/>
      </w:pPr>
      <w:bookmarkStart w:id="783" w:name="_Toc46398114"/>
      <w:r w:rsidRPr="006353A3">
        <w:t>Trustee Act 1936</w:t>
      </w:r>
      <w:bookmarkEnd w:id="783"/>
    </w:p>
    <w:p w:rsidR="006353A3" w:rsidRPr="006353A3" w:rsidRDefault="006353A3" w:rsidP="006353A3">
      <w:pPr>
        <w:jc w:val="center"/>
        <w:rPr>
          <w:smallCaps/>
          <w:szCs w:val="17"/>
        </w:rPr>
      </w:pPr>
      <w:r w:rsidRPr="006353A3">
        <w:rPr>
          <w:smallCaps/>
          <w:szCs w:val="17"/>
        </w:rPr>
        <w:t>Public Trustee</w:t>
      </w:r>
    </w:p>
    <w:p w:rsidR="006353A3" w:rsidRPr="006353A3" w:rsidRDefault="006353A3" w:rsidP="006353A3">
      <w:pPr>
        <w:jc w:val="center"/>
        <w:rPr>
          <w:i/>
          <w:szCs w:val="17"/>
        </w:rPr>
      </w:pPr>
      <w:r w:rsidRPr="006353A3">
        <w:rPr>
          <w:i/>
          <w:szCs w:val="17"/>
        </w:rPr>
        <w:t>Estates of Deceased Persons</w:t>
      </w:r>
    </w:p>
    <w:p w:rsidR="006353A3" w:rsidRPr="006353A3" w:rsidRDefault="006353A3" w:rsidP="006353A3">
      <w:pPr>
        <w:rPr>
          <w:rFonts w:eastAsia="Times New Roman"/>
          <w:szCs w:val="17"/>
        </w:rPr>
      </w:pPr>
      <w:r w:rsidRPr="006353A3">
        <w:rPr>
          <w:rFonts w:eastAsia="Times New Roman"/>
          <w:szCs w:val="17"/>
        </w:rPr>
        <w:t>In the matter of the estates of the undermentioned deceased persons:</w:t>
      </w:r>
    </w:p>
    <w:p w:rsidR="006353A3" w:rsidRPr="006353A3" w:rsidRDefault="006353A3" w:rsidP="006353A3">
      <w:pPr>
        <w:spacing w:after="0"/>
        <w:ind w:left="120"/>
        <w:rPr>
          <w:rFonts w:eastAsia="Times New Roman"/>
          <w:szCs w:val="17"/>
        </w:rPr>
      </w:pPr>
      <w:r w:rsidRPr="006353A3">
        <w:rPr>
          <w:rFonts w:eastAsia="Times New Roman"/>
          <w:szCs w:val="17"/>
        </w:rPr>
        <w:t>DELANEY Margaret late of 86 Oaklands Road Glengowrie of no occupation who died 13 January 2020</w:t>
      </w:r>
    </w:p>
    <w:p w:rsidR="006353A3" w:rsidRPr="006353A3" w:rsidRDefault="006353A3" w:rsidP="006353A3">
      <w:pPr>
        <w:spacing w:after="0"/>
        <w:ind w:left="120"/>
        <w:rPr>
          <w:rFonts w:eastAsia="Times New Roman"/>
          <w:szCs w:val="17"/>
        </w:rPr>
      </w:pPr>
      <w:r w:rsidRPr="006353A3">
        <w:rPr>
          <w:rFonts w:eastAsia="Times New Roman"/>
          <w:szCs w:val="17"/>
        </w:rPr>
        <w:t>DICKSON Peter late of 7 Raymond Grove Glenelg Retired Life Assurance Administrator who died 27 March 2020</w:t>
      </w:r>
    </w:p>
    <w:p w:rsidR="006353A3" w:rsidRPr="006353A3" w:rsidRDefault="006353A3" w:rsidP="006353A3">
      <w:pPr>
        <w:spacing w:after="0"/>
        <w:ind w:left="120"/>
        <w:rPr>
          <w:rFonts w:eastAsia="Times New Roman"/>
          <w:szCs w:val="17"/>
        </w:rPr>
      </w:pPr>
      <w:r w:rsidRPr="006353A3">
        <w:rPr>
          <w:rFonts w:eastAsia="Times New Roman"/>
          <w:szCs w:val="17"/>
        </w:rPr>
        <w:t>HAWKES Alison Joy late of 333 Marion Road North Plympton of no occupation who died 21 September 2019</w:t>
      </w:r>
    </w:p>
    <w:p w:rsidR="006353A3" w:rsidRPr="006353A3" w:rsidRDefault="006353A3" w:rsidP="006353A3">
      <w:pPr>
        <w:spacing w:after="0"/>
        <w:ind w:left="120"/>
        <w:rPr>
          <w:rFonts w:eastAsia="Times New Roman"/>
          <w:szCs w:val="17"/>
        </w:rPr>
      </w:pPr>
      <w:r w:rsidRPr="006353A3">
        <w:rPr>
          <w:rFonts w:eastAsia="Times New Roman"/>
          <w:szCs w:val="17"/>
        </w:rPr>
        <w:t>HUTTON Barry John late of 9 Maple Avenue Royal Park of no occupation who died 02 April 2020</w:t>
      </w:r>
    </w:p>
    <w:p w:rsidR="006353A3" w:rsidRPr="006353A3" w:rsidRDefault="006353A3" w:rsidP="006353A3">
      <w:pPr>
        <w:spacing w:after="0"/>
        <w:ind w:left="120"/>
        <w:rPr>
          <w:rFonts w:eastAsia="Times New Roman"/>
          <w:szCs w:val="17"/>
        </w:rPr>
      </w:pPr>
      <w:r w:rsidRPr="006353A3">
        <w:rPr>
          <w:rFonts w:eastAsia="Times New Roman"/>
          <w:szCs w:val="17"/>
        </w:rPr>
        <w:t>PARK Colin William late of Corner Fort Street and Sylvan Way Grange Retired Fitter who died 04 May 2020</w:t>
      </w:r>
    </w:p>
    <w:p w:rsidR="006353A3" w:rsidRPr="006353A3" w:rsidRDefault="006353A3" w:rsidP="006353A3">
      <w:pPr>
        <w:spacing w:after="0"/>
        <w:ind w:left="120"/>
        <w:rPr>
          <w:rFonts w:eastAsia="Times New Roman"/>
          <w:szCs w:val="17"/>
        </w:rPr>
      </w:pPr>
      <w:r w:rsidRPr="006353A3">
        <w:rPr>
          <w:rFonts w:eastAsia="Times New Roman"/>
          <w:szCs w:val="17"/>
        </w:rPr>
        <w:t>ROBINSON Mike Alvin late of 72 Bower Street Woodville Retired Cotton Weaver/Mechanic who died 20 March 2020</w:t>
      </w:r>
    </w:p>
    <w:p w:rsidR="006353A3" w:rsidRPr="006353A3" w:rsidRDefault="006353A3" w:rsidP="006353A3">
      <w:pPr>
        <w:spacing w:after="0"/>
        <w:ind w:left="120"/>
        <w:rPr>
          <w:rFonts w:eastAsia="Times New Roman"/>
          <w:szCs w:val="17"/>
        </w:rPr>
      </w:pPr>
      <w:r w:rsidRPr="006353A3">
        <w:rPr>
          <w:rFonts w:eastAsia="Times New Roman"/>
          <w:szCs w:val="17"/>
        </w:rPr>
        <w:t>STEPHENSON Brian late of 1 Wilton Street Davoren Park Retired Draftsman who died 26 January 2020</w:t>
      </w:r>
    </w:p>
    <w:p w:rsidR="006353A3" w:rsidRPr="006353A3" w:rsidRDefault="006353A3" w:rsidP="006353A3">
      <w:pPr>
        <w:spacing w:after="0"/>
        <w:ind w:left="120"/>
        <w:rPr>
          <w:rFonts w:eastAsia="Times New Roman"/>
          <w:szCs w:val="17"/>
        </w:rPr>
      </w:pPr>
      <w:r w:rsidRPr="006353A3">
        <w:rPr>
          <w:rFonts w:eastAsia="Times New Roman"/>
          <w:szCs w:val="17"/>
        </w:rPr>
        <w:t>SYMONS Mark Anthony late of 55 Joyce Street Murray Bridge of no occupation who died 29 March 2020</w:t>
      </w:r>
    </w:p>
    <w:p w:rsidR="006353A3" w:rsidRPr="006353A3" w:rsidRDefault="006353A3" w:rsidP="006353A3">
      <w:pPr>
        <w:ind w:left="120"/>
        <w:rPr>
          <w:rFonts w:eastAsia="Times New Roman"/>
          <w:szCs w:val="17"/>
        </w:rPr>
      </w:pPr>
      <w:r w:rsidRPr="006353A3">
        <w:rPr>
          <w:rFonts w:eastAsia="Times New Roman"/>
          <w:szCs w:val="17"/>
        </w:rPr>
        <w:t>WESTOVER Darren Shane late of 2 Marriott Avenue Modbury North Tool Maker who died 29 April 2020</w:t>
      </w:r>
    </w:p>
    <w:p w:rsidR="006353A3" w:rsidRPr="006353A3" w:rsidRDefault="006353A3" w:rsidP="006353A3">
      <w:pPr>
        <w:rPr>
          <w:rFonts w:eastAsia="Times New Roman"/>
          <w:spacing w:val="-2"/>
          <w:szCs w:val="17"/>
        </w:rPr>
      </w:pPr>
      <w:r w:rsidRPr="006353A3">
        <w:rPr>
          <w:rFonts w:eastAsia="Times New Roman"/>
          <w:spacing w:val="-2"/>
          <w:szCs w:val="17"/>
        </w:rPr>
        <w:t>Notice is hereby given pursuant to the Trustee Act 1936, the Inheritance (Family Provision) Act 1972 and the Family Relationships Act 1975 that all creditors, beneficiaries, and other persons having claims against the said estates are required to send, in writing, to the office of Public Trustee at GPO Box 1338, Adelaide, 5001, full particulars and proof of such claims, on or before the 21 August 2020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6353A3" w:rsidRPr="006353A3" w:rsidRDefault="006353A3" w:rsidP="006353A3">
      <w:pPr>
        <w:spacing w:after="0"/>
        <w:rPr>
          <w:rFonts w:eastAsia="Times New Roman"/>
          <w:szCs w:val="17"/>
        </w:rPr>
      </w:pPr>
      <w:r w:rsidRPr="006353A3">
        <w:rPr>
          <w:rFonts w:eastAsia="Times New Roman"/>
          <w:szCs w:val="17"/>
        </w:rPr>
        <w:t>Dated: 23 July 2020</w:t>
      </w:r>
    </w:p>
    <w:p w:rsidR="006353A3" w:rsidRPr="006353A3" w:rsidRDefault="006353A3" w:rsidP="006353A3">
      <w:pPr>
        <w:spacing w:after="0"/>
        <w:jc w:val="right"/>
        <w:rPr>
          <w:rFonts w:eastAsia="Times New Roman"/>
          <w:smallCaps/>
          <w:szCs w:val="20"/>
        </w:rPr>
      </w:pPr>
      <w:r w:rsidRPr="006353A3">
        <w:rPr>
          <w:rFonts w:eastAsia="Times New Roman"/>
          <w:smallCaps/>
          <w:szCs w:val="20"/>
        </w:rPr>
        <w:t>N. S. Rantanen</w:t>
      </w:r>
    </w:p>
    <w:p w:rsidR="006353A3" w:rsidRPr="006353A3" w:rsidRDefault="006353A3" w:rsidP="006353A3">
      <w:pPr>
        <w:spacing w:after="0"/>
        <w:jc w:val="right"/>
        <w:rPr>
          <w:rFonts w:eastAsia="Times New Roman"/>
          <w:szCs w:val="17"/>
        </w:rPr>
      </w:pPr>
      <w:r w:rsidRPr="006353A3">
        <w:rPr>
          <w:rFonts w:eastAsia="Times New Roman"/>
          <w:szCs w:val="17"/>
        </w:rPr>
        <w:t>Acting Public Trustee</w:t>
      </w:r>
    </w:p>
    <w:p w:rsidR="006353A3" w:rsidRPr="006353A3" w:rsidRDefault="006353A3" w:rsidP="006353A3">
      <w:pPr>
        <w:pBdr>
          <w:bottom w:val="single" w:sz="4" w:space="1" w:color="auto"/>
        </w:pBdr>
        <w:spacing w:after="0" w:line="52" w:lineRule="exact"/>
        <w:jc w:val="center"/>
        <w:rPr>
          <w:rFonts w:eastAsia="Times New Roman"/>
          <w:szCs w:val="17"/>
        </w:rPr>
      </w:pPr>
    </w:p>
    <w:p w:rsidR="006353A3" w:rsidRPr="006353A3" w:rsidRDefault="006353A3" w:rsidP="006353A3">
      <w:pPr>
        <w:pBdr>
          <w:top w:val="single" w:sz="4" w:space="1" w:color="auto"/>
        </w:pBdr>
        <w:spacing w:before="34" w:after="0" w:line="14" w:lineRule="exact"/>
        <w:jc w:val="center"/>
        <w:rPr>
          <w:rFonts w:eastAsia="Times New Roman"/>
          <w:szCs w:val="17"/>
        </w:rPr>
      </w:pPr>
    </w:p>
    <w:p w:rsidR="006353A3" w:rsidRPr="006353A3" w:rsidRDefault="006353A3" w:rsidP="00782AB8">
      <w:pPr>
        <w:pStyle w:val="Heading2"/>
      </w:pPr>
    </w:p>
    <w:p w:rsidR="000B0C2F" w:rsidRPr="000B0C2F" w:rsidRDefault="00782AB8" w:rsidP="00782AB8">
      <w:pPr>
        <w:pStyle w:val="Heading2"/>
      </w:pPr>
      <w:bookmarkStart w:id="784" w:name="_Toc46398115"/>
      <w:r w:rsidRPr="000B0C2F">
        <w:t>Parafield Airport</w:t>
      </w:r>
      <w:bookmarkEnd w:id="784"/>
    </w:p>
    <w:p w:rsidR="000B0C2F" w:rsidRPr="000B0C2F" w:rsidRDefault="000B0C2F" w:rsidP="000B0C2F">
      <w:pPr>
        <w:jc w:val="center"/>
        <w:rPr>
          <w:smallCaps/>
          <w:szCs w:val="17"/>
        </w:rPr>
      </w:pPr>
      <w:r w:rsidRPr="000B0C2F">
        <w:rPr>
          <w:smallCaps/>
          <w:szCs w:val="17"/>
        </w:rPr>
        <w:t>Schedule of Charges</w:t>
      </w:r>
    </w:p>
    <w:p w:rsidR="000B0C2F" w:rsidRPr="000B0C2F" w:rsidRDefault="000B0C2F" w:rsidP="000B0C2F">
      <w:pPr>
        <w:jc w:val="center"/>
        <w:rPr>
          <w:i/>
          <w:szCs w:val="17"/>
        </w:rPr>
      </w:pPr>
      <w:r w:rsidRPr="000B0C2F">
        <w:rPr>
          <w:i/>
          <w:szCs w:val="17"/>
        </w:rPr>
        <w:t>Effective from 1st Oct 2020</w:t>
      </w:r>
    </w:p>
    <w:p w:rsidR="000B0C2F" w:rsidRPr="000B0C2F" w:rsidRDefault="000B0C2F" w:rsidP="000B0C2F">
      <w:pPr>
        <w:rPr>
          <w:rFonts w:eastAsia="Times New Roman"/>
          <w:szCs w:val="17"/>
        </w:rPr>
      </w:pPr>
      <w:r w:rsidRPr="000B0C2F">
        <w:rPr>
          <w:rFonts w:eastAsia="Times New Roman"/>
          <w:szCs w:val="17"/>
        </w:rPr>
        <w:t>The prices shown in this schedule are inclusive of GST.</w:t>
      </w:r>
    </w:p>
    <w:p w:rsidR="000B0C2F" w:rsidRPr="000B0C2F" w:rsidRDefault="000B0C2F" w:rsidP="000B0C2F">
      <w:pPr>
        <w:rPr>
          <w:rFonts w:eastAsia="Times New Roman"/>
          <w:szCs w:val="17"/>
        </w:rPr>
      </w:pPr>
      <w:r w:rsidRPr="000B0C2F">
        <w:rPr>
          <w:rFonts w:eastAsia="Times New Roman"/>
          <w:szCs w:val="17"/>
        </w:rPr>
        <w:t>The following charges apply to the use of Parafield Airport:</w:t>
      </w:r>
    </w:p>
    <w:p w:rsidR="000B0C2F" w:rsidRPr="000B0C2F" w:rsidRDefault="000B0C2F" w:rsidP="000B0C2F">
      <w:pPr>
        <w:ind w:left="709" w:hanging="426"/>
        <w:rPr>
          <w:rFonts w:eastAsia="Times New Roman"/>
          <w:b/>
          <w:szCs w:val="17"/>
        </w:rPr>
      </w:pPr>
      <w:r w:rsidRPr="000B0C2F">
        <w:rPr>
          <w:rFonts w:eastAsia="Times New Roman"/>
          <w:b/>
          <w:szCs w:val="17"/>
        </w:rPr>
        <w:t>(a)</w:t>
      </w:r>
      <w:r w:rsidRPr="000B0C2F">
        <w:rPr>
          <w:rFonts w:eastAsia="Times New Roman"/>
          <w:b/>
          <w:szCs w:val="17"/>
        </w:rPr>
        <w:tab/>
        <w:t>LANDING CHARGE</w:t>
      </w:r>
    </w:p>
    <w:p w:rsidR="000B0C2F" w:rsidRPr="000B0C2F" w:rsidRDefault="000B0C2F" w:rsidP="000B0C2F">
      <w:pPr>
        <w:ind w:left="1134" w:hanging="425"/>
        <w:rPr>
          <w:rFonts w:eastAsia="Times New Roman"/>
          <w:szCs w:val="17"/>
        </w:rPr>
      </w:pPr>
      <w:r w:rsidRPr="000B0C2F">
        <w:rPr>
          <w:rFonts w:eastAsia="Times New Roman"/>
          <w:szCs w:val="17"/>
        </w:rPr>
        <w:t>(i)</w:t>
      </w:r>
      <w:r w:rsidRPr="000B0C2F">
        <w:rPr>
          <w:rFonts w:eastAsia="Times New Roman"/>
          <w:szCs w:val="17"/>
        </w:rPr>
        <w:tab/>
        <w:t>For each and every aircraft landing, a charge of $8.95 per 1,000 kg MTOW pro-rata. Minimum charge $8.95</w:t>
      </w:r>
    </w:p>
    <w:p w:rsidR="000B0C2F" w:rsidRPr="000B0C2F" w:rsidRDefault="000B0C2F" w:rsidP="000B0C2F">
      <w:pPr>
        <w:ind w:left="1134" w:hanging="425"/>
        <w:rPr>
          <w:rFonts w:eastAsia="Times New Roman"/>
          <w:szCs w:val="17"/>
        </w:rPr>
      </w:pPr>
      <w:r w:rsidRPr="000B0C2F">
        <w:rPr>
          <w:rFonts w:eastAsia="Times New Roman"/>
          <w:szCs w:val="17"/>
        </w:rPr>
        <w:t>(ii)</w:t>
      </w:r>
      <w:r w:rsidRPr="000B0C2F">
        <w:rPr>
          <w:rFonts w:eastAsia="Times New Roman"/>
          <w:szCs w:val="17"/>
        </w:rPr>
        <w:tab/>
        <w:t>For aircraft landing at Parafield Airport for the purposes of undergoing substantial maintenance on the airport and weighing less than 10,000 kg MTOW, a single charge of $8.95 per 1,000 kg MTOW pro-rata. Minimum charge $8.95</w:t>
      </w:r>
    </w:p>
    <w:p w:rsidR="000B0C2F" w:rsidRPr="000B0C2F" w:rsidRDefault="000B0C2F" w:rsidP="000B0C2F">
      <w:pPr>
        <w:ind w:left="1134" w:hanging="425"/>
        <w:rPr>
          <w:rFonts w:eastAsia="Times New Roman"/>
          <w:szCs w:val="17"/>
        </w:rPr>
      </w:pPr>
      <w:r w:rsidRPr="000B0C2F">
        <w:rPr>
          <w:rFonts w:eastAsia="Times New Roman"/>
          <w:szCs w:val="17"/>
        </w:rPr>
        <w:t>(iii)</w:t>
      </w:r>
      <w:r w:rsidRPr="000B0C2F">
        <w:rPr>
          <w:rFonts w:eastAsia="Times New Roman"/>
          <w:szCs w:val="17"/>
        </w:rPr>
        <w:tab/>
        <w:t>For the purposes of an aircraft undergoing substantial maintenance, evidence in the form of a Substantial Maintenance Claim Form must be submitted to the Credit Controller at Parafield Airport Ltd (PAL) within 24 hours of the aircraft landing at Parafield Airport. If PAL is not notified of an aircraft landing for substantial maintenance within 24 hours, then a daily charge of $8.95 per 1,000 kg MTOW pro-rata will be levied in addition to the landing charge.  It is the responsibility of the aircraft owner/operator to ensure that the form is lodged with PAL by the due date.</w:t>
      </w:r>
    </w:p>
    <w:p w:rsidR="000B0C2F" w:rsidRPr="000B0C2F" w:rsidRDefault="000B0C2F" w:rsidP="000B0C2F">
      <w:pPr>
        <w:ind w:left="709" w:hanging="426"/>
        <w:rPr>
          <w:rFonts w:eastAsia="Times New Roman"/>
          <w:b/>
          <w:szCs w:val="17"/>
        </w:rPr>
      </w:pPr>
      <w:r w:rsidRPr="000B0C2F">
        <w:rPr>
          <w:rFonts w:eastAsia="Times New Roman"/>
          <w:b/>
          <w:szCs w:val="17"/>
        </w:rPr>
        <w:t>(b)</w:t>
      </w:r>
      <w:r w:rsidRPr="000B0C2F">
        <w:rPr>
          <w:rFonts w:eastAsia="Times New Roman"/>
          <w:b/>
          <w:szCs w:val="17"/>
        </w:rPr>
        <w:tab/>
        <w:t>PARKING</w:t>
      </w:r>
    </w:p>
    <w:p w:rsidR="000B0C2F" w:rsidRPr="000B0C2F" w:rsidRDefault="000B0C2F" w:rsidP="000B0C2F">
      <w:pPr>
        <w:ind w:left="1134" w:hanging="425"/>
        <w:rPr>
          <w:rFonts w:eastAsia="Times New Roman"/>
          <w:szCs w:val="17"/>
        </w:rPr>
      </w:pPr>
      <w:r w:rsidRPr="000B0C2F">
        <w:rPr>
          <w:rFonts w:eastAsia="Times New Roman"/>
          <w:szCs w:val="17"/>
        </w:rPr>
        <w:t>(i)</w:t>
      </w:r>
      <w:r w:rsidRPr="000B0C2F">
        <w:rPr>
          <w:rFonts w:eastAsia="Times New Roman"/>
          <w:szCs w:val="17"/>
        </w:rPr>
        <w:tab/>
        <w:t>Each aircraft will be charged a parking fee of $8.95 per 1,000 kg MTOW per day. Minimum charge $8.95.</w:t>
      </w:r>
    </w:p>
    <w:p w:rsidR="000B0C2F" w:rsidRPr="000B0C2F" w:rsidRDefault="000B0C2F" w:rsidP="000B0C2F">
      <w:pPr>
        <w:ind w:left="1134" w:hanging="425"/>
        <w:rPr>
          <w:rFonts w:eastAsia="Times New Roman"/>
          <w:szCs w:val="17"/>
        </w:rPr>
      </w:pPr>
      <w:r w:rsidRPr="000B0C2F">
        <w:rPr>
          <w:rFonts w:eastAsia="Times New Roman"/>
          <w:szCs w:val="17"/>
        </w:rPr>
        <w:t>(ii)</w:t>
      </w:r>
      <w:r w:rsidRPr="000B0C2F">
        <w:rPr>
          <w:rFonts w:eastAsia="Times New Roman"/>
          <w:szCs w:val="17"/>
        </w:rPr>
        <w:tab/>
        <w:t xml:space="preserve">Long Term Parking and Apron Licensing arrangements can be made by contacting PAL either by Phone: +61 8 8307 5700 or email </w:t>
      </w:r>
      <w:hyperlink r:id="rId98" w:history="1">
        <w:r w:rsidRPr="000B0C2F">
          <w:rPr>
            <w:rFonts w:eastAsia="Times New Roman"/>
            <w:color w:val="0000FF"/>
            <w:szCs w:val="17"/>
            <w:u w:val="single"/>
          </w:rPr>
          <w:t>aero@aal.com.au</w:t>
        </w:r>
      </w:hyperlink>
      <w:r w:rsidRPr="000B0C2F">
        <w:rPr>
          <w:rFonts w:eastAsia="Times New Roman"/>
          <w:szCs w:val="17"/>
        </w:rPr>
        <w:t>.</w:t>
      </w:r>
    </w:p>
    <w:p w:rsidR="000B0C2F" w:rsidRPr="000B0C2F" w:rsidRDefault="000B0C2F" w:rsidP="000B0C2F">
      <w:pPr>
        <w:ind w:left="709" w:hanging="426"/>
        <w:rPr>
          <w:rFonts w:eastAsia="Times New Roman"/>
          <w:b/>
          <w:szCs w:val="17"/>
        </w:rPr>
      </w:pPr>
      <w:r w:rsidRPr="000B0C2F">
        <w:rPr>
          <w:rFonts w:eastAsia="Times New Roman"/>
          <w:b/>
          <w:szCs w:val="17"/>
        </w:rPr>
        <w:t>(c)</w:t>
      </w:r>
      <w:r w:rsidRPr="000B0C2F">
        <w:rPr>
          <w:rFonts w:eastAsia="Times New Roman"/>
          <w:b/>
          <w:szCs w:val="17"/>
        </w:rPr>
        <w:tab/>
        <w:t>GENERAL AVIATION ACCESS CHARGE (GAAC)</w:t>
      </w:r>
    </w:p>
    <w:p w:rsidR="000B0C2F" w:rsidRPr="000B0C2F" w:rsidRDefault="000B0C2F" w:rsidP="000B0C2F">
      <w:pPr>
        <w:ind w:left="709"/>
        <w:rPr>
          <w:rFonts w:eastAsia="Times New Roman"/>
          <w:b/>
          <w:szCs w:val="17"/>
        </w:rPr>
      </w:pPr>
      <w:r w:rsidRPr="000B0C2F">
        <w:rPr>
          <w:rFonts w:eastAsia="Times New Roman"/>
          <w:b/>
          <w:szCs w:val="17"/>
        </w:rPr>
        <w:t>GAAC programs were terminated effective 1 September 2018.</w:t>
      </w:r>
    </w:p>
    <w:p w:rsidR="000B0C2F" w:rsidRPr="000B0C2F" w:rsidRDefault="000B0C2F" w:rsidP="000B0C2F">
      <w:pPr>
        <w:rPr>
          <w:rFonts w:eastAsia="Times New Roman"/>
          <w:szCs w:val="17"/>
          <w:lang w:val="en-US"/>
        </w:rPr>
      </w:pPr>
      <w:r w:rsidRPr="000B0C2F">
        <w:rPr>
          <w:rFonts w:eastAsia="Times New Roman"/>
          <w:szCs w:val="17"/>
        </w:rPr>
        <w:t>This Schedule may change from time to time. By using Parafield Airport the Aircraft Operator is deemed to have accepted these Charges as amended from time to time.</w:t>
      </w:r>
    </w:p>
    <w:p w:rsidR="000B0C2F" w:rsidRPr="000B0C2F" w:rsidRDefault="000B0C2F" w:rsidP="000B0C2F">
      <w:pPr>
        <w:spacing w:after="0"/>
        <w:rPr>
          <w:rFonts w:eastAsia="Times New Roman"/>
          <w:szCs w:val="17"/>
          <w:lang w:val="en-US"/>
        </w:rPr>
      </w:pPr>
      <w:r w:rsidRPr="000B0C2F">
        <w:rPr>
          <w:rFonts w:eastAsia="Times New Roman"/>
          <w:szCs w:val="17"/>
          <w:lang w:val="en-US"/>
        </w:rPr>
        <w:t>Dated: 23 July 2020</w:t>
      </w:r>
    </w:p>
    <w:p w:rsidR="000B0C2F" w:rsidRPr="000B0C2F" w:rsidRDefault="000B0C2F" w:rsidP="000B0C2F">
      <w:pPr>
        <w:spacing w:after="0"/>
        <w:jc w:val="right"/>
        <w:rPr>
          <w:rFonts w:eastAsia="Times New Roman"/>
          <w:smallCaps/>
          <w:szCs w:val="20"/>
          <w:lang w:val="en-US"/>
        </w:rPr>
      </w:pPr>
      <w:r w:rsidRPr="000B0C2F">
        <w:rPr>
          <w:rFonts w:eastAsia="Times New Roman"/>
          <w:smallCaps/>
          <w:szCs w:val="20"/>
          <w:lang w:val="en-US"/>
        </w:rPr>
        <w:t>Scott Snodgrass</w:t>
      </w:r>
    </w:p>
    <w:p w:rsidR="000B0C2F" w:rsidRPr="000B0C2F" w:rsidRDefault="000B0C2F" w:rsidP="000B0C2F">
      <w:pPr>
        <w:spacing w:after="0"/>
        <w:jc w:val="right"/>
        <w:rPr>
          <w:rFonts w:eastAsia="Times New Roman"/>
          <w:szCs w:val="17"/>
        </w:rPr>
      </w:pPr>
      <w:r w:rsidRPr="000B0C2F">
        <w:rPr>
          <w:rFonts w:eastAsia="Times New Roman"/>
          <w:szCs w:val="17"/>
          <w:lang w:val="en-US"/>
        </w:rPr>
        <w:t xml:space="preserve">Aviation Commercial </w:t>
      </w:r>
      <w:r w:rsidRPr="000B0C2F">
        <w:rPr>
          <w:rFonts w:eastAsia="Times New Roman"/>
          <w:szCs w:val="17"/>
        </w:rPr>
        <w:t>Manager</w:t>
      </w:r>
    </w:p>
    <w:p w:rsidR="000B0C2F" w:rsidRPr="000B0C2F" w:rsidRDefault="000B0C2F" w:rsidP="000B0C2F">
      <w:pPr>
        <w:spacing w:after="0"/>
        <w:jc w:val="right"/>
        <w:rPr>
          <w:rFonts w:eastAsia="Times New Roman"/>
          <w:szCs w:val="17"/>
        </w:rPr>
      </w:pPr>
      <w:r w:rsidRPr="000B0C2F">
        <w:rPr>
          <w:rFonts w:eastAsia="Times New Roman"/>
          <w:szCs w:val="17"/>
        </w:rPr>
        <w:t>Parafield Airport Ltd ABN 68 075 176 608</w:t>
      </w:r>
    </w:p>
    <w:p w:rsidR="000B0C2F" w:rsidRPr="000B0C2F" w:rsidRDefault="000B0C2F" w:rsidP="000B0C2F">
      <w:pPr>
        <w:pBdr>
          <w:bottom w:val="single" w:sz="4" w:space="1" w:color="auto"/>
        </w:pBdr>
        <w:spacing w:after="0" w:line="52" w:lineRule="exact"/>
        <w:jc w:val="center"/>
        <w:rPr>
          <w:rFonts w:eastAsia="Times New Roman"/>
          <w:szCs w:val="17"/>
        </w:rPr>
      </w:pPr>
    </w:p>
    <w:p w:rsidR="000B0C2F" w:rsidRPr="000B0C2F" w:rsidRDefault="000B0C2F" w:rsidP="000B0C2F">
      <w:pPr>
        <w:pBdr>
          <w:top w:val="single" w:sz="4" w:space="1" w:color="auto"/>
        </w:pBdr>
        <w:spacing w:before="34" w:after="0" w:line="14" w:lineRule="exact"/>
        <w:jc w:val="center"/>
        <w:rPr>
          <w:rFonts w:eastAsia="Times New Roman"/>
          <w:szCs w:val="17"/>
        </w:rPr>
      </w:pPr>
    </w:p>
    <w:p w:rsidR="009D1E2E" w:rsidRDefault="009D1E2E" w:rsidP="00B13C12">
      <w:pPr>
        <w:pStyle w:val="GG-body"/>
        <w:rPr>
          <w:lang w:val="en-US"/>
        </w:rPr>
      </w:pPr>
    </w:p>
    <w:p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4A192B">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4A192B">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4A192B">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4A192B">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4A192B">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4A192B">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4A192B">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4A192B">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4A192B">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4A192B">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99"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100"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101" w:history="1">
        <w:r w:rsidRPr="000B6B42">
          <w:rPr>
            <w:rStyle w:val="Hyperlink"/>
            <w:szCs w:val="17"/>
          </w:rPr>
          <w:t>www.governmentgazette.sa.gov.au</w:t>
        </w:r>
      </w:hyperlink>
      <w:r>
        <w:rPr>
          <w:szCs w:val="17"/>
        </w:rPr>
        <w:t xml:space="preserve"> </w:t>
      </w:r>
    </w:p>
    <w:sectPr w:rsidR="00D0446B" w:rsidRPr="00C77C39" w:rsidSect="00417599">
      <w:headerReference w:type="even" r:id="rId102"/>
      <w:headerReference w:type="default" r:id="rId103"/>
      <w:pgSz w:w="11906" w:h="16838"/>
      <w:pgMar w:top="1673" w:right="1259" w:bottom="993"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E17" w:rsidRDefault="00E51E17" w:rsidP="00777F88">
      <w:pPr>
        <w:spacing w:after="0" w:line="240" w:lineRule="auto"/>
      </w:pPr>
      <w:r>
        <w:separator/>
      </w:r>
    </w:p>
  </w:endnote>
  <w:endnote w:type="continuationSeparator" w:id="0">
    <w:p w:rsidR="00E51E17" w:rsidRDefault="00E51E17"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Acumin Pro Condensed">
    <w:panose1 w:val="00000000000000000000"/>
    <w:charset w:val="00"/>
    <w:family w:val="swiss"/>
    <w:notTrueType/>
    <w:pitch w:val="variable"/>
    <w:sig w:usb0="20000007" w:usb1="00000001" w:usb2="00000000" w:usb3="00000000" w:csb0="00000193"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17" w:rsidRPr="00D0446B" w:rsidRDefault="00E51E17"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17" w:rsidRPr="00144772" w:rsidRDefault="00E51E17"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E51E17" w:rsidRPr="00144772" w:rsidRDefault="00E51E17"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E51E17" w:rsidRPr="00777F88" w:rsidRDefault="00E51E17"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E51E17" w:rsidRPr="00777F88" w:rsidRDefault="00E51E17" w:rsidP="00D0446B">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E51E17" w:rsidRPr="00D0446B" w:rsidRDefault="00E51E17"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17" w:rsidRPr="00D0446B" w:rsidRDefault="00E51E17"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17" w:rsidRPr="00144772" w:rsidRDefault="00E51E17"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E51E17" w:rsidRPr="00144772" w:rsidRDefault="00E51E17"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E51E17" w:rsidRPr="00777F88" w:rsidRDefault="00E51E17"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E51E17" w:rsidRPr="00777F88" w:rsidRDefault="00E51E17" w:rsidP="00D0446B">
    <w:pPr>
      <w:pStyle w:val="Footer"/>
      <w:spacing w:line="170" w:lineRule="exact"/>
      <w:jc w:val="center"/>
      <w:rPr>
        <w:szCs w:val="17"/>
      </w:rPr>
    </w:pPr>
    <w:r w:rsidRPr="00777F88">
      <w:rPr>
        <w:szCs w:val="17"/>
      </w:rPr>
      <w:t>$7.21 per issue (plus postage), $361.90 per annual subscription—GST inclusive</w:t>
    </w:r>
  </w:p>
  <w:p w:rsidR="00E51E17" w:rsidRPr="00D0446B" w:rsidRDefault="00E51E17"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E17" w:rsidRDefault="00E51E17" w:rsidP="00777F88">
      <w:pPr>
        <w:spacing w:after="0" w:line="240" w:lineRule="auto"/>
      </w:pPr>
      <w:r>
        <w:separator/>
      </w:r>
    </w:p>
  </w:footnote>
  <w:footnote w:type="continuationSeparator" w:id="0">
    <w:p w:rsidR="00E51E17" w:rsidRDefault="00E51E17"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17" w:rsidRPr="0034074D" w:rsidRDefault="00E51E17"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E51E17" w:rsidRPr="0034074D" w:rsidRDefault="00E51E17" w:rsidP="0034074D">
    <w:pPr>
      <w:pStyle w:val="Header"/>
      <w:pBdr>
        <w:top w:val="single" w:sz="4" w:space="1" w:color="auto"/>
      </w:pBdr>
      <w:tabs>
        <w:tab w:val="clear" w:pos="9026"/>
        <w:tab w:val="right" w:pos="9360"/>
      </w:tabs>
      <w:spacing w:before="100" w:line="14" w:lineRule="exact"/>
      <w:jc w:val="center"/>
      <w:rPr>
        <w:sz w:val="20"/>
        <w:szCs w:val="20"/>
      </w:rPr>
    </w:pPr>
  </w:p>
  <w:p w:rsidR="00E51E17" w:rsidRPr="0034074D" w:rsidRDefault="00E51E17"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17" w:rsidRPr="00DA30CF" w:rsidRDefault="00E51E17"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17" w:rsidRPr="00C25241" w:rsidRDefault="00E51E17"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60</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123FDA">
      <w:rPr>
        <w:noProof/>
        <w:sz w:val="21"/>
        <w:szCs w:val="21"/>
      </w:rPr>
      <w:t>3859</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17" w:rsidRPr="0034074D" w:rsidRDefault="00E51E17"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E51E17" w:rsidRPr="0034074D" w:rsidRDefault="00E51E17" w:rsidP="0034074D">
    <w:pPr>
      <w:pStyle w:val="Header"/>
      <w:pBdr>
        <w:top w:val="single" w:sz="4" w:space="1" w:color="auto"/>
      </w:pBdr>
      <w:tabs>
        <w:tab w:val="clear" w:pos="9026"/>
        <w:tab w:val="right" w:pos="9360"/>
      </w:tabs>
      <w:spacing w:before="100" w:line="14" w:lineRule="exact"/>
      <w:jc w:val="center"/>
      <w:rPr>
        <w:sz w:val="20"/>
        <w:szCs w:val="20"/>
      </w:rPr>
    </w:pPr>
  </w:p>
  <w:p w:rsidR="00E51E17" w:rsidRPr="0034074D" w:rsidRDefault="00E51E17"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17" w:rsidRPr="00DA30CF" w:rsidRDefault="00E51E17"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17" w:rsidRPr="00C25241" w:rsidRDefault="00E51E17"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60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123FDA">
      <w:rPr>
        <w:rFonts w:eastAsia="Times New Roman"/>
        <w:noProof/>
        <w:sz w:val="21"/>
        <w:szCs w:val="21"/>
      </w:rPr>
      <w:t>3942</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23 July</w:t>
    </w:r>
    <w:r w:rsidRPr="00C9018A">
      <w:rPr>
        <w:rFonts w:eastAsia="Times New Roman"/>
        <w:sz w:val="21"/>
        <w:szCs w:val="21"/>
      </w:rPr>
      <w:t xml:space="preserve"> 20</w:t>
    </w:r>
    <w:r>
      <w:rPr>
        <w:rFonts w:eastAsia="Times New Roman"/>
        <w:sz w:val="21"/>
        <w:szCs w:val="21"/>
      </w:rPr>
      <w:t>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E17" w:rsidRPr="00C25241" w:rsidRDefault="00E51E17"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23</w:t>
    </w:r>
    <w:r w:rsidRPr="00A55207">
      <w:rPr>
        <w:rFonts w:eastAsia="Times New Roman"/>
        <w:sz w:val="21"/>
        <w:szCs w:val="21"/>
      </w:rPr>
      <w:t xml:space="preserve"> </w:t>
    </w:r>
    <w:r>
      <w:rPr>
        <w:rFonts w:eastAsia="Times New Roman"/>
        <w:sz w:val="21"/>
        <w:szCs w:val="21"/>
      </w:rPr>
      <w:t>July</w:t>
    </w:r>
    <w:r w:rsidRPr="00A55207">
      <w:rPr>
        <w:rFonts w:eastAsia="Times New Roman"/>
        <w:sz w:val="21"/>
        <w:szCs w:val="21"/>
      </w:rPr>
      <w:t xml:space="preserve"> 20</w:t>
    </w:r>
    <w:r>
      <w:rPr>
        <w:rFonts w:eastAsia="Times New Roman"/>
        <w:sz w:val="21"/>
        <w:szCs w:val="21"/>
      </w:rPr>
      <w:t>20</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60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123FDA">
      <w:rPr>
        <w:rFonts w:eastAsia="Times New Roman"/>
        <w:noProof/>
        <w:sz w:val="21"/>
        <w:szCs w:val="21"/>
      </w:rPr>
      <w:t>3941</w:t>
    </w:r>
    <w:r w:rsidRPr="00C25241">
      <w:rPr>
        <w:rFonts w:eastAsia="Times New Roman"/>
        <w:noProof/>
        <w:sz w:val="21"/>
        <w:szCs w:val="21"/>
      </w:rPr>
      <w:fldChar w:fldCharType="end"/>
    </w:r>
  </w:p>
  <w:p w:rsidR="00E51E17" w:rsidRPr="00C25241" w:rsidRDefault="00E51E17">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1"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3"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4"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5" w15:restartNumberingAfterBreak="0">
    <w:nsid w:val="15CB3B78"/>
    <w:multiLevelType w:val="hybridMultilevel"/>
    <w:tmpl w:val="74B48D5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186A5D3E"/>
    <w:multiLevelType w:val="hybridMultilevel"/>
    <w:tmpl w:val="B136012A"/>
    <w:lvl w:ilvl="0" w:tplc="775C648C">
      <w:start w:val="1"/>
      <w:numFmt w:val="lowerRoman"/>
      <w:lvlText w:val="%1."/>
      <w:lvlJc w:val="left"/>
      <w:pPr>
        <w:tabs>
          <w:tab w:val="num" w:pos="1440"/>
        </w:tabs>
        <w:ind w:left="1080" w:hanging="360"/>
      </w:pPr>
      <w:rPr>
        <w:rFonts w:ascii="Arial" w:hAnsi="Arial" w:hint="default"/>
        <w:b w:val="0"/>
        <w:i w:val="0"/>
        <w:sz w:val="16"/>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A1A6A46"/>
    <w:multiLevelType w:val="hybridMultilevel"/>
    <w:tmpl w:val="75FA5B2E"/>
    <w:lvl w:ilvl="0" w:tplc="24ECD244">
      <w:start w:val="1"/>
      <w:numFmt w:val="bullet"/>
      <w:lvlText w:val=""/>
      <w:lvlJc w:val="left"/>
      <w:pPr>
        <w:tabs>
          <w:tab w:val="num" w:pos="1080"/>
        </w:tabs>
        <w:ind w:left="1080" w:hanging="360"/>
      </w:pPr>
      <w:rPr>
        <w:rFonts w:ascii="Symbol" w:hAnsi="Symbol" w:hint="default"/>
        <w:b w:val="0"/>
        <w:i w:val="0"/>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9"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20"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2A4C43"/>
    <w:multiLevelType w:val="hybridMultilevel"/>
    <w:tmpl w:val="E3D29A22"/>
    <w:lvl w:ilvl="0" w:tplc="24ECD244">
      <w:start w:val="1"/>
      <w:numFmt w:val="bullet"/>
      <w:lvlText w:val=""/>
      <w:lvlJc w:val="left"/>
      <w:pPr>
        <w:tabs>
          <w:tab w:val="num" w:pos="1080"/>
        </w:tabs>
        <w:ind w:left="1080" w:hanging="360"/>
      </w:pPr>
      <w:rPr>
        <w:rFonts w:ascii="Symbol" w:hAnsi="Symbol" w:hint="default"/>
        <w:b w:val="0"/>
        <w:i w:val="0"/>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1C2138A"/>
    <w:multiLevelType w:val="hybridMultilevel"/>
    <w:tmpl w:val="74CAD784"/>
    <w:lvl w:ilvl="0" w:tplc="C6BE0938">
      <w:start w:val="1"/>
      <w:numFmt w:val="lowerRoman"/>
      <w:lvlText w:val="(%1)"/>
      <w:lvlJc w:val="left"/>
      <w:pPr>
        <w:tabs>
          <w:tab w:val="num" w:pos="1789"/>
        </w:tabs>
        <w:ind w:left="1429" w:hanging="360"/>
      </w:pPr>
    </w:lvl>
    <w:lvl w:ilvl="1" w:tplc="0E287FA0" w:tentative="1">
      <w:start w:val="1"/>
      <w:numFmt w:val="lowerLetter"/>
      <w:lvlText w:val="%2."/>
      <w:lvlJc w:val="left"/>
      <w:pPr>
        <w:tabs>
          <w:tab w:val="num" w:pos="2509"/>
        </w:tabs>
        <w:ind w:left="2509" w:hanging="360"/>
      </w:pPr>
    </w:lvl>
    <w:lvl w:ilvl="2" w:tplc="B8763C42" w:tentative="1">
      <w:start w:val="1"/>
      <w:numFmt w:val="lowerRoman"/>
      <w:lvlText w:val="%3."/>
      <w:lvlJc w:val="right"/>
      <w:pPr>
        <w:tabs>
          <w:tab w:val="num" w:pos="3229"/>
        </w:tabs>
        <w:ind w:left="3229" w:hanging="180"/>
      </w:pPr>
    </w:lvl>
    <w:lvl w:ilvl="3" w:tplc="1A06A57E" w:tentative="1">
      <w:start w:val="1"/>
      <w:numFmt w:val="decimal"/>
      <w:lvlText w:val="%4."/>
      <w:lvlJc w:val="left"/>
      <w:pPr>
        <w:tabs>
          <w:tab w:val="num" w:pos="3949"/>
        </w:tabs>
        <w:ind w:left="3949" w:hanging="360"/>
      </w:pPr>
    </w:lvl>
    <w:lvl w:ilvl="4" w:tplc="5B2C2FE4" w:tentative="1">
      <w:start w:val="1"/>
      <w:numFmt w:val="lowerLetter"/>
      <w:lvlText w:val="%5."/>
      <w:lvlJc w:val="left"/>
      <w:pPr>
        <w:tabs>
          <w:tab w:val="num" w:pos="4669"/>
        </w:tabs>
        <w:ind w:left="4669" w:hanging="360"/>
      </w:pPr>
    </w:lvl>
    <w:lvl w:ilvl="5" w:tplc="BFE8B02E" w:tentative="1">
      <w:start w:val="1"/>
      <w:numFmt w:val="lowerRoman"/>
      <w:lvlText w:val="%6."/>
      <w:lvlJc w:val="right"/>
      <w:pPr>
        <w:tabs>
          <w:tab w:val="num" w:pos="5389"/>
        </w:tabs>
        <w:ind w:left="5389" w:hanging="180"/>
      </w:pPr>
    </w:lvl>
    <w:lvl w:ilvl="6" w:tplc="5CF69F6A" w:tentative="1">
      <w:start w:val="1"/>
      <w:numFmt w:val="decimal"/>
      <w:lvlText w:val="%7."/>
      <w:lvlJc w:val="left"/>
      <w:pPr>
        <w:tabs>
          <w:tab w:val="num" w:pos="6109"/>
        </w:tabs>
        <w:ind w:left="6109" w:hanging="360"/>
      </w:pPr>
    </w:lvl>
    <w:lvl w:ilvl="7" w:tplc="49303D50" w:tentative="1">
      <w:start w:val="1"/>
      <w:numFmt w:val="lowerLetter"/>
      <w:lvlText w:val="%8."/>
      <w:lvlJc w:val="left"/>
      <w:pPr>
        <w:tabs>
          <w:tab w:val="num" w:pos="6829"/>
        </w:tabs>
        <w:ind w:left="6829" w:hanging="360"/>
      </w:pPr>
    </w:lvl>
    <w:lvl w:ilvl="8" w:tplc="B15A4360" w:tentative="1">
      <w:start w:val="1"/>
      <w:numFmt w:val="lowerRoman"/>
      <w:lvlText w:val="%9."/>
      <w:lvlJc w:val="right"/>
      <w:pPr>
        <w:tabs>
          <w:tab w:val="num" w:pos="7549"/>
        </w:tabs>
        <w:ind w:left="7549" w:hanging="180"/>
      </w:pPr>
    </w:lvl>
  </w:abstractNum>
  <w:abstractNum w:abstractNumId="23" w15:restartNumberingAfterBreak="0">
    <w:nsid w:val="37794F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25" w15:restartNumberingAfterBreak="0">
    <w:nsid w:val="3BC06A25"/>
    <w:multiLevelType w:val="hybridMultilevel"/>
    <w:tmpl w:val="BE4CDC6A"/>
    <w:lvl w:ilvl="0" w:tplc="F6A48E0A">
      <w:start w:val="1"/>
      <w:numFmt w:val="lowerLetter"/>
      <w:lvlText w:val="(%1)"/>
      <w:lvlJc w:val="left"/>
      <w:pPr>
        <w:tabs>
          <w:tab w:val="num" w:pos="540"/>
        </w:tabs>
        <w:ind w:left="54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7"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8"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0"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31"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32"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4" w15:restartNumberingAfterBreak="0">
    <w:nsid w:val="57757D4E"/>
    <w:multiLevelType w:val="hybridMultilevel"/>
    <w:tmpl w:val="FFFAE554"/>
    <w:lvl w:ilvl="0" w:tplc="F6A48E0A">
      <w:start w:val="1"/>
      <w:numFmt w:val="lowerLetter"/>
      <w:lvlText w:val="(%1)"/>
      <w:lvlJc w:val="left"/>
      <w:pPr>
        <w:tabs>
          <w:tab w:val="num" w:pos="540"/>
        </w:tabs>
        <w:ind w:left="540" w:hanging="54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6"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7"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9"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713120"/>
    <w:multiLevelType w:val="hybridMultilevel"/>
    <w:tmpl w:val="C966C448"/>
    <w:lvl w:ilvl="0" w:tplc="5F4EBEE4">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1"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72D3F19"/>
    <w:multiLevelType w:val="hybridMultilevel"/>
    <w:tmpl w:val="AB5A3D8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4" w15:restartNumberingAfterBreak="0">
    <w:nsid w:val="7CBE625E"/>
    <w:multiLevelType w:val="hybridMultilevel"/>
    <w:tmpl w:val="0F3EFF64"/>
    <w:lvl w:ilvl="0" w:tplc="24ECD244">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6"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9"/>
  </w:num>
  <w:num w:numId="2">
    <w:abstractNumId w:val="43"/>
  </w:num>
  <w:num w:numId="3">
    <w:abstractNumId w:val="37"/>
  </w:num>
  <w:num w:numId="4">
    <w:abstractNumId w:val="30"/>
  </w:num>
  <w:num w:numId="5">
    <w:abstractNumId w:val="40"/>
  </w:num>
  <w:num w:numId="6">
    <w:abstractNumId w:val="31"/>
  </w:num>
  <w:num w:numId="7">
    <w:abstractNumId w:val="12"/>
  </w:num>
  <w:num w:numId="8">
    <w:abstractNumId w:val="27"/>
  </w:num>
  <w:num w:numId="9">
    <w:abstractNumId w:val="36"/>
  </w:num>
  <w:num w:numId="10">
    <w:abstractNumId w:val="14"/>
  </w:num>
  <w:num w:numId="11">
    <w:abstractNumId w:val="18"/>
  </w:num>
  <w:num w:numId="12">
    <w:abstractNumId w:val="13"/>
  </w:num>
  <w:num w:numId="13">
    <w:abstractNumId w:val="46"/>
  </w:num>
  <w:num w:numId="14">
    <w:abstractNumId w:val="28"/>
  </w:num>
  <w:num w:numId="15">
    <w:abstractNumId w:val="20"/>
  </w:num>
  <w:num w:numId="16">
    <w:abstractNumId w:val="41"/>
  </w:num>
  <w:num w:numId="17">
    <w:abstractNumId w:val="38"/>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5"/>
  </w:num>
  <w:num w:numId="29">
    <w:abstractNumId w:val="33"/>
  </w:num>
  <w:num w:numId="30">
    <w:abstractNumId w:val="29"/>
  </w:num>
  <w:num w:numId="31">
    <w:abstractNumId w:val="10"/>
  </w:num>
  <w:num w:numId="32">
    <w:abstractNumId w:val="26"/>
  </w:num>
  <w:num w:numId="33">
    <w:abstractNumId w:val="19"/>
  </w:num>
  <w:num w:numId="34">
    <w:abstractNumId w:val="32"/>
  </w:num>
  <w:num w:numId="35">
    <w:abstractNumId w:val="45"/>
  </w:num>
  <w:num w:numId="36">
    <w:abstractNumId w:val="24"/>
  </w:num>
  <w:num w:numId="37">
    <w:abstractNumId w:val="11"/>
  </w:num>
  <w:num w:numId="38">
    <w:abstractNumId w:val="16"/>
  </w:num>
  <w:num w:numId="39">
    <w:abstractNumId w:val="15"/>
  </w:num>
  <w:num w:numId="40">
    <w:abstractNumId w:val="34"/>
  </w:num>
  <w:num w:numId="41">
    <w:abstractNumId w:val="25"/>
  </w:num>
  <w:num w:numId="42">
    <w:abstractNumId w:val="42"/>
  </w:num>
  <w:num w:numId="43">
    <w:abstractNumId w:val="44"/>
  </w:num>
  <w:num w:numId="44">
    <w:abstractNumId w:val="17"/>
  </w:num>
  <w:num w:numId="45">
    <w:abstractNumId w:val="21"/>
  </w:num>
  <w:num w:numId="46">
    <w:abstractNumId w:val="23"/>
  </w:num>
  <w:num w:numId="47">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DDA"/>
    <w:rsid w:val="00002A24"/>
    <w:rsid w:val="000042EE"/>
    <w:rsid w:val="000100A7"/>
    <w:rsid w:val="0001259D"/>
    <w:rsid w:val="0001762C"/>
    <w:rsid w:val="000202A8"/>
    <w:rsid w:val="0002065D"/>
    <w:rsid w:val="0002085F"/>
    <w:rsid w:val="00024202"/>
    <w:rsid w:val="000249AC"/>
    <w:rsid w:val="00030270"/>
    <w:rsid w:val="00033D51"/>
    <w:rsid w:val="0003494F"/>
    <w:rsid w:val="0003610B"/>
    <w:rsid w:val="000464EE"/>
    <w:rsid w:val="00052D69"/>
    <w:rsid w:val="0005377D"/>
    <w:rsid w:val="0005659C"/>
    <w:rsid w:val="00063D6D"/>
    <w:rsid w:val="00064C75"/>
    <w:rsid w:val="0006624C"/>
    <w:rsid w:val="00066B0B"/>
    <w:rsid w:val="00070E37"/>
    <w:rsid w:val="0007513A"/>
    <w:rsid w:val="00075332"/>
    <w:rsid w:val="00076B36"/>
    <w:rsid w:val="000835E8"/>
    <w:rsid w:val="000865EE"/>
    <w:rsid w:val="00087A01"/>
    <w:rsid w:val="0009376E"/>
    <w:rsid w:val="000A3D4F"/>
    <w:rsid w:val="000A7F30"/>
    <w:rsid w:val="000B0640"/>
    <w:rsid w:val="000B0C2F"/>
    <w:rsid w:val="000B4330"/>
    <w:rsid w:val="000C1F3D"/>
    <w:rsid w:val="000C3372"/>
    <w:rsid w:val="000C5912"/>
    <w:rsid w:val="000C7838"/>
    <w:rsid w:val="000C7897"/>
    <w:rsid w:val="000D34A3"/>
    <w:rsid w:val="000D35A2"/>
    <w:rsid w:val="000D54A0"/>
    <w:rsid w:val="000E332A"/>
    <w:rsid w:val="000E5D9D"/>
    <w:rsid w:val="000E60F7"/>
    <w:rsid w:val="000E655C"/>
    <w:rsid w:val="000F0B45"/>
    <w:rsid w:val="000F2CEA"/>
    <w:rsid w:val="000F42F8"/>
    <w:rsid w:val="000F43CC"/>
    <w:rsid w:val="00104BC5"/>
    <w:rsid w:val="0010586A"/>
    <w:rsid w:val="0010671A"/>
    <w:rsid w:val="00110167"/>
    <w:rsid w:val="001169F7"/>
    <w:rsid w:val="00116F04"/>
    <w:rsid w:val="0012158F"/>
    <w:rsid w:val="00121D2F"/>
    <w:rsid w:val="00123302"/>
    <w:rsid w:val="00123670"/>
    <w:rsid w:val="00123FDA"/>
    <w:rsid w:val="001278E5"/>
    <w:rsid w:val="00133D99"/>
    <w:rsid w:val="00141C75"/>
    <w:rsid w:val="00145CDF"/>
    <w:rsid w:val="00146F70"/>
    <w:rsid w:val="00147592"/>
    <w:rsid w:val="00150EFB"/>
    <w:rsid w:val="00151171"/>
    <w:rsid w:val="00153708"/>
    <w:rsid w:val="001572AD"/>
    <w:rsid w:val="001576DB"/>
    <w:rsid w:val="00160CDB"/>
    <w:rsid w:val="0016463B"/>
    <w:rsid w:val="00171FE0"/>
    <w:rsid w:val="0018240B"/>
    <w:rsid w:val="00182DB1"/>
    <w:rsid w:val="00183633"/>
    <w:rsid w:val="001926EF"/>
    <w:rsid w:val="001A0A92"/>
    <w:rsid w:val="001A1D7B"/>
    <w:rsid w:val="001A6981"/>
    <w:rsid w:val="001A7A85"/>
    <w:rsid w:val="001B2310"/>
    <w:rsid w:val="001B6B5D"/>
    <w:rsid w:val="001B7138"/>
    <w:rsid w:val="001B79A6"/>
    <w:rsid w:val="001C09DA"/>
    <w:rsid w:val="001C0C29"/>
    <w:rsid w:val="001D31F5"/>
    <w:rsid w:val="001D5A30"/>
    <w:rsid w:val="001D61F3"/>
    <w:rsid w:val="001E1064"/>
    <w:rsid w:val="001E2DDA"/>
    <w:rsid w:val="001E2F34"/>
    <w:rsid w:val="001E3213"/>
    <w:rsid w:val="001E78FF"/>
    <w:rsid w:val="001E7A64"/>
    <w:rsid w:val="001F30F7"/>
    <w:rsid w:val="00201B78"/>
    <w:rsid w:val="00203620"/>
    <w:rsid w:val="00204C2A"/>
    <w:rsid w:val="00211979"/>
    <w:rsid w:val="002130A5"/>
    <w:rsid w:val="00213C26"/>
    <w:rsid w:val="002148EF"/>
    <w:rsid w:val="00222B67"/>
    <w:rsid w:val="002246F5"/>
    <w:rsid w:val="002248FE"/>
    <w:rsid w:val="002263BA"/>
    <w:rsid w:val="00227163"/>
    <w:rsid w:val="00232EEC"/>
    <w:rsid w:val="00237D08"/>
    <w:rsid w:val="002467A5"/>
    <w:rsid w:val="00250C20"/>
    <w:rsid w:val="00251266"/>
    <w:rsid w:val="00251FEE"/>
    <w:rsid w:val="00256C71"/>
    <w:rsid w:val="00262F8F"/>
    <w:rsid w:val="0026731F"/>
    <w:rsid w:val="00272E40"/>
    <w:rsid w:val="0027570A"/>
    <w:rsid w:val="00275F32"/>
    <w:rsid w:val="00282AEB"/>
    <w:rsid w:val="00283071"/>
    <w:rsid w:val="002844B7"/>
    <w:rsid w:val="0028729F"/>
    <w:rsid w:val="0029195A"/>
    <w:rsid w:val="00293061"/>
    <w:rsid w:val="0029410F"/>
    <w:rsid w:val="002944DC"/>
    <w:rsid w:val="002956B9"/>
    <w:rsid w:val="002977EE"/>
    <w:rsid w:val="002A0492"/>
    <w:rsid w:val="002A4530"/>
    <w:rsid w:val="002A7F4B"/>
    <w:rsid w:val="002B1AEF"/>
    <w:rsid w:val="002B5584"/>
    <w:rsid w:val="002C219B"/>
    <w:rsid w:val="002C2E97"/>
    <w:rsid w:val="002C751E"/>
    <w:rsid w:val="002D3BBC"/>
    <w:rsid w:val="002D3EE3"/>
    <w:rsid w:val="002D4754"/>
    <w:rsid w:val="002D7735"/>
    <w:rsid w:val="002E1918"/>
    <w:rsid w:val="002E68D3"/>
    <w:rsid w:val="002F1F07"/>
    <w:rsid w:val="002F5130"/>
    <w:rsid w:val="00304833"/>
    <w:rsid w:val="0031358F"/>
    <w:rsid w:val="00314651"/>
    <w:rsid w:val="00320982"/>
    <w:rsid w:val="00322D71"/>
    <w:rsid w:val="00334F9E"/>
    <w:rsid w:val="0034074D"/>
    <w:rsid w:val="0035604B"/>
    <w:rsid w:val="003608C9"/>
    <w:rsid w:val="00362C85"/>
    <w:rsid w:val="00367F52"/>
    <w:rsid w:val="00372CA3"/>
    <w:rsid w:val="00375085"/>
    <w:rsid w:val="003759EC"/>
    <w:rsid w:val="00376590"/>
    <w:rsid w:val="00380942"/>
    <w:rsid w:val="00384ABF"/>
    <w:rsid w:val="00384F68"/>
    <w:rsid w:val="00386A66"/>
    <w:rsid w:val="00391385"/>
    <w:rsid w:val="00394510"/>
    <w:rsid w:val="00394788"/>
    <w:rsid w:val="00394AE1"/>
    <w:rsid w:val="003967FE"/>
    <w:rsid w:val="00396D32"/>
    <w:rsid w:val="003A362B"/>
    <w:rsid w:val="003B140D"/>
    <w:rsid w:val="003B43DE"/>
    <w:rsid w:val="003B7CEE"/>
    <w:rsid w:val="003C2BF7"/>
    <w:rsid w:val="003C3B93"/>
    <w:rsid w:val="003D2332"/>
    <w:rsid w:val="003D3E30"/>
    <w:rsid w:val="003D4A52"/>
    <w:rsid w:val="003D5923"/>
    <w:rsid w:val="003E016D"/>
    <w:rsid w:val="003E0181"/>
    <w:rsid w:val="003E2540"/>
    <w:rsid w:val="003E2F5F"/>
    <w:rsid w:val="003E3565"/>
    <w:rsid w:val="003E55F3"/>
    <w:rsid w:val="004015EE"/>
    <w:rsid w:val="00403434"/>
    <w:rsid w:val="00406DDC"/>
    <w:rsid w:val="00407937"/>
    <w:rsid w:val="00410FB8"/>
    <w:rsid w:val="004120A4"/>
    <w:rsid w:val="00413C8D"/>
    <w:rsid w:val="0041701B"/>
    <w:rsid w:val="00417599"/>
    <w:rsid w:val="00421804"/>
    <w:rsid w:val="00433862"/>
    <w:rsid w:val="0043387B"/>
    <w:rsid w:val="00434BFE"/>
    <w:rsid w:val="00435ECE"/>
    <w:rsid w:val="00441E8D"/>
    <w:rsid w:val="0044514F"/>
    <w:rsid w:val="0045094D"/>
    <w:rsid w:val="00451891"/>
    <w:rsid w:val="004530F1"/>
    <w:rsid w:val="004535E8"/>
    <w:rsid w:val="00455F04"/>
    <w:rsid w:val="00457144"/>
    <w:rsid w:val="004616B9"/>
    <w:rsid w:val="004647A7"/>
    <w:rsid w:val="00465531"/>
    <w:rsid w:val="00470B74"/>
    <w:rsid w:val="00470F5A"/>
    <w:rsid w:val="00472DD2"/>
    <w:rsid w:val="00475212"/>
    <w:rsid w:val="00477B49"/>
    <w:rsid w:val="004872C1"/>
    <w:rsid w:val="00487DCB"/>
    <w:rsid w:val="00493042"/>
    <w:rsid w:val="004A192B"/>
    <w:rsid w:val="004A3180"/>
    <w:rsid w:val="004A5341"/>
    <w:rsid w:val="004A6431"/>
    <w:rsid w:val="004B03D2"/>
    <w:rsid w:val="004B1B9B"/>
    <w:rsid w:val="004B39A1"/>
    <w:rsid w:val="004B4FC5"/>
    <w:rsid w:val="004B7E4D"/>
    <w:rsid w:val="004B7EB6"/>
    <w:rsid w:val="004C06D5"/>
    <w:rsid w:val="004C07C3"/>
    <w:rsid w:val="004C1538"/>
    <w:rsid w:val="004C21DF"/>
    <w:rsid w:val="004C4DE5"/>
    <w:rsid w:val="004C61AD"/>
    <w:rsid w:val="004D110A"/>
    <w:rsid w:val="004D6E0B"/>
    <w:rsid w:val="004E0218"/>
    <w:rsid w:val="004E1DC3"/>
    <w:rsid w:val="004E545F"/>
    <w:rsid w:val="004E657B"/>
    <w:rsid w:val="004E7E46"/>
    <w:rsid w:val="004F01C3"/>
    <w:rsid w:val="004F1085"/>
    <w:rsid w:val="004F13B7"/>
    <w:rsid w:val="004F619A"/>
    <w:rsid w:val="004F7CCF"/>
    <w:rsid w:val="00504217"/>
    <w:rsid w:val="005047D5"/>
    <w:rsid w:val="005115D3"/>
    <w:rsid w:val="00524783"/>
    <w:rsid w:val="00525A1B"/>
    <w:rsid w:val="00527EC0"/>
    <w:rsid w:val="00535363"/>
    <w:rsid w:val="00535963"/>
    <w:rsid w:val="00540347"/>
    <w:rsid w:val="00540423"/>
    <w:rsid w:val="0054338C"/>
    <w:rsid w:val="00543A79"/>
    <w:rsid w:val="00544893"/>
    <w:rsid w:val="005622AC"/>
    <w:rsid w:val="00571AA1"/>
    <w:rsid w:val="00582138"/>
    <w:rsid w:val="00585581"/>
    <w:rsid w:val="005956F0"/>
    <w:rsid w:val="00597A16"/>
    <w:rsid w:val="005A3A1B"/>
    <w:rsid w:val="005A69A9"/>
    <w:rsid w:val="005B2E49"/>
    <w:rsid w:val="005B4E55"/>
    <w:rsid w:val="005B69B3"/>
    <w:rsid w:val="005C1599"/>
    <w:rsid w:val="005C1E1D"/>
    <w:rsid w:val="005C329C"/>
    <w:rsid w:val="005C6C9D"/>
    <w:rsid w:val="005D1C63"/>
    <w:rsid w:val="005D24AC"/>
    <w:rsid w:val="005D518F"/>
    <w:rsid w:val="005E24E5"/>
    <w:rsid w:val="005E2E93"/>
    <w:rsid w:val="005E4169"/>
    <w:rsid w:val="005E7D95"/>
    <w:rsid w:val="005F4618"/>
    <w:rsid w:val="005F65D3"/>
    <w:rsid w:val="00600993"/>
    <w:rsid w:val="00601EB2"/>
    <w:rsid w:val="00602B9D"/>
    <w:rsid w:val="00610049"/>
    <w:rsid w:val="0061279F"/>
    <w:rsid w:val="00612978"/>
    <w:rsid w:val="00615806"/>
    <w:rsid w:val="006205AC"/>
    <w:rsid w:val="00622757"/>
    <w:rsid w:val="0063111A"/>
    <w:rsid w:val="0063519B"/>
    <w:rsid w:val="006353A3"/>
    <w:rsid w:val="006419CA"/>
    <w:rsid w:val="00645DC8"/>
    <w:rsid w:val="00652633"/>
    <w:rsid w:val="0065609F"/>
    <w:rsid w:val="00664C8C"/>
    <w:rsid w:val="006654B8"/>
    <w:rsid w:val="006671B7"/>
    <w:rsid w:val="00670706"/>
    <w:rsid w:val="00671394"/>
    <w:rsid w:val="0067139B"/>
    <w:rsid w:val="00671C1C"/>
    <w:rsid w:val="00675BD9"/>
    <w:rsid w:val="00682532"/>
    <w:rsid w:val="00682F0B"/>
    <w:rsid w:val="00683755"/>
    <w:rsid w:val="00685927"/>
    <w:rsid w:val="00687E1D"/>
    <w:rsid w:val="006917AB"/>
    <w:rsid w:val="00694D0A"/>
    <w:rsid w:val="00695872"/>
    <w:rsid w:val="006974D4"/>
    <w:rsid w:val="006A510F"/>
    <w:rsid w:val="006B561D"/>
    <w:rsid w:val="006B5B96"/>
    <w:rsid w:val="006B75CF"/>
    <w:rsid w:val="006B7974"/>
    <w:rsid w:val="006C7B7D"/>
    <w:rsid w:val="006D00AD"/>
    <w:rsid w:val="006D3361"/>
    <w:rsid w:val="006D3455"/>
    <w:rsid w:val="006E0C7D"/>
    <w:rsid w:val="006E6060"/>
    <w:rsid w:val="006E6B84"/>
    <w:rsid w:val="006F10F3"/>
    <w:rsid w:val="00701F87"/>
    <w:rsid w:val="0070372E"/>
    <w:rsid w:val="00703D70"/>
    <w:rsid w:val="00710E4F"/>
    <w:rsid w:val="00711692"/>
    <w:rsid w:val="0071453C"/>
    <w:rsid w:val="00714FAF"/>
    <w:rsid w:val="00715A82"/>
    <w:rsid w:val="00724B20"/>
    <w:rsid w:val="00725F0B"/>
    <w:rsid w:val="00731EA9"/>
    <w:rsid w:val="00732C68"/>
    <w:rsid w:val="00732FC9"/>
    <w:rsid w:val="00733B2E"/>
    <w:rsid w:val="00733CEB"/>
    <w:rsid w:val="0073429D"/>
    <w:rsid w:val="00734B85"/>
    <w:rsid w:val="00737455"/>
    <w:rsid w:val="00737523"/>
    <w:rsid w:val="007405FF"/>
    <w:rsid w:val="007448E6"/>
    <w:rsid w:val="0075022D"/>
    <w:rsid w:val="00753519"/>
    <w:rsid w:val="00753AB4"/>
    <w:rsid w:val="00756007"/>
    <w:rsid w:val="00762261"/>
    <w:rsid w:val="00765078"/>
    <w:rsid w:val="0076638C"/>
    <w:rsid w:val="007663B1"/>
    <w:rsid w:val="00777F88"/>
    <w:rsid w:val="00782AB8"/>
    <w:rsid w:val="007850FA"/>
    <w:rsid w:val="0079069D"/>
    <w:rsid w:val="00793E37"/>
    <w:rsid w:val="00795BE6"/>
    <w:rsid w:val="007A120B"/>
    <w:rsid w:val="007A341C"/>
    <w:rsid w:val="007A37F9"/>
    <w:rsid w:val="007A4399"/>
    <w:rsid w:val="007B4546"/>
    <w:rsid w:val="007C3E7B"/>
    <w:rsid w:val="007C7643"/>
    <w:rsid w:val="007E13C7"/>
    <w:rsid w:val="007E27AE"/>
    <w:rsid w:val="007E5D21"/>
    <w:rsid w:val="007E6186"/>
    <w:rsid w:val="007F1191"/>
    <w:rsid w:val="007F55B7"/>
    <w:rsid w:val="007F6E45"/>
    <w:rsid w:val="0080019C"/>
    <w:rsid w:val="008008DD"/>
    <w:rsid w:val="00802077"/>
    <w:rsid w:val="00805B8E"/>
    <w:rsid w:val="008073A6"/>
    <w:rsid w:val="00822107"/>
    <w:rsid w:val="008226D4"/>
    <w:rsid w:val="008250FE"/>
    <w:rsid w:val="00827313"/>
    <w:rsid w:val="00831BDE"/>
    <w:rsid w:val="00841012"/>
    <w:rsid w:val="00845EDC"/>
    <w:rsid w:val="00852BA3"/>
    <w:rsid w:val="00854427"/>
    <w:rsid w:val="00854962"/>
    <w:rsid w:val="00867EF2"/>
    <w:rsid w:val="008704BC"/>
    <w:rsid w:val="0087395E"/>
    <w:rsid w:val="00875CB7"/>
    <w:rsid w:val="008877EF"/>
    <w:rsid w:val="00891067"/>
    <w:rsid w:val="008910ED"/>
    <w:rsid w:val="00892B16"/>
    <w:rsid w:val="00895B87"/>
    <w:rsid w:val="00895F80"/>
    <w:rsid w:val="00895FA6"/>
    <w:rsid w:val="008A405A"/>
    <w:rsid w:val="008C0F8D"/>
    <w:rsid w:val="008C2EF8"/>
    <w:rsid w:val="008C3672"/>
    <w:rsid w:val="008C56EE"/>
    <w:rsid w:val="008C7BE8"/>
    <w:rsid w:val="008D3C9A"/>
    <w:rsid w:val="008D68EB"/>
    <w:rsid w:val="008E149E"/>
    <w:rsid w:val="008E4F1E"/>
    <w:rsid w:val="008E599F"/>
    <w:rsid w:val="008E64B6"/>
    <w:rsid w:val="008F04A0"/>
    <w:rsid w:val="008F0C0C"/>
    <w:rsid w:val="00900241"/>
    <w:rsid w:val="00901E82"/>
    <w:rsid w:val="00902C46"/>
    <w:rsid w:val="00903E2E"/>
    <w:rsid w:val="0090520A"/>
    <w:rsid w:val="00911A8A"/>
    <w:rsid w:val="00914649"/>
    <w:rsid w:val="00915738"/>
    <w:rsid w:val="00917E2A"/>
    <w:rsid w:val="00920880"/>
    <w:rsid w:val="00920FFF"/>
    <w:rsid w:val="00921240"/>
    <w:rsid w:val="0093079E"/>
    <w:rsid w:val="009344A6"/>
    <w:rsid w:val="00942873"/>
    <w:rsid w:val="00944456"/>
    <w:rsid w:val="00944BF7"/>
    <w:rsid w:val="00945BF5"/>
    <w:rsid w:val="009467D4"/>
    <w:rsid w:val="00947809"/>
    <w:rsid w:val="00953DEF"/>
    <w:rsid w:val="009562D8"/>
    <w:rsid w:val="009627B3"/>
    <w:rsid w:val="00962B7D"/>
    <w:rsid w:val="00963A72"/>
    <w:rsid w:val="00964B4D"/>
    <w:rsid w:val="009750C8"/>
    <w:rsid w:val="00977C9F"/>
    <w:rsid w:val="00980C8F"/>
    <w:rsid w:val="00983D8C"/>
    <w:rsid w:val="00985AEE"/>
    <w:rsid w:val="00986110"/>
    <w:rsid w:val="009901EE"/>
    <w:rsid w:val="009A3183"/>
    <w:rsid w:val="009A521B"/>
    <w:rsid w:val="009A6661"/>
    <w:rsid w:val="009A7258"/>
    <w:rsid w:val="009A7984"/>
    <w:rsid w:val="009B0E1C"/>
    <w:rsid w:val="009B2C75"/>
    <w:rsid w:val="009B6FFD"/>
    <w:rsid w:val="009C482F"/>
    <w:rsid w:val="009C6388"/>
    <w:rsid w:val="009C7583"/>
    <w:rsid w:val="009D1210"/>
    <w:rsid w:val="009D1E2E"/>
    <w:rsid w:val="009D586E"/>
    <w:rsid w:val="009D660B"/>
    <w:rsid w:val="009E1EBB"/>
    <w:rsid w:val="009E2997"/>
    <w:rsid w:val="009E4D9D"/>
    <w:rsid w:val="009E5A0A"/>
    <w:rsid w:val="009F15D7"/>
    <w:rsid w:val="009F78C8"/>
    <w:rsid w:val="009F7935"/>
    <w:rsid w:val="009F7976"/>
    <w:rsid w:val="00A00225"/>
    <w:rsid w:val="00A00DC7"/>
    <w:rsid w:val="00A0151E"/>
    <w:rsid w:val="00A0211B"/>
    <w:rsid w:val="00A040D0"/>
    <w:rsid w:val="00A04450"/>
    <w:rsid w:val="00A0570E"/>
    <w:rsid w:val="00A06427"/>
    <w:rsid w:val="00A06585"/>
    <w:rsid w:val="00A1103F"/>
    <w:rsid w:val="00A1214E"/>
    <w:rsid w:val="00A14446"/>
    <w:rsid w:val="00A209C1"/>
    <w:rsid w:val="00A25F99"/>
    <w:rsid w:val="00A2611B"/>
    <w:rsid w:val="00A30277"/>
    <w:rsid w:val="00A31198"/>
    <w:rsid w:val="00A33023"/>
    <w:rsid w:val="00A37EF6"/>
    <w:rsid w:val="00A424A1"/>
    <w:rsid w:val="00A44CFD"/>
    <w:rsid w:val="00A44FFB"/>
    <w:rsid w:val="00A504E5"/>
    <w:rsid w:val="00A50E6A"/>
    <w:rsid w:val="00A53148"/>
    <w:rsid w:val="00A55207"/>
    <w:rsid w:val="00A5632A"/>
    <w:rsid w:val="00A601C1"/>
    <w:rsid w:val="00A60FDB"/>
    <w:rsid w:val="00A631C3"/>
    <w:rsid w:val="00A64F42"/>
    <w:rsid w:val="00A65D5F"/>
    <w:rsid w:val="00A7270A"/>
    <w:rsid w:val="00A747D0"/>
    <w:rsid w:val="00A74915"/>
    <w:rsid w:val="00A7535F"/>
    <w:rsid w:val="00A756C0"/>
    <w:rsid w:val="00A773E8"/>
    <w:rsid w:val="00A77901"/>
    <w:rsid w:val="00A92C4D"/>
    <w:rsid w:val="00A93B37"/>
    <w:rsid w:val="00A948BB"/>
    <w:rsid w:val="00A97608"/>
    <w:rsid w:val="00AA26C2"/>
    <w:rsid w:val="00AA40A0"/>
    <w:rsid w:val="00AB1EA3"/>
    <w:rsid w:val="00AB6A2D"/>
    <w:rsid w:val="00AC5F52"/>
    <w:rsid w:val="00AD29C0"/>
    <w:rsid w:val="00AD64DF"/>
    <w:rsid w:val="00AD71CC"/>
    <w:rsid w:val="00AD7704"/>
    <w:rsid w:val="00AF236F"/>
    <w:rsid w:val="00AF2E20"/>
    <w:rsid w:val="00AF46B8"/>
    <w:rsid w:val="00AF6919"/>
    <w:rsid w:val="00B01DE4"/>
    <w:rsid w:val="00B028E2"/>
    <w:rsid w:val="00B07083"/>
    <w:rsid w:val="00B11463"/>
    <w:rsid w:val="00B13C12"/>
    <w:rsid w:val="00B1475C"/>
    <w:rsid w:val="00B152A8"/>
    <w:rsid w:val="00B15AEC"/>
    <w:rsid w:val="00B20C8E"/>
    <w:rsid w:val="00B21E57"/>
    <w:rsid w:val="00B22E26"/>
    <w:rsid w:val="00B32C36"/>
    <w:rsid w:val="00B33677"/>
    <w:rsid w:val="00B33FB3"/>
    <w:rsid w:val="00B34C54"/>
    <w:rsid w:val="00B40542"/>
    <w:rsid w:val="00B4422E"/>
    <w:rsid w:val="00B47884"/>
    <w:rsid w:val="00B51574"/>
    <w:rsid w:val="00B53F6A"/>
    <w:rsid w:val="00B6196F"/>
    <w:rsid w:val="00B75988"/>
    <w:rsid w:val="00B76985"/>
    <w:rsid w:val="00B7748F"/>
    <w:rsid w:val="00B91501"/>
    <w:rsid w:val="00B91903"/>
    <w:rsid w:val="00B97531"/>
    <w:rsid w:val="00BA6552"/>
    <w:rsid w:val="00BA7E55"/>
    <w:rsid w:val="00BB3F77"/>
    <w:rsid w:val="00BC14F7"/>
    <w:rsid w:val="00BC178A"/>
    <w:rsid w:val="00BC2F16"/>
    <w:rsid w:val="00BC4D92"/>
    <w:rsid w:val="00BC772D"/>
    <w:rsid w:val="00BD4586"/>
    <w:rsid w:val="00BE137F"/>
    <w:rsid w:val="00BE414C"/>
    <w:rsid w:val="00BF0A4A"/>
    <w:rsid w:val="00BF1895"/>
    <w:rsid w:val="00BF398D"/>
    <w:rsid w:val="00BF6670"/>
    <w:rsid w:val="00BF723C"/>
    <w:rsid w:val="00C00001"/>
    <w:rsid w:val="00C0094C"/>
    <w:rsid w:val="00C00EC4"/>
    <w:rsid w:val="00C032B2"/>
    <w:rsid w:val="00C03771"/>
    <w:rsid w:val="00C06ED8"/>
    <w:rsid w:val="00C17168"/>
    <w:rsid w:val="00C25241"/>
    <w:rsid w:val="00C44726"/>
    <w:rsid w:val="00C45E38"/>
    <w:rsid w:val="00C53FED"/>
    <w:rsid w:val="00C60DAC"/>
    <w:rsid w:val="00C62FCE"/>
    <w:rsid w:val="00C64D99"/>
    <w:rsid w:val="00C67661"/>
    <w:rsid w:val="00C7218A"/>
    <w:rsid w:val="00C76466"/>
    <w:rsid w:val="00C77C39"/>
    <w:rsid w:val="00C80BB8"/>
    <w:rsid w:val="00C831EE"/>
    <w:rsid w:val="00C834B9"/>
    <w:rsid w:val="00C83D8C"/>
    <w:rsid w:val="00C87879"/>
    <w:rsid w:val="00C9018A"/>
    <w:rsid w:val="00C9565C"/>
    <w:rsid w:val="00C965BF"/>
    <w:rsid w:val="00C971BF"/>
    <w:rsid w:val="00CB0790"/>
    <w:rsid w:val="00CB261C"/>
    <w:rsid w:val="00CB4F8D"/>
    <w:rsid w:val="00CC0B74"/>
    <w:rsid w:val="00CC34A9"/>
    <w:rsid w:val="00CD1F5C"/>
    <w:rsid w:val="00CD586C"/>
    <w:rsid w:val="00CE424B"/>
    <w:rsid w:val="00D00990"/>
    <w:rsid w:val="00D01563"/>
    <w:rsid w:val="00D03F96"/>
    <w:rsid w:val="00D0446B"/>
    <w:rsid w:val="00D04AD0"/>
    <w:rsid w:val="00D1067C"/>
    <w:rsid w:val="00D142CB"/>
    <w:rsid w:val="00D14EFE"/>
    <w:rsid w:val="00D14F34"/>
    <w:rsid w:val="00D15B81"/>
    <w:rsid w:val="00D166C4"/>
    <w:rsid w:val="00D21B2E"/>
    <w:rsid w:val="00D21C3D"/>
    <w:rsid w:val="00D23AB5"/>
    <w:rsid w:val="00D256F7"/>
    <w:rsid w:val="00D31700"/>
    <w:rsid w:val="00D3240F"/>
    <w:rsid w:val="00D33DB5"/>
    <w:rsid w:val="00D34A9C"/>
    <w:rsid w:val="00D35830"/>
    <w:rsid w:val="00D35BBC"/>
    <w:rsid w:val="00D40BF4"/>
    <w:rsid w:val="00D415EC"/>
    <w:rsid w:val="00D52222"/>
    <w:rsid w:val="00D64A9F"/>
    <w:rsid w:val="00D66290"/>
    <w:rsid w:val="00D730EB"/>
    <w:rsid w:val="00D73B65"/>
    <w:rsid w:val="00D75219"/>
    <w:rsid w:val="00D817E6"/>
    <w:rsid w:val="00D83C2C"/>
    <w:rsid w:val="00D90292"/>
    <w:rsid w:val="00DA00F5"/>
    <w:rsid w:val="00DA08BE"/>
    <w:rsid w:val="00DA1CAC"/>
    <w:rsid w:val="00DA2331"/>
    <w:rsid w:val="00DA30CF"/>
    <w:rsid w:val="00DA6582"/>
    <w:rsid w:val="00DA6921"/>
    <w:rsid w:val="00DB0C46"/>
    <w:rsid w:val="00DB5404"/>
    <w:rsid w:val="00DB5A8F"/>
    <w:rsid w:val="00DB64A1"/>
    <w:rsid w:val="00DB6A8B"/>
    <w:rsid w:val="00DC2086"/>
    <w:rsid w:val="00DC2219"/>
    <w:rsid w:val="00DC4A09"/>
    <w:rsid w:val="00DC7891"/>
    <w:rsid w:val="00DC7AC3"/>
    <w:rsid w:val="00DD12C2"/>
    <w:rsid w:val="00DD269B"/>
    <w:rsid w:val="00DD670D"/>
    <w:rsid w:val="00DD718A"/>
    <w:rsid w:val="00DE347D"/>
    <w:rsid w:val="00DF632D"/>
    <w:rsid w:val="00E11851"/>
    <w:rsid w:val="00E13A7C"/>
    <w:rsid w:val="00E179C1"/>
    <w:rsid w:val="00E21999"/>
    <w:rsid w:val="00E222C6"/>
    <w:rsid w:val="00E24821"/>
    <w:rsid w:val="00E27C24"/>
    <w:rsid w:val="00E27CBD"/>
    <w:rsid w:val="00E35136"/>
    <w:rsid w:val="00E409B6"/>
    <w:rsid w:val="00E42680"/>
    <w:rsid w:val="00E4308C"/>
    <w:rsid w:val="00E449BC"/>
    <w:rsid w:val="00E46DB0"/>
    <w:rsid w:val="00E47DE6"/>
    <w:rsid w:val="00E50B26"/>
    <w:rsid w:val="00E519D3"/>
    <w:rsid w:val="00E51A16"/>
    <w:rsid w:val="00E51E17"/>
    <w:rsid w:val="00E525DE"/>
    <w:rsid w:val="00E531DA"/>
    <w:rsid w:val="00E57D4E"/>
    <w:rsid w:val="00E60854"/>
    <w:rsid w:val="00E6215D"/>
    <w:rsid w:val="00E663DF"/>
    <w:rsid w:val="00E83298"/>
    <w:rsid w:val="00E87654"/>
    <w:rsid w:val="00E87D6E"/>
    <w:rsid w:val="00E92649"/>
    <w:rsid w:val="00E95550"/>
    <w:rsid w:val="00E970BA"/>
    <w:rsid w:val="00EA157A"/>
    <w:rsid w:val="00EA2CCE"/>
    <w:rsid w:val="00EB0EE0"/>
    <w:rsid w:val="00EC2419"/>
    <w:rsid w:val="00EC39A1"/>
    <w:rsid w:val="00ED024C"/>
    <w:rsid w:val="00ED326B"/>
    <w:rsid w:val="00ED3955"/>
    <w:rsid w:val="00EE0504"/>
    <w:rsid w:val="00EE1198"/>
    <w:rsid w:val="00EE119B"/>
    <w:rsid w:val="00EE248B"/>
    <w:rsid w:val="00EE2A33"/>
    <w:rsid w:val="00EE2EA1"/>
    <w:rsid w:val="00EE5D8C"/>
    <w:rsid w:val="00EE620E"/>
    <w:rsid w:val="00EE7338"/>
    <w:rsid w:val="00EF509F"/>
    <w:rsid w:val="00EF586F"/>
    <w:rsid w:val="00EF6684"/>
    <w:rsid w:val="00EF71B0"/>
    <w:rsid w:val="00F011AF"/>
    <w:rsid w:val="00F04730"/>
    <w:rsid w:val="00F07F60"/>
    <w:rsid w:val="00F10640"/>
    <w:rsid w:val="00F12687"/>
    <w:rsid w:val="00F14E21"/>
    <w:rsid w:val="00F22BD0"/>
    <w:rsid w:val="00F236A2"/>
    <w:rsid w:val="00F2577E"/>
    <w:rsid w:val="00F446C6"/>
    <w:rsid w:val="00F513CA"/>
    <w:rsid w:val="00F5321F"/>
    <w:rsid w:val="00F55C07"/>
    <w:rsid w:val="00F577DC"/>
    <w:rsid w:val="00F76A36"/>
    <w:rsid w:val="00F80EF5"/>
    <w:rsid w:val="00F8336F"/>
    <w:rsid w:val="00F85D9B"/>
    <w:rsid w:val="00F914A8"/>
    <w:rsid w:val="00F94AB3"/>
    <w:rsid w:val="00F9553F"/>
    <w:rsid w:val="00F961C9"/>
    <w:rsid w:val="00F9717D"/>
    <w:rsid w:val="00FB0EA1"/>
    <w:rsid w:val="00FB5F67"/>
    <w:rsid w:val="00FB68BE"/>
    <w:rsid w:val="00FC16D3"/>
    <w:rsid w:val="00FC3E87"/>
    <w:rsid w:val="00FC5AFB"/>
    <w:rsid w:val="00FC7743"/>
    <w:rsid w:val="00FD61BB"/>
    <w:rsid w:val="00FD6C79"/>
    <w:rsid w:val="00FE16C3"/>
    <w:rsid w:val="00FE3648"/>
    <w:rsid w:val="00FE74EF"/>
    <w:rsid w:val="00FE7D69"/>
    <w:rsid w:val="00FF473A"/>
    <w:rsid w:val="00FF4ACA"/>
    <w:rsid w:val="00FF5340"/>
    <w:rsid w:val="00FF789E"/>
    <w:rsid w:val="00FF7E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9EFDA063-BDF6-446D-8FE4-0AF88439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391385"/>
    <w:pPr>
      <w:keepLines/>
      <w:tabs>
        <w:tab w:val="right" w:leader="dot" w:pos="4550"/>
      </w:tabs>
      <w:autoSpaceDE w:val="0"/>
      <w:autoSpaceDN w:val="0"/>
      <w:adjustRightInd w:val="0"/>
      <w:spacing w:before="80" w:after="2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numbering" w:customStyle="1" w:styleId="NoList2">
    <w:name w:val="No List2"/>
    <w:next w:val="NoList"/>
    <w:uiPriority w:val="99"/>
    <w:semiHidden/>
    <w:unhideWhenUsed/>
    <w:rsid w:val="004A192B"/>
  </w:style>
  <w:style w:type="paragraph" w:customStyle="1" w:styleId="Style1">
    <w:name w:val="Style1"/>
    <w:basedOn w:val="Normal"/>
    <w:rsid w:val="004A192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4A192B"/>
    <w:rPr>
      <w:color w:val="800080"/>
      <w:u w:val="single"/>
    </w:rPr>
  </w:style>
  <w:style w:type="paragraph" w:customStyle="1" w:styleId="Number7">
    <w:name w:val="Number 7"/>
    <w:basedOn w:val="Heading7"/>
    <w:rsid w:val="004A192B"/>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4A192B"/>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4A192B"/>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4A192B"/>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4A192B"/>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4A192B"/>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4A192B"/>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4A192B"/>
    <w:pPr>
      <w:numPr>
        <w:numId w:val="7"/>
      </w:numPr>
      <w:spacing w:after="240"/>
    </w:pPr>
    <w:rPr>
      <w:rFonts w:eastAsia="Times New Roman"/>
      <w:szCs w:val="20"/>
    </w:rPr>
  </w:style>
  <w:style w:type="paragraph" w:customStyle="1" w:styleId="Level2">
    <w:name w:val="Level 2"/>
    <w:basedOn w:val="Normal"/>
    <w:rsid w:val="004A192B"/>
    <w:pPr>
      <w:spacing w:after="240"/>
      <w:ind w:left="1276"/>
    </w:pPr>
    <w:rPr>
      <w:rFonts w:eastAsia="Times New Roman"/>
      <w:szCs w:val="20"/>
    </w:rPr>
  </w:style>
  <w:style w:type="paragraph" w:customStyle="1" w:styleId="Level3">
    <w:name w:val="Level 3"/>
    <w:basedOn w:val="Normal"/>
    <w:rsid w:val="004A192B"/>
    <w:pPr>
      <w:tabs>
        <w:tab w:val="left" w:pos="2127"/>
      </w:tabs>
      <w:spacing w:after="240"/>
      <w:ind w:left="2127"/>
    </w:pPr>
    <w:rPr>
      <w:rFonts w:eastAsia="Times New Roman"/>
      <w:szCs w:val="20"/>
    </w:rPr>
  </w:style>
  <w:style w:type="paragraph" w:customStyle="1" w:styleId="Level1">
    <w:name w:val="Level 1"/>
    <w:basedOn w:val="Normal"/>
    <w:rsid w:val="004A192B"/>
    <w:pPr>
      <w:spacing w:after="240"/>
      <w:ind w:left="567"/>
    </w:pPr>
    <w:rPr>
      <w:rFonts w:eastAsia="Times New Roman"/>
      <w:szCs w:val="20"/>
    </w:rPr>
  </w:style>
  <w:style w:type="paragraph" w:styleId="BodyTextIndent">
    <w:name w:val="Body Text Indent"/>
    <w:basedOn w:val="Normal"/>
    <w:link w:val="BodyTextIndentChar"/>
    <w:rsid w:val="004A192B"/>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4A192B"/>
    <w:rPr>
      <w:rFonts w:ascii="CG Times (W1)" w:eastAsia="Times New Roman" w:hAnsi="CG Times (W1)"/>
      <w:i/>
      <w:sz w:val="17"/>
      <w:lang w:eastAsia="en-US"/>
    </w:rPr>
  </w:style>
  <w:style w:type="paragraph" w:styleId="BodyTextIndent2">
    <w:name w:val="Body Text Indent 2"/>
    <w:basedOn w:val="Normal"/>
    <w:link w:val="BodyTextIndent2Char"/>
    <w:rsid w:val="004A192B"/>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4A192B"/>
    <w:rPr>
      <w:rFonts w:ascii="CG Times (W1)" w:eastAsia="Times New Roman" w:hAnsi="CG Times (W1)"/>
      <w:i/>
      <w:iCs/>
      <w:sz w:val="17"/>
      <w:lang w:eastAsia="en-US"/>
    </w:rPr>
  </w:style>
  <w:style w:type="paragraph" w:customStyle="1" w:styleId="ScheduleAppendix">
    <w:name w:val="Schedule/Appendix"/>
    <w:basedOn w:val="Normal"/>
    <w:rsid w:val="004A192B"/>
    <w:pPr>
      <w:spacing w:after="240"/>
      <w:jc w:val="center"/>
    </w:pPr>
    <w:rPr>
      <w:rFonts w:eastAsia="Times New Roman"/>
      <w:b/>
      <w:caps/>
      <w:szCs w:val="20"/>
    </w:rPr>
  </w:style>
  <w:style w:type="paragraph" w:customStyle="1" w:styleId="GSAPaperBullet1">
    <w:name w:val="GSAPaperBullet1"/>
    <w:basedOn w:val="GSAPaperStd"/>
    <w:rsid w:val="004A192B"/>
    <w:pPr>
      <w:numPr>
        <w:numId w:val="8"/>
      </w:numPr>
      <w:tabs>
        <w:tab w:val="clear" w:pos="360"/>
        <w:tab w:val="left" w:pos="936"/>
      </w:tabs>
      <w:spacing w:before="0" w:line="240" w:lineRule="auto"/>
      <w:ind w:left="936"/>
    </w:pPr>
  </w:style>
  <w:style w:type="paragraph" w:customStyle="1" w:styleId="GSAPaperStd">
    <w:name w:val="GSAPaperStd"/>
    <w:basedOn w:val="GSAPaperCore"/>
    <w:rsid w:val="004A192B"/>
    <w:pPr>
      <w:spacing w:before="120" w:after="120"/>
      <w:ind w:left="576" w:hanging="576"/>
    </w:pPr>
  </w:style>
  <w:style w:type="paragraph" w:customStyle="1" w:styleId="GSAPaperCore">
    <w:name w:val="GSAPaperCore"/>
    <w:rsid w:val="004A192B"/>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4A192B"/>
    <w:pPr>
      <w:numPr>
        <w:numId w:val="11"/>
      </w:numPr>
      <w:tabs>
        <w:tab w:val="clear" w:pos="360"/>
        <w:tab w:val="left" w:pos="936"/>
      </w:tabs>
      <w:spacing w:before="0"/>
      <w:ind w:left="936"/>
    </w:pPr>
  </w:style>
  <w:style w:type="paragraph" w:customStyle="1" w:styleId="GSALegExMemMain">
    <w:name w:val="GSALegExMemMain"/>
    <w:basedOn w:val="GSALegText"/>
    <w:rsid w:val="004A192B"/>
    <w:pPr>
      <w:spacing w:before="120" w:after="120"/>
      <w:ind w:left="576" w:hanging="576"/>
    </w:pPr>
  </w:style>
  <w:style w:type="paragraph" w:customStyle="1" w:styleId="GSALegText">
    <w:name w:val="GSALegText"/>
    <w:rsid w:val="004A192B"/>
    <w:rPr>
      <w:rFonts w:ascii="Times New Roman" w:eastAsia="Times New Roman" w:hAnsi="Times New Roman"/>
      <w:noProof/>
      <w:sz w:val="24"/>
      <w:lang w:eastAsia="en-US"/>
    </w:rPr>
  </w:style>
  <w:style w:type="paragraph" w:customStyle="1" w:styleId="GSAActionBullet1">
    <w:name w:val="GSAActionBullet1"/>
    <w:basedOn w:val="GSAActionDeadline"/>
    <w:rsid w:val="004A192B"/>
    <w:pPr>
      <w:numPr>
        <w:numId w:val="9"/>
      </w:numPr>
    </w:pPr>
  </w:style>
  <w:style w:type="paragraph" w:customStyle="1" w:styleId="GSAActionDeadline">
    <w:name w:val="GSAActionDeadline"/>
    <w:basedOn w:val="GSAActionCore"/>
    <w:rsid w:val="004A192B"/>
    <w:pPr>
      <w:spacing w:after="20"/>
    </w:pPr>
  </w:style>
  <w:style w:type="paragraph" w:customStyle="1" w:styleId="GSAActionCore">
    <w:name w:val="GSAActionCore"/>
    <w:rsid w:val="004A192B"/>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4A192B"/>
    <w:pPr>
      <w:numPr>
        <w:numId w:val="10"/>
      </w:numPr>
      <w:tabs>
        <w:tab w:val="clear" w:pos="360"/>
        <w:tab w:val="num" w:pos="1296"/>
      </w:tabs>
      <w:ind w:left="1296"/>
    </w:pPr>
  </w:style>
  <w:style w:type="paragraph" w:customStyle="1" w:styleId="GSAMinuterBullet1">
    <w:name w:val="GSAMinuterBullet1"/>
    <w:basedOn w:val="GSAMinuteStd"/>
    <w:rsid w:val="004A192B"/>
    <w:pPr>
      <w:tabs>
        <w:tab w:val="left" w:pos="936"/>
      </w:tabs>
      <w:spacing w:before="0"/>
      <w:ind w:left="0"/>
    </w:pPr>
  </w:style>
  <w:style w:type="paragraph" w:customStyle="1" w:styleId="GSAMinuteStd">
    <w:name w:val="GSAMinuteStd"/>
    <w:basedOn w:val="GSAMinuteCore"/>
    <w:rsid w:val="004A192B"/>
    <w:pPr>
      <w:spacing w:before="120" w:after="120"/>
      <w:ind w:left="576"/>
    </w:pPr>
  </w:style>
  <w:style w:type="paragraph" w:customStyle="1" w:styleId="GSAMinuteCore">
    <w:name w:val="GSAMinuteCore"/>
    <w:rsid w:val="004A192B"/>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4A192B"/>
    <w:pPr>
      <w:numPr>
        <w:numId w:val="12"/>
      </w:numPr>
      <w:ind w:left="720"/>
    </w:pPr>
  </w:style>
  <w:style w:type="paragraph" w:customStyle="1" w:styleId="LetterBullet1">
    <w:name w:val="Letter Bullet1"/>
    <w:basedOn w:val="LetterStandard"/>
    <w:rsid w:val="004A192B"/>
    <w:pPr>
      <w:numPr>
        <w:numId w:val="6"/>
      </w:numPr>
      <w:spacing w:before="0"/>
    </w:pPr>
  </w:style>
  <w:style w:type="paragraph" w:customStyle="1" w:styleId="LetterStandard">
    <w:name w:val="Letter Standard"/>
    <w:rsid w:val="004A192B"/>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4A192B"/>
    <w:pPr>
      <w:numPr>
        <w:numId w:val="13"/>
      </w:numPr>
      <w:spacing w:before="40"/>
    </w:pPr>
  </w:style>
  <w:style w:type="paragraph" w:customStyle="1" w:styleId="ARText1">
    <w:name w:val="ARText1"/>
    <w:basedOn w:val="ARBase"/>
    <w:rsid w:val="004A192B"/>
    <w:pPr>
      <w:spacing w:before="80" w:after="80"/>
      <w:ind w:left="720"/>
      <w:jc w:val="both"/>
    </w:pPr>
  </w:style>
  <w:style w:type="paragraph" w:customStyle="1" w:styleId="ARBase">
    <w:name w:val="ARBase"/>
    <w:rsid w:val="004A192B"/>
    <w:pPr>
      <w:spacing w:line="245" w:lineRule="auto"/>
    </w:pPr>
    <w:rPr>
      <w:rFonts w:ascii="Times New Roman" w:eastAsia="Times New Roman" w:hAnsi="Times New Roman"/>
      <w:sz w:val="24"/>
      <w:lang w:eastAsia="en-US"/>
    </w:rPr>
  </w:style>
  <w:style w:type="paragraph" w:styleId="ListBullet">
    <w:name w:val="List Bullet"/>
    <w:basedOn w:val="Normal"/>
    <w:autoRedefine/>
    <w:rsid w:val="004A192B"/>
    <w:pPr>
      <w:tabs>
        <w:tab w:val="num" w:pos="360"/>
      </w:tabs>
      <w:ind w:left="360" w:hanging="360"/>
    </w:pPr>
    <w:rPr>
      <w:rFonts w:eastAsia="Times New Roman"/>
      <w:szCs w:val="20"/>
    </w:rPr>
  </w:style>
  <w:style w:type="paragraph" w:styleId="ListBullet2">
    <w:name w:val="List Bullet 2"/>
    <w:basedOn w:val="Normal"/>
    <w:autoRedefine/>
    <w:rsid w:val="004A192B"/>
    <w:pPr>
      <w:tabs>
        <w:tab w:val="num" w:pos="643"/>
      </w:tabs>
      <w:ind w:left="643" w:hanging="360"/>
    </w:pPr>
    <w:rPr>
      <w:rFonts w:eastAsia="Times New Roman"/>
      <w:szCs w:val="20"/>
    </w:rPr>
  </w:style>
  <w:style w:type="paragraph" w:styleId="ListBullet3">
    <w:name w:val="List Bullet 3"/>
    <w:basedOn w:val="Normal"/>
    <w:autoRedefine/>
    <w:rsid w:val="004A192B"/>
    <w:pPr>
      <w:tabs>
        <w:tab w:val="num" w:pos="1080"/>
      </w:tabs>
      <w:ind w:left="1080" w:hanging="360"/>
    </w:pPr>
    <w:rPr>
      <w:rFonts w:eastAsia="Times New Roman"/>
      <w:szCs w:val="20"/>
    </w:rPr>
  </w:style>
  <w:style w:type="paragraph" w:styleId="ListBullet4">
    <w:name w:val="List Bullet 4"/>
    <w:basedOn w:val="Normal"/>
    <w:autoRedefine/>
    <w:rsid w:val="004A192B"/>
    <w:pPr>
      <w:tabs>
        <w:tab w:val="num" w:pos="1440"/>
      </w:tabs>
      <w:ind w:left="1440" w:hanging="360"/>
    </w:pPr>
    <w:rPr>
      <w:rFonts w:eastAsia="Times New Roman"/>
      <w:szCs w:val="20"/>
    </w:rPr>
  </w:style>
  <w:style w:type="paragraph" w:styleId="ListBullet5">
    <w:name w:val="List Bullet 5"/>
    <w:basedOn w:val="Normal"/>
    <w:autoRedefine/>
    <w:rsid w:val="004A192B"/>
    <w:pPr>
      <w:tabs>
        <w:tab w:val="num" w:pos="1492"/>
      </w:tabs>
      <w:ind w:left="1492" w:hanging="360"/>
    </w:pPr>
    <w:rPr>
      <w:rFonts w:eastAsia="Times New Roman"/>
      <w:szCs w:val="20"/>
    </w:rPr>
  </w:style>
  <w:style w:type="paragraph" w:styleId="ListNumber">
    <w:name w:val="List Number"/>
    <w:basedOn w:val="Normal"/>
    <w:rsid w:val="004A192B"/>
    <w:pPr>
      <w:tabs>
        <w:tab w:val="num" w:pos="360"/>
      </w:tabs>
      <w:ind w:left="360" w:hanging="360"/>
    </w:pPr>
    <w:rPr>
      <w:rFonts w:eastAsia="Times New Roman"/>
      <w:szCs w:val="20"/>
    </w:rPr>
  </w:style>
  <w:style w:type="paragraph" w:styleId="ListNumber2">
    <w:name w:val="List Number 2"/>
    <w:basedOn w:val="Normal"/>
    <w:rsid w:val="004A192B"/>
    <w:pPr>
      <w:tabs>
        <w:tab w:val="num" w:pos="643"/>
      </w:tabs>
      <w:ind w:left="643" w:hanging="360"/>
    </w:pPr>
    <w:rPr>
      <w:rFonts w:eastAsia="Times New Roman"/>
      <w:szCs w:val="20"/>
    </w:rPr>
  </w:style>
  <w:style w:type="paragraph" w:styleId="ListNumber3">
    <w:name w:val="List Number 3"/>
    <w:basedOn w:val="Normal"/>
    <w:rsid w:val="004A192B"/>
    <w:pPr>
      <w:tabs>
        <w:tab w:val="num" w:pos="1080"/>
      </w:tabs>
      <w:ind w:left="1080" w:hanging="360"/>
    </w:pPr>
    <w:rPr>
      <w:rFonts w:eastAsia="Times New Roman"/>
      <w:szCs w:val="20"/>
    </w:rPr>
  </w:style>
  <w:style w:type="paragraph" w:styleId="ListNumber4">
    <w:name w:val="List Number 4"/>
    <w:basedOn w:val="Normal"/>
    <w:rsid w:val="004A192B"/>
    <w:pPr>
      <w:tabs>
        <w:tab w:val="num" w:pos="1440"/>
      </w:tabs>
      <w:ind w:left="1440" w:hanging="360"/>
    </w:pPr>
    <w:rPr>
      <w:rFonts w:eastAsia="Times New Roman"/>
      <w:szCs w:val="20"/>
    </w:rPr>
  </w:style>
  <w:style w:type="paragraph" w:styleId="ListNumber5">
    <w:name w:val="List Number 5"/>
    <w:basedOn w:val="Normal"/>
    <w:rsid w:val="004A192B"/>
    <w:pPr>
      <w:tabs>
        <w:tab w:val="num" w:pos="1800"/>
      </w:tabs>
      <w:ind w:left="1800" w:hanging="360"/>
    </w:pPr>
    <w:rPr>
      <w:rFonts w:eastAsia="Times New Roman"/>
      <w:szCs w:val="20"/>
    </w:rPr>
  </w:style>
  <w:style w:type="character" w:styleId="FootnoteReference">
    <w:name w:val="footnote reference"/>
    <w:semiHidden/>
    <w:rsid w:val="004A192B"/>
    <w:rPr>
      <w:vertAlign w:val="superscript"/>
    </w:rPr>
  </w:style>
  <w:style w:type="paragraph" w:styleId="NormalWeb">
    <w:name w:val="Normal (Web)"/>
    <w:basedOn w:val="Normal"/>
    <w:rsid w:val="004A192B"/>
    <w:pPr>
      <w:spacing w:after="120"/>
    </w:pPr>
    <w:rPr>
      <w:rFonts w:ascii="Arial Unicode MS" w:eastAsia="Arial Unicode MS" w:hAnsi="Arial Unicode MS" w:cs="Arial Unicode MS"/>
      <w:szCs w:val="24"/>
    </w:rPr>
  </w:style>
  <w:style w:type="paragraph" w:styleId="PlainText">
    <w:name w:val="Plain Text"/>
    <w:basedOn w:val="Normal"/>
    <w:link w:val="PlainTextChar"/>
    <w:rsid w:val="004A192B"/>
    <w:rPr>
      <w:rFonts w:ascii="Courier New" w:eastAsia="Times New Roman" w:hAnsi="Courier New" w:cs="Courier New"/>
      <w:sz w:val="20"/>
      <w:szCs w:val="20"/>
    </w:rPr>
  </w:style>
  <w:style w:type="character" w:customStyle="1" w:styleId="PlainTextChar">
    <w:name w:val="Plain Text Char"/>
    <w:basedOn w:val="DefaultParagraphFont"/>
    <w:link w:val="PlainText"/>
    <w:rsid w:val="004A192B"/>
    <w:rPr>
      <w:rFonts w:ascii="Courier New" w:eastAsia="Times New Roman" w:hAnsi="Courier New" w:cs="Courier New"/>
      <w:lang w:eastAsia="en-US"/>
    </w:rPr>
  </w:style>
  <w:style w:type="table" w:styleId="TableGrid">
    <w:name w:val="Table Grid"/>
    <w:basedOn w:val="TableNormal"/>
    <w:uiPriority w:val="59"/>
    <w:rsid w:val="004A192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A192B"/>
    <w:pPr>
      <w:spacing w:after="120" w:line="480" w:lineRule="auto"/>
    </w:pPr>
    <w:rPr>
      <w:rFonts w:eastAsia="Times New Roman"/>
      <w:szCs w:val="24"/>
    </w:rPr>
  </w:style>
  <w:style w:type="character" w:customStyle="1" w:styleId="BodyText2Char">
    <w:name w:val="Body Text 2 Char"/>
    <w:basedOn w:val="DefaultParagraphFont"/>
    <w:link w:val="BodyText2"/>
    <w:rsid w:val="004A192B"/>
    <w:rPr>
      <w:rFonts w:ascii="Times New Roman" w:eastAsia="Times New Roman" w:hAnsi="Times New Roman"/>
      <w:sz w:val="17"/>
      <w:szCs w:val="24"/>
      <w:lang w:eastAsia="en-US"/>
    </w:rPr>
  </w:style>
  <w:style w:type="paragraph" w:customStyle="1" w:styleId="WCbodycopy">
    <w:name w:val="WC body copy"/>
    <w:basedOn w:val="Normal"/>
    <w:rsid w:val="004A192B"/>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4A192B"/>
  </w:style>
  <w:style w:type="numbering" w:customStyle="1" w:styleId="NoList111">
    <w:name w:val="No List111"/>
    <w:next w:val="NoList"/>
    <w:uiPriority w:val="99"/>
    <w:semiHidden/>
    <w:unhideWhenUsed/>
    <w:rsid w:val="004A192B"/>
  </w:style>
  <w:style w:type="table" w:customStyle="1" w:styleId="TableGrid1">
    <w:name w:val="Table Grid1"/>
    <w:basedOn w:val="TableNormal"/>
    <w:next w:val="TableGrid"/>
    <w:uiPriority w:val="59"/>
    <w:rsid w:val="004A19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4A192B"/>
    <w:rPr>
      <w:i/>
      <w:iCs/>
      <w:color w:val="666666"/>
      <w:sz w:val="22"/>
      <w:szCs w:val="22"/>
    </w:rPr>
  </w:style>
  <w:style w:type="character" w:styleId="HTMLCite">
    <w:name w:val="HTML Cite"/>
    <w:rsid w:val="004A192B"/>
    <w:rPr>
      <w:i/>
      <w:iCs/>
    </w:rPr>
  </w:style>
  <w:style w:type="character" w:customStyle="1" w:styleId="section">
    <w:name w:val="section"/>
    <w:rsid w:val="004A192B"/>
  </w:style>
  <w:style w:type="paragraph" w:customStyle="1" w:styleId="GSALegTextHeadSection">
    <w:name w:val="GSALegTextHeadSection"/>
    <w:basedOn w:val="GSALegText"/>
    <w:next w:val="GSALegText1"/>
    <w:rsid w:val="004A192B"/>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4A192B"/>
    <w:pPr>
      <w:tabs>
        <w:tab w:val="right" w:pos="1296"/>
        <w:tab w:val="left" w:pos="1440"/>
      </w:tabs>
      <w:spacing w:before="120" w:after="120"/>
      <w:ind w:left="1440" w:hanging="1440"/>
      <w:jc w:val="both"/>
    </w:pPr>
  </w:style>
  <w:style w:type="paragraph" w:customStyle="1" w:styleId="GSALegText1D">
    <w:name w:val="GSALegText1D"/>
    <w:basedOn w:val="GSALegText1"/>
    <w:rsid w:val="004A192B"/>
    <w:pPr>
      <w:ind w:left="2016" w:hanging="2016"/>
    </w:pPr>
  </w:style>
  <w:style w:type="paragraph" w:customStyle="1" w:styleId="GSALegTextHeadSectionIns">
    <w:name w:val="GSALegTextHeadSectionIns"/>
    <w:basedOn w:val="GSALegTextHeadSection"/>
    <w:rsid w:val="004A192B"/>
  </w:style>
  <w:style w:type="paragraph" w:customStyle="1" w:styleId="GSALegText2">
    <w:name w:val="GSALegText2"/>
    <w:basedOn w:val="GSALegText1"/>
    <w:rsid w:val="004A192B"/>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4A192B"/>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4A192B"/>
    <w:pPr>
      <w:tabs>
        <w:tab w:val="right" w:pos="144"/>
        <w:tab w:val="left" w:pos="288"/>
      </w:tabs>
      <w:spacing w:before="60" w:after="60"/>
      <w:ind w:left="288" w:hanging="288"/>
    </w:pPr>
    <w:rPr>
      <w:sz w:val="20"/>
    </w:rPr>
  </w:style>
  <w:style w:type="character" w:customStyle="1" w:styleId="Paranumbers">
    <w:name w:val="Para numbers"/>
    <w:rsid w:val="004A192B"/>
    <w:rPr>
      <w:rFonts w:ascii="CG Times" w:hAnsi="CG Times"/>
      <w:noProof w:val="0"/>
      <w:sz w:val="22"/>
      <w:lang w:val="en-US"/>
    </w:rPr>
  </w:style>
  <w:style w:type="paragraph" w:customStyle="1" w:styleId="general2">
    <w:name w:val="general 2"/>
    <w:rsid w:val="004A192B"/>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4A192B"/>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4A192B"/>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4A192B"/>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4A192B"/>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4A192B"/>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4A192B"/>
    <w:pPr>
      <w:tabs>
        <w:tab w:val="left" w:pos="-720"/>
      </w:tabs>
      <w:suppressAutoHyphens/>
    </w:pPr>
    <w:rPr>
      <w:rFonts w:ascii="CG Times" w:eastAsia="Times New Roman" w:hAnsi="CG Times"/>
      <w:sz w:val="22"/>
      <w:lang w:val="en-US" w:eastAsia="en-US"/>
    </w:rPr>
  </w:style>
  <w:style w:type="paragraph" w:customStyle="1" w:styleId="general6">
    <w:name w:val="general 6"/>
    <w:rsid w:val="004A192B"/>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4A192B"/>
  </w:style>
  <w:style w:type="paragraph" w:customStyle="1" w:styleId="RightPar1">
    <w:name w:val="Right Par 1"/>
    <w:rsid w:val="004A192B"/>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4A192B"/>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4A192B"/>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4A192B"/>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4A192B"/>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4A192B"/>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4A192B"/>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4A192B"/>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4A192B"/>
    <w:rPr>
      <w:rFonts w:ascii="CG Times" w:hAnsi="CG Times"/>
      <w:noProof w:val="0"/>
      <w:sz w:val="22"/>
      <w:lang w:val="en-US"/>
    </w:rPr>
  </w:style>
  <w:style w:type="paragraph" w:customStyle="1" w:styleId="Technical5">
    <w:name w:val="Technical 5"/>
    <w:rsid w:val="004A192B"/>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4A192B"/>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4A192B"/>
    <w:rPr>
      <w:rFonts w:ascii="CG Times" w:hAnsi="CG Times"/>
      <w:noProof w:val="0"/>
      <w:sz w:val="22"/>
      <w:lang w:val="en-US"/>
    </w:rPr>
  </w:style>
  <w:style w:type="character" w:customStyle="1" w:styleId="Technical3">
    <w:name w:val="Technical 3"/>
    <w:rsid w:val="004A192B"/>
    <w:rPr>
      <w:rFonts w:ascii="CG Times" w:hAnsi="CG Times"/>
      <w:noProof w:val="0"/>
      <w:sz w:val="22"/>
      <w:lang w:val="en-US"/>
    </w:rPr>
  </w:style>
  <w:style w:type="paragraph" w:customStyle="1" w:styleId="Technical4">
    <w:name w:val="Technical 4"/>
    <w:rsid w:val="004A192B"/>
    <w:pPr>
      <w:tabs>
        <w:tab w:val="left" w:pos="-720"/>
      </w:tabs>
      <w:suppressAutoHyphens/>
    </w:pPr>
    <w:rPr>
      <w:rFonts w:ascii="CG Times" w:eastAsia="Times New Roman" w:hAnsi="CG Times"/>
      <w:b/>
      <w:sz w:val="22"/>
      <w:lang w:val="en-US" w:eastAsia="en-US"/>
    </w:rPr>
  </w:style>
  <w:style w:type="character" w:customStyle="1" w:styleId="Technical1">
    <w:name w:val="Technical 1"/>
    <w:rsid w:val="004A192B"/>
    <w:rPr>
      <w:rFonts w:ascii="CG Times" w:hAnsi="CG Times"/>
      <w:noProof w:val="0"/>
      <w:sz w:val="22"/>
      <w:lang w:val="en-US"/>
    </w:rPr>
  </w:style>
  <w:style w:type="paragraph" w:customStyle="1" w:styleId="Technical7">
    <w:name w:val="Technical 7"/>
    <w:rsid w:val="004A192B"/>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4A192B"/>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4A192B"/>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4A192B"/>
  </w:style>
  <w:style w:type="character" w:customStyle="1" w:styleId="EquationCaption">
    <w:name w:val="_Equation Caption"/>
    <w:rsid w:val="004A192B"/>
  </w:style>
  <w:style w:type="paragraph" w:customStyle="1" w:styleId="galley0">
    <w:name w:val="galley"/>
    <w:basedOn w:val="Normal"/>
    <w:rsid w:val="004A192B"/>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4A192B"/>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4A192B"/>
    <w:pPr>
      <w:spacing w:after="120"/>
    </w:pPr>
    <w:rPr>
      <w:rFonts w:eastAsia="Times New Roman"/>
      <w:szCs w:val="20"/>
    </w:rPr>
  </w:style>
  <w:style w:type="character" w:customStyle="1" w:styleId="BodyTextChar">
    <w:name w:val="Body Text Char"/>
    <w:basedOn w:val="DefaultParagraphFont"/>
    <w:link w:val="BodyText"/>
    <w:rsid w:val="004A192B"/>
    <w:rPr>
      <w:rFonts w:ascii="Times New Roman" w:eastAsia="Times New Roman" w:hAnsi="Times New Roman"/>
      <w:sz w:val="17"/>
      <w:lang w:eastAsia="en-US"/>
    </w:rPr>
  </w:style>
  <w:style w:type="numbering" w:customStyle="1" w:styleId="NoList21">
    <w:name w:val="No List21"/>
    <w:next w:val="NoList"/>
    <w:uiPriority w:val="99"/>
    <w:semiHidden/>
    <w:rsid w:val="004A192B"/>
  </w:style>
  <w:style w:type="paragraph" w:customStyle="1" w:styleId="GFirstWord">
    <w:name w:val="G First Word"/>
    <w:basedOn w:val="Galley"/>
    <w:link w:val="GFirstWordChar"/>
    <w:rsid w:val="004A192B"/>
    <w:pPr>
      <w:spacing w:after="0"/>
    </w:pPr>
    <w:rPr>
      <w:lang w:val="x-none" w:eastAsia="x-none"/>
    </w:rPr>
  </w:style>
  <w:style w:type="character" w:customStyle="1" w:styleId="GFirstWordChar">
    <w:name w:val="G First Word Char"/>
    <w:link w:val="GFirstWord"/>
    <w:rsid w:val="004A192B"/>
    <w:rPr>
      <w:rFonts w:ascii="Times New Roman" w:eastAsia="Times New Roman" w:hAnsi="Times New Roman"/>
      <w:sz w:val="17"/>
      <w:lang w:val="x-none" w:eastAsia="x-none"/>
    </w:rPr>
  </w:style>
  <w:style w:type="table" w:customStyle="1" w:styleId="TableGrid2">
    <w:name w:val="Table Grid2"/>
    <w:basedOn w:val="TableNormal"/>
    <w:next w:val="TableGrid"/>
    <w:rsid w:val="004A19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A192B"/>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4A192B"/>
    <w:rPr>
      <w:rFonts w:ascii="Times New Roman" w:eastAsia="Times New Roman" w:hAnsi="Times New Roman"/>
      <w:sz w:val="16"/>
      <w:szCs w:val="16"/>
      <w:lang w:eastAsia="en-US"/>
    </w:rPr>
  </w:style>
  <w:style w:type="character" w:styleId="CommentReference">
    <w:name w:val="annotation reference"/>
    <w:rsid w:val="004A192B"/>
    <w:rPr>
      <w:sz w:val="16"/>
      <w:szCs w:val="16"/>
    </w:rPr>
  </w:style>
  <w:style w:type="paragraph" w:styleId="CommentText">
    <w:name w:val="annotation text"/>
    <w:basedOn w:val="Normal"/>
    <w:link w:val="CommentTextChar"/>
    <w:rsid w:val="004A192B"/>
    <w:rPr>
      <w:rFonts w:eastAsia="Times New Roman"/>
      <w:sz w:val="20"/>
      <w:szCs w:val="20"/>
    </w:rPr>
  </w:style>
  <w:style w:type="character" w:customStyle="1" w:styleId="CommentTextChar">
    <w:name w:val="Comment Text Char"/>
    <w:basedOn w:val="DefaultParagraphFont"/>
    <w:link w:val="CommentText"/>
    <w:rsid w:val="004A192B"/>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4A192B"/>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4A192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4A192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4A192B"/>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4A192B"/>
    <w:rPr>
      <w:rFonts w:ascii="Times New Roman" w:eastAsia="Times New Roman" w:hAnsi="Times New Roman"/>
      <w:b/>
      <w:bCs/>
      <w:caps/>
      <w:kern w:val="36"/>
      <w:sz w:val="22"/>
      <w:lang w:eastAsia="en-US"/>
    </w:rPr>
  </w:style>
  <w:style w:type="character" w:customStyle="1" w:styleId="Instruction">
    <w:name w:val="Instruction"/>
    <w:rsid w:val="004A192B"/>
    <w:rPr>
      <w:rFonts w:ascii="Times New Roman" w:hAnsi="Times New Roman" w:cs="Courier New"/>
      <w:i/>
      <w:sz w:val="22"/>
    </w:rPr>
  </w:style>
  <w:style w:type="paragraph" w:customStyle="1" w:styleId="CoverTitle">
    <w:name w:val="Cover Title"/>
    <w:next w:val="CoverSub-title"/>
    <w:rsid w:val="004A192B"/>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4A192B"/>
    <w:pPr>
      <w:spacing w:before="60" w:after="0" w:line="312" w:lineRule="auto"/>
    </w:pPr>
    <w:rPr>
      <w:color w:val="auto"/>
      <w:sz w:val="24"/>
    </w:rPr>
  </w:style>
  <w:style w:type="paragraph" w:customStyle="1" w:styleId="CoverText">
    <w:name w:val="Cover Text"/>
    <w:basedOn w:val="CoverTitle"/>
    <w:next w:val="Normal"/>
    <w:rsid w:val="004A192B"/>
    <w:pPr>
      <w:spacing w:before="600" w:after="0" w:line="312" w:lineRule="auto"/>
    </w:pPr>
    <w:rPr>
      <w:color w:val="auto"/>
      <w:sz w:val="24"/>
    </w:rPr>
  </w:style>
  <w:style w:type="paragraph" w:customStyle="1" w:styleId="Noparagraphstyle">
    <w:name w:val="[No paragraph style]"/>
    <w:rsid w:val="004A192B"/>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4A192B"/>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4A192B"/>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
    <w:name w:val="Table Grid11"/>
    <w:basedOn w:val="TableNormal"/>
    <w:next w:val="TableGrid"/>
    <w:rsid w:val="004A192B"/>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4A192B"/>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4A192B"/>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4A192B"/>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4A192B"/>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4A192B"/>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4A192B"/>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4A192B"/>
    <w:pPr>
      <w:keepNext/>
      <w:numPr>
        <w:ilvl w:val="1"/>
        <w:numId w:val="14"/>
      </w:numPr>
      <w:tabs>
        <w:tab w:val="clear" w:pos="792"/>
        <w:tab w:val="left" w:pos="0"/>
        <w:tab w:val="num" w:pos="360"/>
        <w:tab w:val="left" w:pos="543"/>
        <w:tab w:val="left" w:pos="997"/>
        <w:tab w:val="left" w:pos="1450"/>
        <w:tab w:val="left" w:pos="1960"/>
        <w:tab w:val="left" w:pos="2584"/>
        <w:tab w:val="left" w:pos="3600"/>
      </w:tabs>
      <w:ind w:left="0" w:firstLine="0"/>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4A192B"/>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4A192B"/>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4A192B"/>
    <w:rPr>
      <w:b/>
      <w:bCs/>
    </w:rPr>
  </w:style>
  <w:style w:type="character" w:customStyle="1" w:styleId="CommentSubjectChar">
    <w:name w:val="Comment Subject Char"/>
    <w:basedOn w:val="CommentTextChar"/>
    <w:link w:val="CommentSubject"/>
    <w:rsid w:val="004A192B"/>
    <w:rPr>
      <w:rFonts w:ascii="Times New Roman" w:eastAsia="Times New Roman" w:hAnsi="Times New Roman"/>
      <w:b/>
      <w:bCs/>
      <w:lang w:eastAsia="en-US"/>
    </w:rPr>
  </w:style>
  <w:style w:type="numbering" w:customStyle="1" w:styleId="NoList3">
    <w:name w:val="No List3"/>
    <w:next w:val="NoList"/>
    <w:uiPriority w:val="99"/>
    <w:semiHidden/>
    <w:unhideWhenUsed/>
    <w:rsid w:val="004A192B"/>
  </w:style>
  <w:style w:type="paragraph" w:customStyle="1" w:styleId="Style2">
    <w:name w:val="Style2"/>
    <w:basedOn w:val="Normal"/>
    <w:link w:val="Style2Char"/>
    <w:autoRedefine/>
    <w:qFormat/>
    <w:rsid w:val="004A192B"/>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4A192B"/>
    <w:rPr>
      <w:rFonts w:ascii="Times New Roman" w:eastAsia="Times New Roman" w:hAnsi="Times New Roman"/>
      <w:b/>
      <w:bCs/>
      <w:caps/>
      <w:kern w:val="36"/>
      <w:sz w:val="22"/>
    </w:rPr>
  </w:style>
  <w:style w:type="paragraph" w:customStyle="1" w:styleId="Default">
    <w:name w:val="Default"/>
    <w:rsid w:val="004A192B"/>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4A192B"/>
  </w:style>
  <w:style w:type="paragraph" w:customStyle="1" w:styleId="Groupheading">
    <w:name w:val="Group heading"/>
    <w:basedOn w:val="Normal"/>
    <w:link w:val="GroupheadingChar"/>
    <w:autoRedefine/>
    <w:rsid w:val="004A192B"/>
    <w:rPr>
      <w:rFonts w:eastAsia="Times New Roman"/>
      <w:b/>
      <w:bCs/>
      <w:caps/>
      <w:sz w:val="22"/>
      <w:szCs w:val="20"/>
      <w:lang w:eastAsia="en-AU"/>
    </w:rPr>
  </w:style>
  <w:style w:type="character" w:customStyle="1" w:styleId="GroupheadingChar">
    <w:name w:val="Group heading Char"/>
    <w:link w:val="Groupheading"/>
    <w:rsid w:val="004A192B"/>
    <w:rPr>
      <w:rFonts w:ascii="Times New Roman" w:eastAsia="Times New Roman" w:hAnsi="Times New Roman"/>
      <w:b/>
      <w:bCs/>
      <w:caps/>
      <w:sz w:val="22"/>
    </w:rPr>
  </w:style>
  <w:style w:type="numbering" w:customStyle="1" w:styleId="NoList5">
    <w:name w:val="No List5"/>
    <w:next w:val="NoList"/>
    <w:uiPriority w:val="99"/>
    <w:semiHidden/>
    <w:unhideWhenUsed/>
    <w:rsid w:val="004A192B"/>
  </w:style>
  <w:style w:type="paragraph" w:customStyle="1" w:styleId="font5">
    <w:name w:val="font5"/>
    <w:basedOn w:val="Normal"/>
    <w:rsid w:val="004A192B"/>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4A192B"/>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4A192B"/>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4A192B"/>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qFormat/>
    <w:rsid w:val="004A192B"/>
    <w:pPr>
      <w:numPr>
        <w:numId w:val="16"/>
      </w:numPr>
      <w:tabs>
        <w:tab w:val="num" w:pos="2007"/>
      </w:tabs>
      <w:ind w:left="426" w:hanging="426"/>
    </w:pPr>
  </w:style>
  <w:style w:type="paragraph" w:customStyle="1" w:styleId="MainHeadingCover">
    <w:name w:val="Main Heading Cover"/>
    <w:basedOn w:val="Normal"/>
    <w:uiPriority w:val="1"/>
    <w:rsid w:val="004A192B"/>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4A192B"/>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qFormat/>
    <w:rsid w:val="004A192B"/>
    <w:pPr>
      <w:numPr>
        <w:numId w:val="15"/>
      </w:numPr>
      <w:tabs>
        <w:tab w:val="num" w:pos="567"/>
      </w:tabs>
      <w:ind w:left="567" w:hanging="567"/>
    </w:pPr>
  </w:style>
  <w:style w:type="paragraph" w:customStyle="1" w:styleId="TOCHeader">
    <w:name w:val="TOC Header"/>
    <w:basedOn w:val="Normal"/>
    <w:uiPriority w:val="1"/>
    <w:rsid w:val="004A192B"/>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4A192B"/>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4A192B"/>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4A192B"/>
    <w:rPr>
      <w:color w:val="FFFFFF"/>
    </w:rPr>
  </w:style>
  <w:style w:type="paragraph" w:customStyle="1" w:styleId="Hangindent">
    <w:name w:val="Hang indent"/>
    <w:basedOn w:val="Normal"/>
    <w:qFormat/>
    <w:rsid w:val="004A192B"/>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qFormat/>
    <w:rsid w:val="004A192B"/>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qFormat/>
    <w:rsid w:val="004A192B"/>
    <w:pPr>
      <w:ind w:left="0"/>
    </w:pPr>
    <w:rPr>
      <w:rFonts w:eastAsia="Times New Roman"/>
      <w:szCs w:val="17"/>
    </w:rPr>
  </w:style>
  <w:style w:type="character" w:customStyle="1" w:styleId="Numbers1Char">
    <w:name w:val="Numbers1 Char"/>
    <w:basedOn w:val="DefaultParagraphFont"/>
    <w:link w:val="Numbers1"/>
    <w:rsid w:val="004A192B"/>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4A192B"/>
    <w:pPr>
      <w:jc w:val="right"/>
    </w:pPr>
    <w:rPr>
      <w:rFonts w:eastAsia="Times New Roman"/>
      <w:szCs w:val="17"/>
    </w:rPr>
  </w:style>
  <w:style w:type="character" w:customStyle="1" w:styleId="NormalRightChar">
    <w:name w:val="NormalRight Char"/>
    <w:basedOn w:val="DefaultParagraphFont"/>
    <w:link w:val="NormalRight"/>
    <w:rsid w:val="004A192B"/>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4A192B"/>
    <w:rPr>
      <w:smallCaps/>
    </w:rPr>
  </w:style>
  <w:style w:type="paragraph" w:customStyle="1" w:styleId="font0">
    <w:name w:val="font0"/>
    <w:basedOn w:val="Normal"/>
    <w:rsid w:val="004A192B"/>
    <w:pPr>
      <w:spacing w:before="100" w:beforeAutospacing="1" w:after="100" w:afterAutospacing="1" w:line="240" w:lineRule="auto"/>
      <w:jc w:val="left"/>
    </w:pPr>
    <w:rPr>
      <w:rFonts w:ascii="Calibri" w:eastAsia="Times New Roman" w:hAnsi="Calibri"/>
      <w:color w:val="000000"/>
      <w:sz w:val="22"/>
      <w:lang w:eastAsia="en-AU"/>
    </w:rPr>
  </w:style>
  <w:style w:type="paragraph" w:customStyle="1" w:styleId="font7">
    <w:name w:val="font7"/>
    <w:basedOn w:val="Normal"/>
    <w:rsid w:val="004A192B"/>
    <w:pPr>
      <w:spacing w:before="100" w:beforeAutospacing="1" w:after="100" w:afterAutospacing="1" w:line="240" w:lineRule="auto"/>
      <w:jc w:val="left"/>
    </w:pPr>
    <w:rPr>
      <w:rFonts w:ascii="Calibri" w:eastAsia="Times New Roman" w:hAnsi="Calibri"/>
      <w:i/>
      <w:iCs/>
      <w:sz w:val="22"/>
      <w:lang w:eastAsia="en-AU"/>
    </w:rPr>
  </w:style>
  <w:style w:type="paragraph" w:customStyle="1" w:styleId="font8">
    <w:name w:val="font8"/>
    <w:basedOn w:val="Normal"/>
    <w:rsid w:val="004A192B"/>
    <w:pPr>
      <w:spacing w:before="100" w:beforeAutospacing="1" w:after="100" w:afterAutospacing="1" w:line="240" w:lineRule="auto"/>
      <w:jc w:val="left"/>
    </w:pPr>
    <w:rPr>
      <w:rFonts w:ascii="Calibri" w:eastAsia="Times New Roman" w:hAnsi="Calibri"/>
      <w:i/>
      <w:iCs/>
      <w:color w:val="000000"/>
      <w:sz w:val="20"/>
      <w:szCs w:val="20"/>
      <w:lang w:eastAsia="en-AU"/>
    </w:rPr>
  </w:style>
  <w:style w:type="paragraph" w:customStyle="1" w:styleId="font9">
    <w:name w:val="font9"/>
    <w:basedOn w:val="Normal"/>
    <w:rsid w:val="004A192B"/>
    <w:pPr>
      <w:spacing w:before="100" w:beforeAutospacing="1" w:after="100" w:afterAutospacing="1" w:line="240" w:lineRule="auto"/>
      <w:jc w:val="left"/>
    </w:pPr>
    <w:rPr>
      <w:rFonts w:ascii="Calibri" w:eastAsia="Times New Roman" w:hAnsi="Calibri"/>
      <w:color w:val="000000"/>
      <w:sz w:val="20"/>
      <w:szCs w:val="20"/>
      <w:lang w:eastAsia="en-AU"/>
    </w:rPr>
  </w:style>
  <w:style w:type="paragraph" w:customStyle="1" w:styleId="xl64">
    <w:name w:val="xl64"/>
    <w:basedOn w:val="Normal"/>
    <w:rsid w:val="004A192B"/>
    <w:pPr>
      <w:spacing w:before="100" w:beforeAutospacing="1" w:after="100" w:afterAutospacing="1" w:line="240" w:lineRule="auto"/>
      <w:jc w:val="left"/>
    </w:pPr>
    <w:rPr>
      <w:rFonts w:eastAsia="Times New Roman"/>
      <w:b/>
      <w:bCs/>
      <w:sz w:val="24"/>
      <w:szCs w:val="24"/>
      <w:lang w:eastAsia="en-AU"/>
    </w:rPr>
  </w:style>
  <w:style w:type="paragraph" w:customStyle="1" w:styleId="xl65">
    <w:name w:val="xl65"/>
    <w:basedOn w:val="Normal"/>
    <w:rsid w:val="004A192B"/>
    <w:pPr>
      <w:spacing w:before="100" w:beforeAutospacing="1" w:after="100" w:afterAutospacing="1" w:line="240" w:lineRule="auto"/>
      <w:jc w:val="left"/>
    </w:pPr>
    <w:rPr>
      <w:rFonts w:eastAsia="Times New Roman"/>
      <w:i/>
      <w:iCs/>
      <w:sz w:val="24"/>
      <w:szCs w:val="24"/>
      <w:lang w:eastAsia="en-AU"/>
    </w:rPr>
  </w:style>
  <w:style w:type="paragraph" w:customStyle="1" w:styleId="xl66">
    <w:name w:val="xl66"/>
    <w:basedOn w:val="Normal"/>
    <w:rsid w:val="004A192B"/>
    <w:pPr>
      <w:spacing w:before="100" w:beforeAutospacing="1" w:after="100" w:afterAutospacing="1" w:line="240" w:lineRule="auto"/>
      <w:jc w:val="center"/>
    </w:pPr>
    <w:rPr>
      <w:rFonts w:eastAsia="Times New Roman"/>
      <w:sz w:val="24"/>
      <w:szCs w:val="24"/>
      <w:lang w:eastAsia="en-AU"/>
    </w:rPr>
  </w:style>
  <w:style w:type="paragraph" w:customStyle="1" w:styleId="xl67">
    <w:name w:val="xl67"/>
    <w:basedOn w:val="Normal"/>
    <w:rsid w:val="004A192B"/>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24"/>
      <w:szCs w:val="24"/>
      <w:lang w:eastAsia="en-AU"/>
    </w:rPr>
  </w:style>
  <w:style w:type="paragraph" w:customStyle="1" w:styleId="xl68">
    <w:name w:val="xl68"/>
    <w:basedOn w:val="Normal"/>
    <w:rsid w:val="004A192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en-AU"/>
    </w:rPr>
  </w:style>
  <w:style w:type="paragraph" w:customStyle="1" w:styleId="xl69">
    <w:name w:val="xl69"/>
    <w:basedOn w:val="Normal"/>
    <w:rsid w:val="004A192B"/>
    <w:pPr>
      <w:pBdr>
        <w:bottom w:val="single" w:sz="4" w:space="0" w:color="auto"/>
        <w:right w:val="single" w:sz="4" w:space="0" w:color="auto"/>
      </w:pBdr>
      <w:spacing w:before="100" w:beforeAutospacing="1" w:after="100" w:afterAutospacing="1" w:line="240" w:lineRule="auto"/>
      <w:jc w:val="left"/>
    </w:pPr>
    <w:rPr>
      <w:rFonts w:eastAsia="Times New Roman"/>
      <w:b/>
      <w:bCs/>
      <w:sz w:val="24"/>
      <w:szCs w:val="24"/>
      <w:lang w:eastAsia="en-AU"/>
    </w:rPr>
  </w:style>
  <w:style w:type="paragraph" w:customStyle="1" w:styleId="xl70">
    <w:name w:val="xl70"/>
    <w:basedOn w:val="Normal"/>
    <w:rsid w:val="004A192B"/>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b/>
      <w:bCs/>
      <w:sz w:val="24"/>
      <w:szCs w:val="24"/>
      <w:lang w:eastAsia="en-AU"/>
    </w:rPr>
  </w:style>
  <w:style w:type="paragraph" w:customStyle="1" w:styleId="xl71">
    <w:name w:val="xl71"/>
    <w:basedOn w:val="Normal"/>
    <w:rsid w:val="004A192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en-AU"/>
    </w:rPr>
  </w:style>
  <w:style w:type="paragraph" w:customStyle="1" w:styleId="xl72">
    <w:name w:val="xl72"/>
    <w:basedOn w:val="Normal"/>
    <w:rsid w:val="004A192B"/>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4"/>
      <w:szCs w:val="24"/>
      <w:lang w:eastAsia="en-AU"/>
    </w:rPr>
  </w:style>
  <w:style w:type="paragraph" w:customStyle="1" w:styleId="xl73">
    <w:name w:val="xl73"/>
    <w:basedOn w:val="Normal"/>
    <w:rsid w:val="004A192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en-AU"/>
    </w:rPr>
  </w:style>
  <w:style w:type="paragraph" w:customStyle="1" w:styleId="xl74">
    <w:name w:val="xl74"/>
    <w:basedOn w:val="Normal"/>
    <w:rsid w:val="004A192B"/>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24"/>
      <w:szCs w:val="24"/>
      <w:lang w:eastAsia="en-AU"/>
    </w:rPr>
  </w:style>
  <w:style w:type="paragraph" w:customStyle="1" w:styleId="xl75">
    <w:name w:val="xl75"/>
    <w:basedOn w:val="Normal"/>
    <w:rsid w:val="004A192B"/>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 w:val="24"/>
      <w:szCs w:val="24"/>
      <w:lang w:eastAsia="en-AU"/>
    </w:rPr>
  </w:style>
  <w:style w:type="paragraph" w:customStyle="1" w:styleId="xl76">
    <w:name w:val="xl76"/>
    <w:basedOn w:val="Normal"/>
    <w:rsid w:val="004A192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24"/>
      <w:szCs w:val="24"/>
      <w:lang w:eastAsia="en-AU"/>
    </w:rPr>
  </w:style>
  <w:style w:type="paragraph" w:customStyle="1" w:styleId="xl77">
    <w:name w:val="xl77"/>
    <w:basedOn w:val="Normal"/>
    <w:rsid w:val="004A192B"/>
    <w:pPr>
      <w:pBdr>
        <w:left w:val="single" w:sz="4" w:space="0" w:color="auto"/>
        <w:right w:val="single" w:sz="4" w:space="0" w:color="auto"/>
      </w:pBdr>
      <w:spacing w:before="100" w:beforeAutospacing="1" w:after="100" w:afterAutospacing="1" w:line="240" w:lineRule="auto"/>
      <w:jc w:val="left"/>
    </w:pPr>
    <w:rPr>
      <w:rFonts w:eastAsia="Times New Roman"/>
      <w:sz w:val="24"/>
      <w:szCs w:val="24"/>
      <w:lang w:eastAsia="en-AU"/>
    </w:rPr>
  </w:style>
  <w:style w:type="paragraph" w:customStyle="1" w:styleId="xl78">
    <w:name w:val="xl78"/>
    <w:basedOn w:val="Normal"/>
    <w:rsid w:val="004A192B"/>
    <w:pPr>
      <w:pBdr>
        <w:left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en-AU"/>
    </w:rPr>
  </w:style>
  <w:style w:type="paragraph" w:customStyle="1" w:styleId="xl79">
    <w:name w:val="xl79"/>
    <w:basedOn w:val="Normal"/>
    <w:rsid w:val="004A192B"/>
    <w:pPr>
      <w:pBdr>
        <w:left w:val="single" w:sz="4" w:space="0" w:color="auto"/>
        <w:right w:val="single" w:sz="4" w:space="0" w:color="auto"/>
      </w:pBdr>
      <w:spacing w:before="100" w:beforeAutospacing="1" w:after="100" w:afterAutospacing="1" w:line="240" w:lineRule="auto"/>
      <w:jc w:val="left"/>
      <w:textAlignment w:val="top"/>
    </w:pPr>
    <w:rPr>
      <w:rFonts w:eastAsia="Times New Roman"/>
      <w:sz w:val="24"/>
      <w:szCs w:val="24"/>
      <w:lang w:eastAsia="en-AU"/>
    </w:rPr>
  </w:style>
  <w:style w:type="paragraph" w:customStyle="1" w:styleId="xl80">
    <w:name w:val="xl80"/>
    <w:basedOn w:val="Normal"/>
    <w:rsid w:val="004A192B"/>
    <w:pPr>
      <w:pBdr>
        <w:left w:val="single" w:sz="4" w:space="0" w:color="auto"/>
        <w:right w:val="single" w:sz="4" w:space="0" w:color="auto"/>
      </w:pBdr>
      <w:spacing w:before="100" w:beforeAutospacing="1" w:after="100" w:afterAutospacing="1" w:line="240" w:lineRule="auto"/>
      <w:jc w:val="left"/>
    </w:pPr>
    <w:rPr>
      <w:rFonts w:eastAsia="Times New Roman"/>
      <w:sz w:val="24"/>
      <w:szCs w:val="24"/>
      <w:lang w:eastAsia="en-AU"/>
    </w:rPr>
  </w:style>
  <w:style w:type="paragraph" w:customStyle="1" w:styleId="xl81">
    <w:name w:val="xl81"/>
    <w:basedOn w:val="Normal"/>
    <w:rsid w:val="004A192B"/>
    <w:pPr>
      <w:pBdr>
        <w:left w:val="single" w:sz="4" w:space="0" w:color="auto"/>
        <w:right w:val="single" w:sz="4" w:space="0" w:color="auto"/>
      </w:pBdr>
      <w:spacing w:before="100" w:beforeAutospacing="1" w:after="100" w:afterAutospacing="1" w:line="240" w:lineRule="auto"/>
      <w:jc w:val="center"/>
    </w:pPr>
    <w:rPr>
      <w:rFonts w:eastAsia="Times New Roman"/>
      <w:sz w:val="24"/>
      <w:szCs w:val="24"/>
      <w:lang w:eastAsia="en-AU"/>
    </w:rPr>
  </w:style>
  <w:style w:type="paragraph" w:customStyle="1" w:styleId="xl82">
    <w:name w:val="xl82"/>
    <w:basedOn w:val="Normal"/>
    <w:rsid w:val="004A192B"/>
    <w:pPr>
      <w:pBdr>
        <w:left w:val="single" w:sz="4" w:space="0" w:color="auto"/>
        <w:right w:val="single" w:sz="4" w:space="0" w:color="auto"/>
      </w:pBdr>
      <w:spacing w:before="100" w:beforeAutospacing="1" w:after="100" w:afterAutospacing="1" w:line="240" w:lineRule="auto"/>
      <w:jc w:val="left"/>
    </w:pPr>
    <w:rPr>
      <w:rFonts w:eastAsia="Times New Roman"/>
      <w:b/>
      <w:bCs/>
      <w:sz w:val="24"/>
      <w:szCs w:val="24"/>
      <w:u w:val="single"/>
      <w:lang w:eastAsia="en-AU"/>
    </w:rPr>
  </w:style>
  <w:style w:type="paragraph" w:customStyle="1" w:styleId="xl83">
    <w:name w:val="xl83"/>
    <w:basedOn w:val="Normal"/>
    <w:rsid w:val="004A192B"/>
    <w:pPr>
      <w:pBdr>
        <w:left w:val="single" w:sz="4" w:space="0" w:color="auto"/>
        <w:right w:val="single" w:sz="4" w:space="0" w:color="auto"/>
      </w:pBdr>
      <w:spacing w:before="100" w:beforeAutospacing="1" w:after="100" w:afterAutospacing="1" w:line="240" w:lineRule="auto"/>
      <w:jc w:val="left"/>
    </w:pPr>
    <w:rPr>
      <w:rFonts w:eastAsia="Times New Roman"/>
      <w:i/>
      <w:iCs/>
      <w:sz w:val="24"/>
      <w:szCs w:val="24"/>
      <w:lang w:eastAsia="en-AU"/>
    </w:rPr>
  </w:style>
  <w:style w:type="paragraph" w:customStyle="1" w:styleId="xl84">
    <w:name w:val="xl84"/>
    <w:basedOn w:val="Normal"/>
    <w:rsid w:val="004A192B"/>
    <w:pPr>
      <w:pBdr>
        <w:left w:val="single" w:sz="4" w:space="0" w:color="auto"/>
        <w:right w:val="single" w:sz="4" w:space="0" w:color="auto"/>
      </w:pBdr>
      <w:spacing w:before="100" w:beforeAutospacing="1" w:after="100" w:afterAutospacing="1" w:line="240" w:lineRule="auto"/>
      <w:jc w:val="left"/>
    </w:pPr>
    <w:rPr>
      <w:rFonts w:eastAsia="Times New Roman"/>
      <w:sz w:val="24"/>
      <w:szCs w:val="24"/>
      <w:lang w:eastAsia="en-AU"/>
    </w:rPr>
  </w:style>
  <w:style w:type="paragraph" w:customStyle="1" w:styleId="xl85">
    <w:name w:val="xl85"/>
    <w:basedOn w:val="Normal"/>
    <w:rsid w:val="004A192B"/>
    <w:pPr>
      <w:pBdr>
        <w:left w:val="single" w:sz="4" w:space="0" w:color="auto"/>
        <w:right w:val="single" w:sz="4" w:space="0" w:color="auto"/>
      </w:pBdr>
      <w:spacing w:before="100" w:beforeAutospacing="1" w:after="100" w:afterAutospacing="1" w:line="240" w:lineRule="auto"/>
      <w:jc w:val="center"/>
    </w:pPr>
    <w:rPr>
      <w:rFonts w:eastAsia="Times New Roman"/>
      <w:sz w:val="24"/>
      <w:szCs w:val="24"/>
      <w:lang w:eastAsia="en-AU"/>
    </w:rPr>
  </w:style>
  <w:style w:type="paragraph" w:customStyle="1" w:styleId="xl86">
    <w:name w:val="xl86"/>
    <w:basedOn w:val="Normal"/>
    <w:rsid w:val="004A192B"/>
    <w:pPr>
      <w:spacing w:before="100" w:beforeAutospacing="1" w:after="100" w:afterAutospacing="1" w:line="240" w:lineRule="auto"/>
      <w:jc w:val="left"/>
    </w:pPr>
    <w:rPr>
      <w:rFonts w:eastAsia="Times New Roman"/>
      <w:sz w:val="24"/>
      <w:szCs w:val="24"/>
      <w:lang w:eastAsia="en-AU"/>
    </w:rPr>
  </w:style>
  <w:style w:type="paragraph" w:customStyle="1" w:styleId="xl87">
    <w:name w:val="xl87"/>
    <w:basedOn w:val="Normal"/>
    <w:rsid w:val="004A192B"/>
    <w:pPr>
      <w:pBdr>
        <w:left w:val="single" w:sz="4" w:space="0" w:color="auto"/>
        <w:right w:val="single" w:sz="4" w:space="0" w:color="auto"/>
      </w:pBdr>
      <w:spacing w:before="100" w:beforeAutospacing="1" w:after="100" w:afterAutospacing="1" w:line="240" w:lineRule="auto"/>
      <w:jc w:val="left"/>
    </w:pPr>
    <w:rPr>
      <w:rFonts w:eastAsia="Times New Roman"/>
      <w:sz w:val="24"/>
      <w:szCs w:val="24"/>
      <w:lang w:eastAsia="en-AU"/>
    </w:rPr>
  </w:style>
  <w:style w:type="paragraph" w:customStyle="1" w:styleId="xl88">
    <w:name w:val="xl88"/>
    <w:basedOn w:val="Normal"/>
    <w:rsid w:val="004A192B"/>
    <w:pPr>
      <w:spacing w:before="100" w:beforeAutospacing="1" w:after="100" w:afterAutospacing="1" w:line="240" w:lineRule="auto"/>
      <w:jc w:val="center"/>
    </w:pPr>
    <w:rPr>
      <w:rFonts w:eastAsia="Times New Roman"/>
      <w:sz w:val="24"/>
      <w:szCs w:val="24"/>
      <w:lang w:eastAsia="en-AU"/>
    </w:rPr>
  </w:style>
  <w:style w:type="paragraph" w:customStyle="1" w:styleId="xl89">
    <w:name w:val="xl89"/>
    <w:basedOn w:val="Normal"/>
    <w:rsid w:val="004A192B"/>
    <w:pPr>
      <w:pBdr>
        <w:right w:val="single" w:sz="4" w:space="0" w:color="auto"/>
      </w:pBdr>
      <w:spacing w:before="100" w:beforeAutospacing="1" w:after="100" w:afterAutospacing="1" w:line="240" w:lineRule="auto"/>
      <w:jc w:val="left"/>
    </w:pPr>
    <w:rPr>
      <w:rFonts w:eastAsia="Times New Roman"/>
      <w:sz w:val="24"/>
      <w:szCs w:val="24"/>
      <w:lang w:eastAsia="en-AU"/>
    </w:rPr>
  </w:style>
  <w:style w:type="paragraph" w:customStyle="1" w:styleId="xl90">
    <w:name w:val="xl90"/>
    <w:basedOn w:val="Normal"/>
    <w:rsid w:val="004A192B"/>
    <w:pPr>
      <w:pBdr>
        <w:left w:val="single" w:sz="4" w:space="0" w:color="auto"/>
      </w:pBdr>
      <w:spacing w:before="100" w:beforeAutospacing="1" w:after="100" w:afterAutospacing="1" w:line="240" w:lineRule="auto"/>
      <w:jc w:val="left"/>
    </w:pPr>
    <w:rPr>
      <w:rFonts w:eastAsia="Times New Roman"/>
      <w:sz w:val="24"/>
      <w:szCs w:val="24"/>
      <w:lang w:eastAsia="en-AU"/>
    </w:rPr>
  </w:style>
  <w:style w:type="paragraph" w:customStyle="1" w:styleId="xl91">
    <w:name w:val="xl91"/>
    <w:basedOn w:val="Normal"/>
    <w:rsid w:val="004A192B"/>
    <w:pPr>
      <w:pBdr>
        <w:right w:val="single" w:sz="4" w:space="0" w:color="auto"/>
      </w:pBdr>
      <w:spacing w:before="100" w:beforeAutospacing="1" w:after="100" w:afterAutospacing="1" w:line="240" w:lineRule="auto"/>
      <w:jc w:val="center"/>
    </w:pPr>
    <w:rPr>
      <w:rFonts w:eastAsia="Times New Roman"/>
      <w:sz w:val="24"/>
      <w:szCs w:val="24"/>
      <w:lang w:eastAsia="en-AU"/>
    </w:rPr>
  </w:style>
  <w:style w:type="paragraph" w:customStyle="1" w:styleId="xl92">
    <w:name w:val="xl92"/>
    <w:basedOn w:val="Normal"/>
    <w:rsid w:val="004A192B"/>
    <w:pPr>
      <w:spacing w:before="100" w:beforeAutospacing="1" w:after="100" w:afterAutospacing="1" w:line="240" w:lineRule="auto"/>
      <w:jc w:val="left"/>
    </w:pPr>
    <w:rPr>
      <w:rFonts w:eastAsia="Times New Roman"/>
      <w:b/>
      <w:bCs/>
      <w:sz w:val="24"/>
      <w:szCs w:val="24"/>
      <w:u w:val="single"/>
      <w:lang w:eastAsia="en-AU"/>
    </w:rPr>
  </w:style>
  <w:style w:type="paragraph" w:customStyle="1" w:styleId="xl93">
    <w:name w:val="xl93"/>
    <w:basedOn w:val="Normal"/>
    <w:rsid w:val="004A192B"/>
    <w:pPr>
      <w:pBdr>
        <w:left w:val="single" w:sz="4" w:space="0" w:color="auto"/>
      </w:pBdr>
      <w:spacing w:before="100" w:beforeAutospacing="1" w:after="100" w:afterAutospacing="1" w:line="240" w:lineRule="auto"/>
      <w:jc w:val="center"/>
    </w:pPr>
    <w:rPr>
      <w:rFonts w:eastAsia="Times New Roman"/>
      <w:sz w:val="24"/>
      <w:szCs w:val="24"/>
      <w:lang w:eastAsia="en-AU"/>
    </w:rPr>
  </w:style>
  <w:style w:type="paragraph" w:customStyle="1" w:styleId="xl94">
    <w:name w:val="xl94"/>
    <w:basedOn w:val="Normal"/>
    <w:rsid w:val="004A192B"/>
    <w:pPr>
      <w:pBdr>
        <w:bottom w:val="single" w:sz="4" w:space="0" w:color="auto"/>
      </w:pBdr>
      <w:spacing w:before="100" w:beforeAutospacing="1" w:after="100" w:afterAutospacing="1" w:line="240" w:lineRule="auto"/>
      <w:jc w:val="left"/>
    </w:pPr>
    <w:rPr>
      <w:rFonts w:eastAsia="Times New Roman"/>
      <w:sz w:val="24"/>
      <w:szCs w:val="24"/>
      <w:lang w:eastAsia="en-AU"/>
    </w:rPr>
  </w:style>
  <w:style w:type="paragraph" w:customStyle="1" w:styleId="xl95">
    <w:name w:val="xl95"/>
    <w:basedOn w:val="Normal"/>
    <w:rsid w:val="004A192B"/>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4"/>
      <w:szCs w:val="24"/>
      <w:lang w:eastAsia="en-AU"/>
    </w:rPr>
  </w:style>
  <w:style w:type="paragraph" w:customStyle="1" w:styleId="xl96">
    <w:name w:val="xl96"/>
    <w:basedOn w:val="Normal"/>
    <w:rsid w:val="004A192B"/>
    <w:pPr>
      <w:spacing w:before="100" w:beforeAutospacing="1" w:after="100" w:afterAutospacing="1" w:line="240" w:lineRule="auto"/>
      <w:jc w:val="center"/>
      <w:textAlignment w:val="top"/>
    </w:pPr>
    <w:rPr>
      <w:rFonts w:eastAsia="Times New Roman"/>
      <w:sz w:val="24"/>
      <w:szCs w:val="24"/>
      <w:lang w:eastAsia="en-AU"/>
    </w:rPr>
  </w:style>
  <w:style w:type="paragraph" w:customStyle="1" w:styleId="xl97">
    <w:name w:val="xl97"/>
    <w:basedOn w:val="Normal"/>
    <w:rsid w:val="004A192B"/>
    <w:pPr>
      <w:pBdr>
        <w:bottom w:val="single" w:sz="4" w:space="0" w:color="auto"/>
      </w:pBdr>
      <w:spacing w:before="100" w:beforeAutospacing="1" w:after="100" w:afterAutospacing="1" w:line="240" w:lineRule="auto"/>
      <w:jc w:val="center"/>
    </w:pPr>
    <w:rPr>
      <w:rFonts w:eastAsia="Times New Roman"/>
      <w:sz w:val="24"/>
      <w:szCs w:val="24"/>
      <w:lang w:eastAsia="en-AU"/>
    </w:rPr>
  </w:style>
  <w:style w:type="paragraph" w:customStyle="1" w:styleId="xl98">
    <w:name w:val="xl98"/>
    <w:basedOn w:val="Normal"/>
    <w:rsid w:val="004A192B"/>
    <w:pPr>
      <w:spacing w:before="100" w:beforeAutospacing="1" w:after="100" w:afterAutospacing="1" w:line="240" w:lineRule="auto"/>
      <w:jc w:val="left"/>
    </w:pPr>
    <w:rPr>
      <w:rFonts w:eastAsia="Times New Roman"/>
      <w:sz w:val="24"/>
      <w:szCs w:val="24"/>
      <w:lang w:eastAsia="en-AU"/>
    </w:rPr>
  </w:style>
  <w:style w:type="paragraph" w:customStyle="1" w:styleId="xl99">
    <w:name w:val="xl99"/>
    <w:basedOn w:val="Normal"/>
    <w:rsid w:val="004A192B"/>
    <w:pPr>
      <w:spacing w:before="100" w:beforeAutospacing="1" w:after="100" w:afterAutospacing="1" w:line="240" w:lineRule="auto"/>
      <w:jc w:val="left"/>
      <w:textAlignment w:val="top"/>
    </w:pPr>
    <w:rPr>
      <w:rFonts w:eastAsia="Times New Roman"/>
      <w:sz w:val="24"/>
      <w:szCs w:val="24"/>
      <w:lang w:eastAsia="en-AU"/>
    </w:rPr>
  </w:style>
  <w:style w:type="paragraph" w:customStyle="1" w:styleId="xl100">
    <w:name w:val="xl100"/>
    <w:basedOn w:val="Normal"/>
    <w:rsid w:val="004A192B"/>
    <w:pPr>
      <w:spacing w:before="100" w:beforeAutospacing="1" w:after="100" w:afterAutospacing="1" w:line="240" w:lineRule="auto"/>
      <w:jc w:val="left"/>
    </w:pPr>
    <w:rPr>
      <w:rFonts w:eastAsia="Times New Roman"/>
      <w:color w:val="9C6500"/>
      <w:sz w:val="24"/>
      <w:szCs w:val="24"/>
      <w:lang w:eastAsia="en-AU"/>
    </w:rPr>
  </w:style>
  <w:style w:type="paragraph" w:customStyle="1" w:styleId="xl101">
    <w:name w:val="xl101"/>
    <w:basedOn w:val="Normal"/>
    <w:rsid w:val="004A192B"/>
    <w:pPr>
      <w:pBdr>
        <w:right w:val="single" w:sz="4" w:space="0" w:color="auto"/>
      </w:pBdr>
      <w:spacing w:before="100" w:beforeAutospacing="1" w:after="100" w:afterAutospacing="1" w:line="240" w:lineRule="auto"/>
      <w:jc w:val="left"/>
      <w:textAlignment w:val="center"/>
    </w:pPr>
    <w:rPr>
      <w:rFonts w:eastAsia="Times New Roman"/>
      <w:sz w:val="24"/>
      <w:szCs w:val="24"/>
      <w:lang w:eastAsia="en-AU"/>
    </w:rPr>
  </w:style>
  <w:style w:type="paragraph" w:customStyle="1" w:styleId="xl102">
    <w:name w:val="xl102"/>
    <w:basedOn w:val="Normal"/>
    <w:rsid w:val="004A192B"/>
    <w:pPr>
      <w:spacing w:before="100" w:beforeAutospacing="1" w:after="100" w:afterAutospacing="1" w:line="240" w:lineRule="auto"/>
      <w:jc w:val="left"/>
      <w:textAlignment w:val="top"/>
    </w:pPr>
    <w:rPr>
      <w:rFonts w:eastAsia="Times New Roman"/>
      <w:sz w:val="24"/>
      <w:szCs w:val="24"/>
      <w:lang w:eastAsia="en-AU"/>
    </w:rPr>
  </w:style>
  <w:style w:type="paragraph" w:customStyle="1" w:styleId="xl103">
    <w:name w:val="xl103"/>
    <w:basedOn w:val="Normal"/>
    <w:rsid w:val="004A192B"/>
    <w:pPr>
      <w:pBdr>
        <w:right w:val="single" w:sz="4" w:space="0" w:color="auto"/>
      </w:pBdr>
      <w:spacing w:before="100" w:beforeAutospacing="1" w:after="100" w:afterAutospacing="1" w:line="240" w:lineRule="auto"/>
      <w:jc w:val="left"/>
      <w:textAlignment w:val="center"/>
    </w:pPr>
    <w:rPr>
      <w:rFonts w:eastAsia="Times New Roman"/>
      <w:sz w:val="24"/>
      <w:szCs w:val="24"/>
      <w:lang w:eastAsia="en-AU"/>
    </w:rPr>
  </w:style>
  <w:style w:type="paragraph" w:customStyle="1" w:styleId="xl104">
    <w:name w:val="xl104"/>
    <w:basedOn w:val="Normal"/>
    <w:rsid w:val="004A192B"/>
    <w:pPr>
      <w:spacing w:before="100" w:beforeAutospacing="1" w:after="100" w:afterAutospacing="1" w:line="240" w:lineRule="auto"/>
      <w:jc w:val="center"/>
    </w:pPr>
    <w:rPr>
      <w:rFonts w:eastAsia="Times New Roman"/>
      <w:color w:val="9C6500"/>
      <w:sz w:val="24"/>
      <w:szCs w:val="24"/>
      <w:lang w:eastAsia="en-AU"/>
    </w:rPr>
  </w:style>
  <w:style w:type="paragraph" w:customStyle="1" w:styleId="xl105">
    <w:name w:val="xl105"/>
    <w:basedOn w:val="Normal"/>
    <w:rsid w:val="004A192B"/>
    <w:pPr>
      <w:pBdr>
        <w:left w:val="single" w:sz="4" w:space="0" w:color="auto"/>
      </w:pBdr>
      <w:spacing w:before="100" w:beforeAutospacing="1" w:after="100" w:afterAutospacing="1" w:line="240" w:lineRule="auto"/>
      <w:jc w:val="left"/>
    </w:pPr>
    <w:rPr>
      <w:rFonts w:eastAsia="Times New Roman"/>
      <w:color w:val="9C6500"/>
      <w:sz w:val="24"/>
      <w:szCs w:val="24"/>
      <w:lang w:eastAsia="en-AU"/>
    </w:rPr>
  </w:style>
  <w:style w:type="paragraph" w:customStyle="1" w:styleId="xl106">
    <w:name w:val="xl106"/>
    <w:basedOn w:val="Normal"/>
    <w:rsid w:val="004A192B"/>
    <w:pPr>
      <w:pBdr>
        <w:left w:val="single" w:sz="4" w:space="0" w:color="auto"/>
        <w:right w:val="single" w:sz="4" w:space="0" w:color="auto"/>
      </w:pBdr>
      <w:spacing w:before="100" w:beforeAutospacing="1" w:after="100" w:afterAutospacing="1" w:line="240" w:lineRule="auto"/>
      <w:jc w:val="left"/>
    </w:pPr>
    <w:rPr>
      <w:rFonts w:eastAsia="Times New Roman"/>
      <w:color w:val="9C6500"/>
      <w:sz w:val="24"/>
      <w:szCs w:val="24"/>
      <w:lang w:eastAsia="en-AU"/>
    </w:rPr>
  </w:style>
  <w:style w:type="paragraph" w:customStyle="1" w:styleId="xl107">
    <w:name w:val="xl107"/>
    <w:basedOn w:val="Normal"/>
    <w:rsid w:val="004A192B"/>
    <w:pPr>
      <w:spacing w:before="100" w:beforeAutospacing="1" w:after="100" w:afterAutospacing="1" w:line="240" w:lineRule="auto"/>
      <w:jc w:val="center"/>
    </w:pPr>
    <w:rPr>
      <w:rFonts w:eastAsia="Times New Roman"/>
      <w:sz w:val="24"/>
      <w:szCs w:val="24"/>
      <w:lang w:eastAsia="en-AU"/>
    </w:rPr>
  </w:style>
  <w:style w:type="paragraph" w:customStyle="1" w:styleId="xl108">
    <w:name w:val="xl108"/>
    <w:basedOn w:val="Normal"/>
    <w:rsid w:val="004A192B"/>
    <w:pPr>
      <w:pBdr>
        <w:left w:val="single" w:sz="4" w:space="0" w:color="auto"/>
        <w:right w:val="single" w:sz="4" w:space="0" w:color="auto"/>
      </w:pBdr>
      <w:spacing w:before="100" w:beforeAutospacing="1" w:after="100" w:afterAutospacing="1" w:line="240" w:lineRule="auto"/>
      <w:jc w:val="left"/>
    </w:pPr>
    <w:rPr>
      <w:rFonts w:eastAsia="Times New Roman"/>
      <w:sz w:val="24"/>
      <w:szCs w:val="24"/>
      <w:lang w:eastAsia="en-AU"/>
    </w:rPr>
  </w:style>
  <w:style w:type="paragraph" w:customStyle="1" w:styleId="xl109">
    <w:name w:val="xl109"/>
    <w:basedOn w:val="Normal"/>
    <w:rsid w:val="004A192B"/>
    <w:pPr>
      <w:pBdr>
        <w:left w:val="single" w:sz="4" w:space="0" w:color="auto"/>
        <w:right w:val="single" w:sz="4" w:space="0" w:color="auto"/>
      </w:pBdr>
      <w:spacing w:before="100" w:beforeAutospacing="1" w:after="100" w:afterAutospacing="1" w:line="240" w:lineRule="auto"/>
      <w:jc w:val="center"/>
    </w:pPr>
    <w:rPr>
      <w:rFonts w:eastAsia="Times New Roman"/>
      <w:color w:val="9C6500"/>
      <w:sz w:val="24"/>
      <w:szCs w:val="24"/>
      <w:lang w:eastAsia="en-AU"/>
    </w:rPr>
  </w:style>
  <w:style w:type="paragraph" w:customStyle="1" w:styleId="xl110">
    <w:name w:val="xl110"/>
    <w:basedOn w:val="Normal"/>
    <w:rsid w:val="004A192B"/>
    <w:pPr>
      <w:pBdr>
        <w:left w:val="single" w:sz="4" w:space="0" w:color="auto"/>
        <w:right w:val="single" w:sz="4" w:space="0" w:color="auto"/>
      </w:pBdr>
      <w:spacing w:before="100" w:beforeAutospacing="1" w:after="100" w:afterAutospacing="1" w:line="240" w:lineRule="auto"/>
      <w:jc w:val="left"/>
    </w:pPr>
    <w:rPr>
      <w:rFonts w:eastAsia="Times New Roman"/>
      <w:sz w:val="24"/>
      <w:szCs w:val="24"/>
      <w:lang w:eastAsia="en-AU"/>
    </w:rPr>
  </w:style>
  <w:style w:type="paragraph" w:customStyle="1" w:styleId="xl111">
    <w:name w:val="xl111"/>
    <w:basedOn w:val="Normal"/>
    <w:rsid w:val="004A192B"/>
    <w:pPr>
      <w:pBdr>
        <w:left w:val="single" w:sz="4" w:space="0" w:color="auto"/>
        <w:right w:val="single" w:sz="4" w:space="0" w:color="auto"/>
      </w:pBdr>
      <w:spacing w:before="100" w:beforeAutospacing="1" w:after="100" w:afterAutospacing="1" w:line="240" w:lineRule="auto"/>
      <w:jc w:val="left"/>
      <w:textAlignment w:val="top"/>
    </w:pPr>
    <w:rPr>
      <w:rFonts w:eastAsia="Times New Roman"/>
      <w:sz w:val="24"/>
      <w:szCs w:val="24"/>
      <w:lang w:eastAsia="en-AU"/>
    </w:rPr>
  </w:style>
  <w:style w:type="paragraph" w:customStyle="1" w:styleId="xl112">
    <w:name w:val="xl112"/>
    <w:basedOn w:val="Normal"/>
    <w:rsid w:val="004A192B"/>
    <w:pPr>
      <w:pBdr>
        <w:left w:val="single" w:sz="4" w:space="0" w:color="auto"/>
        <w:right w:val="single" w:sz="4" w:space="0" w:color="auto"/>
      </w:pBdr>
      <w:spacing w:before="100" w:beforeAutospacing="1" w:after="100" w:afterAutospacing="1" w:line="240" w:lineRule="auto"/>
      <w:jc w:val="left"/>
      <w:textAlignment w:val="top"/>
    </w:pPr>
    <w:rPr>
      <w:rFonts w:eastAsia="Times New Roman"/>
      <w:b/>
      <w:bCs/>
      <w:sz w:val="24"/>
      <w:szCs w:val="24"/>
      <w:lang w:eastAsia="en-AU"/>
    </w:rPr>
  </w:style>
  <w:style w:type="paragraph" w:customStyle="1" w:styleId="xl113">
    <w:name w:val="xl113"/>
    <w:basedOn w:val="Normal"/>
    <w:rsid w:val="004A192B"/>
    <w:pPr>
      <w:pBdr>
        <w:left w:val="single" w:sz="4" w:space="0" w:color="auto"/>
        <w:right w:val="single" w:sz="4" w:space="0" w:color="auto"/>
      </w:pBdr>
      <w:spacing w:before="100" w:beforeAutospacing="1" w:after="100" w:afterAutospacing="1" w:line="240" w:lineRule="auto"/>
      <w:jc w:val="left"/>
      <w:textAlignment w:val="top"/>
    </w:pPr>
    <w:rPr>
      <w:rFonts w:eastAsia="Times New Roman"/>
      <w:b/>
      <w:bCs/>
      <w:sz w:val="24"/>
      <w:szCs w:val="24"/>
      <w:u w:val="single"/>
      <w:lang w:eastAsia="en-AU"/>
    </w:rPr>
  </w:style>
  <w:style w:type="paragraph" w:customStyle="1" w:styleId="xl114">
    <w:name w:val="xl114"/>
    <w:basedOn w:val="Normal"/>
    <w:rsid w:val="004A192B"/>
    <w:pPr>
      <w:pBdr>
        <w:left w:val="single" w:sz="4" w:space="0" w:color="auto"/>
      </w:pBdr>
      <w:spacing w:before="100" w:beforeAutospacing="1" w:after="100" w:afterAutospacing="1" w:line="240" w:lineRule="auto"/>
      <w:jc w:val="left"/>
      <w:textAlignment w:val="top"/>
    </w:pPr>
    <w:rPr>
      <w:rFonts w:eastAsia="Times New Roman"/>
      <w:sz w:val="24"/>
      <w:szCs w:val="24"/>
      <w:lang w:eastAsia="en-AU"/>
    </w:rPr>
  </w:style>
  <w:style w:type="paragraph" w:customStyle="1" w:styleId="xl115">
    <w:name w:val="xl115"/>
    <w:basedOn w:val="Normal"/>
    <w:rsid w:val="004A192B"/>
    <w:pPr>
      <w:pBdr>
        <w:left w:val="single" w:sz="4" w:space="0" w:color="auto"/>
        <w:right w:val="single" w:sz="4" w:space="0" w:color="auto"/>
      </w:pBdr>
      <w:spacing w:before="100" w:beforeAutospacing="1" w:after="100" w:afterAutospacing="1" w:line="240" w:lineRule="auto"/>
      <w:jc w:val="left"/>
      <w:textAlignment w:val="top"/>
    </w:pPr>
    <w:rPr>
      <w:rFonts w:eastAsia="Times New Roman"/>
      <w:i/>
      <w:iCs/>
      <w:sz w:val="24"/>
      <w:szCs w:val="24"/>
      <w:lang w:eastAsia="en-AU"/>
    </w:rPr>
  </w:style>
  <w:style w:type="paragraph" w:customStyle="1" w:styleId="xl116">
    <w:name w:val="xl116"/>
    <w:basedOn w:val="Normal"/>
    <w:rsid w:val="004A192B"/>
    <w:pPr>
      <w:pBdr>
        <w:left w:val="single" w:sz="4" w:space="0" w:color="auto"/>
        <w:right w:val="single" w:sz="4" w:space="0" w:color="auto"/>
      </w:pBdr>
      <w:spacing w:before="100" w:beforeAutospacing="1" w:after="100" w:afterAutospacing="1" w:line="240" w:lineRule="auto"/>
      <w:jc w:val="left"/>
      <w:textAlignment w:val="top"/>
    </w:pPr>
    <w:rPr>
      <w:rFonts w:eastAsia="Times New Roman"/>
      <w:sz w:val="24"/>
      <w:szCs w:val="24"/>
      <w:lang w:eastAsia="en-AU"/>
    </w:rPr>
  </w:style>
  <w:style w:type="paragraph" w:customStyle="1" w:styleId="xl117">
    <w:name w:val="xl117"/>
    <w:basedOn w:val="Normal"/>
    <w:rsid w:val="004A192B"/>
    <w:pPr>
      <w:pBdr>
        <w:left w:val="single" w:sz="4" w:space="0" w:color="auto"/>
        <w:right w:val="single" w:sz="4" w:space="0" w:color="auto"/>
      </w:pBdr>
      <w:spacing w:before="100" w:beforeAutospacing="1" w:after="100" w:afterAutospacing="1" w:line="240" w:lineRule="auto"/>
      <w:jc w:val="left"/>
      <w:textAlignment w:val="top"/>
    </w:pPr>
    <w:rPr>
      <w:rFonts w:eastAsia="Times New Roman"/>
      <w:b/>
      <w:bCs/>
      <w:sz w:val="24"/>
      <w:szCs w:val="24"/>
      <w:u w:val="single"/>
      <w:lang w:eastAsia="en-AU"/>
    </w:rPr>
  </w:style>
  <w:style w:type="paragraph" w:customStyle="1" w:styleId="xl118">
    <w:name w:val="xl118"/>
    <w:basedOn w:val="Normal"/>
    <w:rsid w:val="004A192B"/>
    <w:pPr>
      <w:spacing w:before="100" w:beforeAutospacing="1" w:after="100" w:afterAutospacing="1" w:line="240" w:lineRule="auto"/>
      <w:jc w:val="left"/>
    </w:pPr>
    <w:rPr>
      <w:rFonts w:eastAsia="Times New Roman"/>
      <w:sz w:val="24"/>
      <w:szCs w:val="24"/>
      <w:lang w:eastAsia="en-AU"/>
    </w:rPr>
  </w:style>
  <w:style w:type="paragraph" w:customStyle="1" w:styleId="xl119">
    <w:name w:val="xl119"/>
    <w:basedOn w:val="Normal"/>
    <w:rsid w:val="004A192B"/>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24"/>
      <w:szCs w:val="24"/>
      <w:lang w:eastAsia="en-AU"/>
    </w:rPr>
  </w:style>
  <w:style w:type="paragraph" w:customStyle="1" w:styleId="xl120">
    <w:name w:val="xl120"/>
    <w:basedOn w:val="Normal"/>
    <w:rsid w:val="004A192B"/>
    <w:pPr>
      <w:pBdr>
        <w:left w:val="single" w:sz="4" w:space="0" w:color="auto"/>
        <w:right w:val="single" w:sz="4" w:space="0" w:color="auto"/>
      </w:pBdr>
      <w:spacing w:before="100" w:beforeAutospacing="1" w:after="100" w:afterAutospacing="1" w:line="240" w:lineRule="auto"/>
      <w:jc w:val="center"/>
    </w:pPr>
    <w:rPr>
      <w:rFonts w:eastAsia="Times New Roman"/>
      <w:b/>
      <w:bCs/>
      <w:sz w:val="24"/>
      <w:szCs w:val="24"/>
      <w:u w:val="single"/>
      <w:lang w:eastAsia="en-AU"/>
    </w:rPr>
  </w:style>
  <w:style w:type="paragraph" w:customStyle="1" w:styleId="xl121">
    <w:name w:val="xl121"/>
    <w:basedOn w:val="Normal"/>
    <w:rsid w:val="004A192B"/>
    <w:pPr>
      <w:spacing w:before="100" w:beforeAutospacing="1" w:after="100" w:afterAutospacing="1" w:line="240" w:lineRule="auto"/>
      <w:jc w:val="center"/>
    </w:pPr>
    <w:rPr>
      <w:rFonts w:eastAsia="Times New Roman"/>
      <w:i/>
      <w:iCs/>
      <w:sz w:val="24"/>
      <w:szCs w:val="24"/>
      <w:lang w:eastAsia="en-AU"/>
    </w:rPr>
  </w:style>
  <w:style w:type="paragraph" w:customStyle="1" w:styleId="xl122">
    <w:name w:val="xl122"/>
    <w:basedOn w:val="Normal"/>
    <w:rsid w:val="004A192B"/>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en-AU"/>
    </w:rPr>
  </w:style>
  <w:style w:type="paragraph" w:customStyle="1" w:styleId="xl123">
    <w:name w:val="xl123"/>
    <w:basedOn w:val="Normal"/>
    <w:rsid w:val="004A192B"/>
    <w:pPr>
      <w:pBdr>
        <w:left w:val="single" w:sz="4" w:space="0" w:color="auto"/>
      </w:pBdr>
      <w:spacing w:before="100" w:beforeAutospacing="1" w:after="100" w:afterAutospacing="1" w:line="240" w:lineRule="auto"/>
      <w:jc w:val="center"/>
    </w:pPr>
    <w:rPr>
      <w:rFonts w:eastAsia="Times New Roman"/>
      <w:color w:val="9C6500"/>
      <w:sz w:val="24"/>
      <w:szCs w:val="24"/>
      <w:lang w:eastAsia="en-AU"/>
    </w:rPr>
  </w:style>
  <w:style w:type="paragraph" w:customStyle="1" w:styleId="xl124">
    <w:name w:val="xl124"/>
    <w:basedOn w:val="Normal"/>
    <w:rsid w:val="004A192B"/>
    <w:pPr>
      <w:pBdr>
        <w:left w:val="single" w:sz="4" w:space="0" w:color="auto"/>
        <w:right w:val="single" w:sz="4" w:space="0" w:color="auto"/>
      </w:pBdr>
      <w:spacing w:before="100" w:beforeAutospacing="1" w:after="100" w:afterAutospacing="1" w:line="240" w:lineRule="auto"/>
      <w:jc w:val="center"/>
    </w:pPr>
    <w:rPr>
      <w:rFonts w:eastAsia="Times New Roman"/>
      <w:sz w:val="24"/>
      <w:szCs w:val="24"/>
      <w:lang w:eastAsia="en-AU"/>
    </w:rPr>
  </w:style>
  <w:style w:type="paragraph" w:customStyle="1" w:styleId="xl125">
    <w:name w:val="xl125"/>
    <w:basedOn w:val="Normal"/>
    <w:rsid w:val="004A192B"/>
    <w:pPr>
      <w:pBdr>
        <w:top w:val="single" w:sz="4" w:space="0" w:color="auto"/>
        <w:left w:val="single" w:sz="4" w:space="0" w:color="auto"/>
        <w:right w:val="single" w:sz="4" w:space="0" w:color="auto"/>
      </w:pBdr>
      <w:shd w:val="clear" w:color="000000" w:fill="D0CECE"/>
      <w:spacing w:before="100" w:beforeAutospacing="1" w:after="100" w:afterAutospacing="1" w:line="240" w:lineRule="auto"/>
      <w:jc w:val="left"/>
    </w:pPr>
    <w:rPr>
      <w:rFonts w:eastAsia="Times New Roman"/>
      <w:b/>
      <w:bCs/>
      <w:sz w:val="24"/>
      <w:szCs w:val="24"/>
      <w:lang w:eastAsia="en-AU"/>
    </w:rPr>
  </w:style>
  <w:style w:type="paragraph" w:customStyle="1" w:styleId="xl126">
    <w:name w:val="xl126"/>
    <w:basedOn w:val="Normal"/>
    <w:rsid w:val="004A192B"/>
    <w:pPr>
      <w:pBdr>
        <w:top w:val="single" w:sz="4" w:space="0" w:color="auto"/>
        <w:left w:val="single" w:sz="4" w:space="0" w:color="auto"/>
        <w:right w:val="single" w:sz="4" w:space="0" w:color="auto"/>
      </w:pBdr>
      <w:shd w:val="clear" w:color="000000" w:fill="D0CECE"/>
      <w:spacing w:before="100" w:beforeAutospacing="1" w:after="100" w:afterAutospacing="1" w:line="240" w:lineRule="auto"/>
      <w:jc w:val="center"/>
    </w:pPr>
    <w:rPr>
      <w:rFonts w:eastAsia="Times New Roman"/>
      <w:b/>
      <w:bCs/>
      <w:sz w:val="24"/>
      <w:szCs w:val="24"/>
      <w:lang w:eastAsia="en-AU"/>
    </w:rPr>
  </w:style>
  <w:style w:type="paragraph" w:customStyle="1" w:styleId="xl127">
    <w:name w:val="xl127"/>
    <w:basedOn w:val="Normal"/>
    <w:rsid w:val="004A192B"/>
    <w:pPr>
      <w:pBdr>
        <w:left w:val="single" w:sz="4" w:space="0" w:color="auto"/>
        <w:bottom w:val="single" w:sz="4" w:space="0" w:color="auto"/>
        <w:right w:val="single" w:sz="4" w:space="0" w:color="auto"/>
      </w:pBdr>
      <w:shd w:val="clear" w:color="000000" w:fill="D0CECE"/>
      <w:spacing w:before="100" w:beforeAutospacing="1" w:after="100" w:afterAutospacing="1" w:line="240" w:lineRule="auto"/>
      <w:jc w:val="left"/>
    </w:pPr>
    <w:rPr>
      <w:rFonts w:eastAsia="Times New Roman"/>
      <w:sz w:val="24"/>
      <w:szCs w:val="24"/>
      <w:lang w:eastAsia="en-AU"/>
    </w:rPr>
  </w:style>
  <w:style w:type="paragraph" w:customStyle="1" w:styleId="xl128">
    <w:name w:val="xl128"/>
    <w:basedOn w:val="Normal"/>
    <w:rsid w:val="004A192B"/>
    <w:pPr>
      <w:pBdr>
        <w:left w:val="single" w:sz="4" w:space="0" w:color="auto"/>
        <w:bottom w:val="single" w:sz="4" w:space="0" w:color="auto"/>
        <w:right w:val="single" w:sz="4" w:space="0" w:color="auto"/>
      </w:pBdr>
      <w:shd w:val="clear" w:color="000000" w:fill="D0CECE"/>
      <w:spacing w:before="100" w:beforeAutospacing="1" w:after="100" w:afterAutospacing="1" w:line="240" w:lineRule="auto"/>
      <w:jc w:val="center"/>
      <w:textAlignment w:val="top"/>
    </w:pPr>
    <w:rPr>
      <w:rFonts w:eastAsia="Times New Roman"/>
      <w:sz w:val="24"/>
      <w:szCs w:val="24"/>
      <w:lang w:eastAsia="en-AU"/>
    </w:rPr>
  </w:style>
  <w:style w:type="paragraph" w:customStyle="1" w:styleId="xl129">
    <w:name w:val="xl129"/>
    <w:basedOn w:val="Normal"/>
    <w:rsid w:val="004A192B"/>
    <w:pPr>
      <w:pBdr>
        <w:left w:val="single" w:sz="4" w:space="0" w:color="auto"/>
        <w:bottom w:val="single" w:sz="4" w:space="0" w:color="auto"/>
        <w:right w:val="single" w:sz="4" w:space="0" w:color="auto"/>
      </w:pBdr>
      <w:shd w:val="clear" w:color="000000" w:fill="D0CECE"/>
      <w:spacing w:before="100" w:beforeAutospacing="1" w:after="100" w:afterAutospacing="1" w:line="240" w:lineRule="auto"/>
      <w:jc w:val="left"/>
      <w:textAlignment w:val="top"/>
    </w:pPr>
    <w:rPr>
      <w:rFonts w:eastAsia="Times New Roman"/>
      <w:sz w:val="24"/>
      <w:szCs w:val="24"/>
      <w:lang w:eastAsia="en-AU"/>
    </w:rPr>
  </w:style>
  <w:style w:type="paragraph" w:customStyle="1" w:styleId="xl130">
    <w:name w:val="xl130"/>
    <w:basedOn w:val="Normal"/>
    <w:rsid w:val="004A192B"/>
    <w:pPr>
      <w:pBdr>
        <w:bottom w:val="single" w:sz="4" w:space="0" w:color="auto"/>
      </w:pBdr>
      <w:shd w:val="clear" w:color="000000" w:fill="D0CECE"/>
      <w:spacing w:before="100" w:beforeAutospacing="1" w:after="100" w:afterAutospacing="1" w:line="240" w:lineRule="auto"/>
      <w:jc w:val="left"/>
      <w:textAlignment w:val="top"/>
    </w:pPr>
    <w:rPr>
      <w:rFonts w:eastAsia="Times New Roman"/>
      <w:sz w:val="24"/>
      <w:szCs w:val="24"/>
      <w:lang w:eastAsia="en-AU"/>
    </w:rPr>
  </w:style>
  <w:style w:type="paragraph" w:customStyle="1" w:styleId="xl131">
    <w:name w:val="xl131"/>
    <w:basedOn w:val="Normal"/>
    <w:rsid w:val="004A192B"/>
    <w:pPr>
      <w:pBdr>
        <w:left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lang w:eastAsia="en-AU"/>
    </w:rPr>
  </w:style>
  <w:style w:type="paragraph" w:customStyle="1" w:styleId="xl132">
    <w:name w:val="xl132"/>
    <w:basedOn w:val="Normal"/>
    <w:rsid w:val="004A192B"/>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133">
    <w:name w:val="xl133"/>
    <w:basedOn w:val="Normal"/>
    <w:rsid w:val="004A192B"/>
    <w:pPr>
      <w:pBdr>
        <w:left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lang w:eastAsia="en-AU"/>
    </w:rPr>
  </w:style>
  <w:style w:type="paragraph" w:customStyle="1" w:styleId="xl134">
    <w:name w:val="xl134"/>
    <w:basedOn w:val="Normal"/>
    <w:rsid w:val="004A192B"/>
    <w:pPr>
      <w:pBdr>
        <w:right w:val="single" w:sz="4" w:space="0" w:color="auto"/>
      </w:pBdr>
      <w:spacing w:before="100" w:beforeAutospacing="1" w:after="100" w:afterAutospacing="1" w:line="240" w:lineRule="auto"/>
      <w:jc w:val="left"/>
      <w:textAlignment w:val="top"/>
    </w:pPr>
    <w:rPr>
      <w:rFonts w:eastAsia="Times New Roman"/>
      <w:sz w:val="24"/>
      <w:szCs w:val="24"/>
      <w:lang w:eastAsia="en-AU"/>
    </w:rPr>
  </w:style>
  <w:style w:type="paragraph" w:customStyle="1" w:styleId="xl135">
    <w:name w:val="xl135"/>
    <w:basedOn w:val="Normal"/>
    <w:rsid w:val="004A192B"/>
    <w:pPr>
      <w:pBdr>
        <w:right w:val="single" w:sz="4" w:space="0" w:color="auto"/>
      </w:pBdr>
      <w:spacing w:before="100" w:beforeAutospacing="1" w:after="100" w:afterAutospacing="1" w:line="240" w:lineRule="auto"/>
      <w:jc w:val="left"/>
    </w:pPr>
    <w:rPr>
      <w:rFonts w:eastAsia="Times New Roman"/>
      <w:sz w:val="24"/>
      <w:szCs w:val="24"/>
      <w:lang w:eastAsia="en-AU"/>
    </w:rPr>
  </w:style>
  <w:style w:type="paragraph" w:customStyle="1" w:styleId="xl136">
    <w:name w:val="xl136"/>
    <w:basedOn w:val="Normal"/>
    <w:rsid w:val="004A192B"/>
    <w:pPr>
      <w:pBdr>
        <w:left w:val="single" w:sz="4" w:space="0" w:color="auto"/>
      </w:pBdr>
      <w:spacing w:before="100" w:beforeAutospacing="1" w:after="100" w:afterAutospacing="1" w:line="240" w:lineRule="auto"/>
      <w:jc w:val="left"/>
      <w:textAlignment w:val="top"/>
    </w:pPr>
    <w:rPr>
      <w:rFonts w:eastAsia="Times New Roman"/>
      <w:i/>
      <w:iCs/>
      <w:sz w:val="24"/>
      <w:szCs w:val="24"/>
      <w:lang w:eastAsia="en-AU"/>
    </w:rPr>
  </w:style>
  <w:style w:type="paragraph" w:customStyle="1" w:styleId="xl137">
    <w:name w:val="xl137"/>
    <w:basedOn w:val="Normal"/>
    <w:rsid w:val="004A192B"/>
    <w:pPr>
      <w:pBdr>
        <w:right w:val="single" w:sz="4" w:space="0" w:color="auto"/>
      </w:pBdr>
      <w:spacing w:before="100" w:beforeAutospacing="1" w:after="100" w:afterAutospacing="1" w:line="240" w:lineRule="auto"/>
      <w:jc w:val="left"/>
    </w:pPr>
    <w:rPr>
      <w:rFonts w:eastAsia="Times New Roman"/>
      <w:color w:val="9C6500"/>
      <w:sz w:val="24"/>
      <w:szCs w:val="24"/>
      <w:lang w:eastAsia="en-AU"/>
    </w:rPr>
  </w:style>
  <w:style w:type="paragraph" w:customStyle="1" w:styleId="xl138">
    <w:name w:val="xl138"/>
    <w:basedOn w:val="Normal"/>
    <w:rsid w:val="004A192B"/>
    <w:pPr>
      <w:pBdr>
        <w:right w:val="single" w:sz="4" w:space="0" w:color="auto"/>
      </w:pBdr>
      <w:spacing w:before="100" w:beforeAutospacing="1" w:after="100" w:afterAutospacing="1" w:line="240" w:lineRule="auto"/>
      <w:jc w:val="left"/>
    </w:pPr>
    <w:rPr>
      <w:rFonts w:eastAsia="Times New Roman"/>
      <w:sz w:val="24"/>
      <w:szCs w:val="24"/>
      <w:lang w:eastAsia="en-AU"/>
    </w:rPr>
  </w:style>
  <w:style w:type="paragraph" w:customStyle="1" w:styleId="xl139">
    <w:name w:val="xl139"/>
    <w:basedOn w:val="Normal"/>
    <w:rsid w:val="004A192B"/>
    <w:pPr>
      <w:spacing w:before="100" w:beforeAutospacing="1" w:after="100" w:afterAutospacing="1" w:line="240" w:lineRule="auto"/>
      <w:jc w:val="center"/>
    </w:pPr>
    <w:rPr>
      <w:rFonts w:eastAsia="Times New Roman"/>
      <w:sz w:val="24"/>
      <w:szCs w:val="24"/>
      <w:lang w:eastAsia="en-AU"/>
    </w:rPr>
  </w:style>
  <w:style w:type="paragraph" w:customStyle="1" w:styleId="xl140">
    <w:name w:val="xl140"/>
    <w:basedOn w:val="Normal"/>
    <w:rsid w:val="004A19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b/>
      <w:bCs/>
      <w:sz w:val="24"/>
      <w:szCs w:val="24"/>
      <w:lang w:eastAsia="en-AU"/>
    </w:rPr>
  </w:style>
  <w:style w:type="paragraph" w:customStyle="1" w:styleId="xl141">
    <w:name w:val="xl141"/>
    <w:basedOn w:val="Normal"/>
    <w:rsid w:val="004A192B"/>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b/>
      <w:bCs/>
      <w:sz w:val="24"/>
      <w:szCs w:val="24"/>
      <w:lang w:eastAsia="en-AU"/>
    </w:rPr>
  </w:style>
  <w:style w:type="paragraph" w:customStyle="1" w:styleId="xl142">
    <w:name w:val="xl142"/>
    <w:basedOn w:val="Normal"/>
    <w:rsid w:val="004A192B"/>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eastAsia="Times New Roman"/>
      <w:b/>
      <w:bCs/>
      <w:sz w:val="24"/>
      <w:szCs w:val="24"/>
      <w:lang w:eastAsia="en-AU"/>
    </w:rPr>
  </w:style>
  <w:style w:type="paragraph" w:customStyle="1" w:styleId="xl143">
    <w:name w:val="xl143"/>
    <w:basedOn w:val="Normal"/>
    <w:rsid w:val="004A192B"/>
    <w:pPr>
      <w:pBdr>
        <w:left w:val="single" w:sz="4" w:space="0" w:color="auto"/>
        <w:right w:val="single" w:sz="4" w:space="0" w:color="auto"/>
      </w:pBdr>
      <w:spacing w:before="100" w:beforeAutospacing="1" w:after="100" w:afterAutospacing="1" w:line="240" w:lineRule="auto"/>
      <w:jc w:val="left"/>
      <w:textAlignment w:val="top"/>
    </w:pPr>
    <w:rPr>
      <w:rFonts w:eastAsia="Times New Roman"/>
      <w:b/>
      <w:bCs/>
      <w:sz w:val="28"/>
      <w:szCs w:val="28"/>
      <w:lang w:eastAsia="en-AU"/>
    </w:rPr>
  </w:style>
  <w:style w:type="paragraph" w:customStyle="1" w:styleId="xl144">
    <w:name w:val="xl144"/>
    <w:basedOn w:val="Normal"/>
    <w:rsid w:val="004A192B"/>
    <w:pPr>
      <w:spacing w:before="100" w:beforeAutospacing="1" w:after="100" w:afterAutospacing="1" w:line="240" w:lineRule="auto"/>
      <w:jc w:val="left"/>
      <w:textAlignment w:val="top"/>
    </w:pPr>
    <w:rPr>
      <w:rFonts w:eastAsia="Times New Roman"/>
      <w:sz w:val="24"/>
      <w:szCs w:val="24"/>
      <w:lang w:eastAsia="en-AU"/>
    </w:rPr>
  </w:style>
  <w:style w:type="paragraph" w:customStyle="1" w:styleId="xl145">
    <w:name w:val="xl145"/>
    <w:basedOn w:val="Normal"/>
    <w:rsid w:val="004A192B"/>
    <w:pPr>
      <w:pBdr>
        <w:left w:val="single" w:sz="4" w:space="0" w:color="auto"/>
        <w:right w:val="single" w:sz="4" w:space="0" w:color="auto"/>
      </w:pBdr>
      <w:spacing w:before="100" w:beforeAutospacing="1" w:after="100" w:afterAutospacing="1" w:line="240" w:lineRule="auto"/>
      <w:jc w:val="left"/>
      <w:textAlignment w:val="top"/>
    </w:pPr>
    <w:rPr>
      <w:rFonts w:eastAsia="Times New Roman"/>
      <w:sz w:val="24"/>
      <w:szCs w:val="24"/>
      <w:lang w:eastAsia="en-AU"/>
    </w:rPr>
  </w:style>
  <w:style w:type="paragraph" w:customStyle="1" w:styleId="xl146">
    <w:name w:val="xl146"/>
    <w:basedOn w:val="Normal"/>
    <w:rsid w:val="004A192B"/>
    <w:pPr>
      <w:pBdr>
        <w:left w:val="single" w:sz="4" w:space="0" w:color="auto"/>
        <w:right w:val="single" w:sz="4" w:space="0" w:color="auto"/>
      </w:pBdr>
      <w:spacing w:before="100" w:beforeAutospacing="1" w:after="100" w:afterAutospacing="1" w:line="240" w:lineRule="auto"/>
      <w:jc w:val="left"/>
      <w:textAlignment w:val="top"/>
    </w:pPr>
    <w:rPr>
      <w:rFonts w:eastAsia="Times New Roman"/>
      <w:sz w:val="24"/>
      <w:szCs w:val="24"/>
      <w:lang w:eastAsia="en-AU"/>
    </w:rPr>
  </w:style>
  <w:style w:type="paragraph" w:customStyle="1" w:styleId="xl147">
    <w:name w:val="xl147"/>
    <w:basedOn w:val="Normal"/>
    <w:rsid w:val="004A192B"/>
    <w:pPr>
      <w:pBdr>
        <w:left w:val="single" w:sz="4" w:space="0" w:color="auto"/>
        <w:right w:val="single" w:sz="4" w:space="0" w:color="auto"/>
      </w:pBdr>
      <w:spacing w:before="100" w:beforeAutospacing="1" w:after="100" w:afterAutospacing="1" w:line="240" w:lineRule="auto"/>
      <w:jc w:val="left"/>
      <w:textAlignment w:val="top"/>
    </w:pPr>
    <w:rPr>
      <w:rFonts w:eastAsia="Times New Roman"/>
      <w:sz w:val="24"/>
      <w:szCs w:val="24"/>
      <w:lang w:eastAsia="en-AU"/>
    </w:rPr>
  </w:style>
  <w:style w:type="paragraph" w:customStyle="1" w:styleId="xl148">
    <w:name w:val="xl148"/>
    <w:basedOn w:val="Normal"/>
    <w:rsid w:val="004A192B"/>
    <w:pPr>
      <w:pBdr>
        <w:left w:val="single" w:sz="4" w:space="0" w:color="auto"/>
        <w:right w:val="single" w:sz="4" w:space="0" w:color="auto"/>
      </w:pBdr>
      <w:spacing w:before="100" w:beforeAutospacing="1" w:after="100" w:afterAutospacing="1" w:line="240" w:lineRule="auto"/>
      <w:jc w:val="left"/>
      <w:textAlignment w:val="top"/>
    </w:pPr>
    <w:rPr>
      <w:rFonts w:eastAsia="Times New Roman"/>
      <w:color w:val="FF0000"/>
      <w:sz w:val="24"/>
      <w:szCs w:val="24"/>
      <w:lang w:eastAsia="en-AU"/>
    </w:rPr>
  </w:style>
  <w:style w:type="paragraph" w:customStyle="1" w:styleId="xl149">
    <w:name w:val="xl149"/>
    <w:basedOn w:val="Normal"/>
    <w:rsid w:val="004A192B"/>
    <w:pPr>
      <w:pBdr>
        <w:left w:val="single" w:sz="4" w:space="0" w:color="auto"/>
        <w:right w:val="single" w:sz="4" w:space="0" w:color="auto"/>
      </w:pBdr>
      <w:spacing w:before="100" w:beforeAutospacing="1" w:after="100" w:afterAutospacing="1" w:line="240" w:lineRule="auto"/>
      <w:jc w:val="left"/>
      <w:textAlignment w:val="top"/>
    </w:pPr>
    <w:rPr>
      <w:rFonts w:eastAsia="Times New Roman"/>
      <w:b/>
      <w:bCs/>
      <w:sz w:val="24"/>
      <w:szCs w:val="24"/>
      <w:lang w:eastAsia="en-AU"/>
    </w:rPr>
  </w:style>
  <w:style w:type="paragraph" w:customStyle="1" w:styleId="xl150">
    <w:name w:val="xl150"/>
    <w:basedOn w:val="Normal"/>
    <w:rsid w:val="004A192B"/>
    <w:pPr>
      <w:pBdr>
        <w:left w:val="single" w:sz="4" w:space="0" w:color="auto"/>
      </w:pBdr>
      <w:spacing w:before="100" w:beforeAutospacing="1" w:after="100" w:afterAutospacing="1" w:line="240" w:lineRule="auto"/>
      <w:jc w:val="left"/>
      <w:textAlignment w:val="top"/>
    </w:pPr>
    <w:rPr>
      <w:rFonts w:eastAsia="Times New Roman"/>
      <w:b/>
      <w:bCs/>
      <w:sz w:val="28"/>
      <w:szCs w:val="28"/>
      <w:lang w:eastAsia="en-AU"/>
    </w:rPr>
  </w:style>
  <w:style w:type="paragraph" w:customStyle="1" w:styleId="xl151">
    <w:name w:val="xl151"/>
    <w:basedOn w:val="Normal"/>
    <w:rsid w:val="004A192B"/>
    <w:pPr>
      <w:pBdr>
        <w:left w:val="single" w:sz="4" w:space="0" w:color="auto"/>
      </w:pBdr>
      <w:spacing w:before="100" w:beforeAutospacing="1" w:after="100" w:afterAutospacing="1" w:line="240" w:lineRule="auto"/>
      <w:jc w:val="left"/>
      <w:textAlignment w:val="top"/>
    </w:pPr>
    <w:rPr>
      <w:rFonts w:eastAsia="Times New Roman"/>
      <w:b/>
      <w:bCs/>
      <w:sz w:val="24"/>
      <w:szCs w:val="24"/>
      <w:lang w:eastAsia="en-AU"/>
    </w:rPr>
  </w:style>
  <w:style w:type="paragraph" w:customStyle="1" w:styleId="xl152">
    <w:name w:val="xl152"/>
    <w:basedOn w:val="Normal"/>
    <w:rsid w:val="004A192B"/>
    <w:pPr>
      <w:pBdr>
        <w:left w:val="single" w:sz="4" w:space="0" w:color="auto"/>
      </w:pBdr>
      <w:spacing w:before="100" w:beforeAutospacing="1" w:after="100" w:afterAutospacing="1" w:line="240" w:lineRule="auto"/>
      <w:jc w:val="left"/>
      <w:textAlignment w:val="top"/>
    </w:pPr>
    <w:rPr>
      <w:rFonts w:eastAsia="Times New Roman"/>
      <w:b/>
      <w:bCs/>
      <w:sz w:val="24"/>
      <w:szCs w:val="24"/>
      <w:u w:val="single"/>
      <w:lang w:eastAsia="en-AU"/>
    </w:rPr>
  </w:style>
  <w:style w:type="paragraph" w:customStyle="1" w:styleId="xl153">
    <w:name w:val="xl153"/>
    <w:basedOn w:val="Normal"/>
    <w:rsid w:val="004A192B"/>
    <w:pPr>
      <w:pBdr>
        <w:left w:val="single" w:sz="4" w:space="0" w:color="auto"/>
      </w:pBdr>
      <w:spacing w:before="100" w:beforeAutospacing="1" w:after="100" w:afterAutospacing="1" w:line="240" w:lineRule="auto"/>
      <w:jc w:val="left"/>
      <w:textAlignment w:val="top"/>
    </w:pPr>
    <w:rPr>
      <w:rFonts w:eastAsia="Times New Roman"/>
      <w:color w:val="9C6500"/>
      <w:sz w:val="24"/>
      <w:szCs w:val="24"/>
      <w:lang w:eastAsia="en-AU"/>
    </w:rPr>
  </w:style>
  <w:style w:type="paragraph" w:customStyle="1" w:styleId="xl154">
    <w:name w:val="xl154"/>
    <w:basedOn w:val="Normal"/>
    <w:rsid w:val="004A192B"/>
    <w:pPr>
      <w:pBdr>
        <w:left w:val="single" w:sz="4" w:space="0" w:color="auto"/>
        <w:right w:val="single" w:sz="4" w:space="0" w:color="auto"/>
      </w:pBdr>
      <w:spacing w:before="100" w:beforeAutospacing="1" w:after="100" w:afterAutospacing="1" w:line="240" w:lineRule="auto"/>
      <w:jc w:val="left"/>
      <w:textAlignment w:val="top"/>
    </w:pPr>
    <w:rPr>
      <w:rFonts w:eastAsia="Times New Roman"/>
      <w:color w:val="9C6500"/>
      <w:sz w:val="24"/>
      <w:szCs w:val="24"/>
      <w:lang w:eastAsia="en-AU"/>
    </w:rPr>
  </w:style>
  <w:style w:type="paragraph" w:customStyle="1" w:styleId="xl155">
    <w:name w:val="xl155"/>
    <w:basedOn w:val="Normal"/>
    <w:rsid w:val="004A192B"/>
    <w:pPr>
      <w:pBdr>
        <w:left w:val="single" w:sz="4" w:space="0" w:color="auto"/>
      </w:pBdr>
      <w:spacing w:before="100" w:beforeAutospacing="1" w:after="100" w:afterAutospacing="1" w:line="240" w:lineRule="auto"/>
      <w:jc w:val="left"/>
      <w:textAlignment w:val="top"/>
    </w:pPr>
    <w:rPr>
      <w:rFonts w:eastAsia="Times New Roman"/>
      <w:sz w:val="24"/>
      <w:szCs w:val="24"/>
      <w:lang w:eastAsia="en-AU"/>
    </w:rPr>
  </w:style>
  <w:style w:type="paragraph" w:customStyle="1" w:styleId="xl156">
    <w:name w:val="xl156"/>
    <w:basedOn w:val="Normal"/>
    <w:rsid w:val="004A192B"/>
    <w:pPr>
      <w:pBdr>
        <w:top w:val="single" w:sz="4" w:space="0" w:color="auto"/>
        <w:left w:val="single" w:sz="4" w:space="0" w:color="auto"/>
        <w:right w:val="single" w:sz="4" w:space="0" w:color="auto"/>
      </w:pBdr>
      <w:shd w:val="clear" w:color="000000" w:fill="D0CECE"/>
      <w:spacing w:before="100" w:beforeAutospacing="1" w:after="100" w:afterAutospacing="1" w:line="240" w:lineRule="auto"/>
      <w:jc w:val="left"/>
      <w:textAlignment w:val="top"/>
    </w:pPr>
    <w:rPr>
      <w:rFonts w:eastAsia="Times New Roman"/>
      <w:b/>
      <w:bCs/>
      <w:sz w:val="24"/>
      <w:szCs w:val="24"/>
      <w:lang w:eastAsia="en-AU"/>
    </w:rPr>
  </w:style>
  <w:style w:type="paragraph" w:customStyle="1" w:styleId="xl157">
    <w:name w:val="xl157"/>
    <w:basedOn w:val="Normal"/>
    <w:rsid w:val="004A192B"/>
    <w:pPr>
      <w:pBdr>
        <w:left w:val="single" w:sz="4" w:space="0" w:color="auto"/>
      </w:pBdr>
      <w:spacing w:before="100" w:beforeAutospacing="1" w:after="100" w:afterAutospacing="1" w:line="240" w:lineRule="auto"/>
      <w:jc w:val="left"/>
      <w:textAlignment w:val="top"/>
    </w:pPr>
    <w:rPr>
      <w:rFonts w:eastAsia="Times New Roman"/>
      <w:i/>
      <w:iCs/>
      <w:sz w:val="24"/>
      <w:szCs w:val="24"/>
      <w:lang w:eastAsia="en-AU"/>
    </w:rPr>
  </w:style>
  <w:style w:type="paragraph" w:customStyle="1" w:styleId="xl158">
    <w:name w:val="xl158"/>
    <w:basedOn w:val="Normal"/>
    <w:rsid w:val="004A192B"/>
    <w:pPr>
      <w:pBdr>
        <w:left w:val="single" w:sz="4" w:space="0" w:color="auto"/>
      </w:pBdr>
      <w:spacing w:before="100" w:beforeAutospacing="1" w:after="100" w:afterAutospacing="1" w:line="240" w:lineRule="auto"/>
      <w:jc w:val="left"/>
      <w:textAlignment w:val="top"/>
    </w:pPr>
    <w:rPr>
      <w:rFonts w:eastAsia="Times New Roman"/>
      <w:b/>
      <w:bCs/>
      <w:sz w:val="24"/>
      <w:szCs w:val="24"/>
      <w:u w:val="single"/>
      <w:lang w:eastAsia="en-AU"/>
    </w:rPr>
  </w:style>
  <w:style w:type="paragraph" w:customStyle="1" w:styleId="xl159">
    <w:name w:val="xl159"/>
    <w:basedOn w:val="Normal"/>
    <w:rsid w:val="004A192B"/>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i/>
      <w:iCs/>
      <w:sz w:val="24"/>
      <w:szCs w:val="24"/>
      <w:lang w:eastAsia="en-AU"/>
    </w:rPr>
  </w:style>
  <w:style w:type="paragraph" w:customStyle="1" w:styleId="xl160">
    <w:name w:val="xl160"/>
    <w:basedOn w:val="Normal"/>
    <w:rsid w:val="004A192B"/>
    <w:pPr>
      <w:pBdr>
        <w:left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i/>
      <w:iCs/>
      <w:sz w:val="24"/>
      <w:szCs w:val="24"/>
      <w:lang w:eastAsia="en-AU"/>
    </w:rPr>
  </w:style>
  <w:style w:type="paragraph" w:customStyle="1" w:styleId="xl161">
    <w:name w:val="xl161"/>
    <w:basedOn w:val="Normal"/>
    <w:rsid w:val="004A192B"/>
    <w:pPr>
      <w:pBdr>
        <w:left w:val="single" w:sz="4" w:space="0" w:color="auto"/>
      </w:pBdr>
      <w:spacing w:before="100" w:beforeAutospacing="1" w:after="100" w:afterAutospacing="1" w:line="240" w:lineRule="auto"/>
      <w:jc w:val="left"/>
      <w:textAlignment w:val="top"/>
    </w:pPr>
    <w:rPr>
      <w:rFonts w:eastAsia="Times New Roman"/>
      <w:i/>
      <w:iCs/>
      <w:sz w:val="24"/>
      <w:szCs w:val="24"/>
      <w:lang w:eastAsia="en-AU"/>
    </w:rPr>
  </w:style>
  <w:style w:type="paragraph" w:customStyle="1" w:styleId="xl162">
    <w:name w:val="xl162"/>
    <w:basedOn w:val="Normal"/>
    <w:rsid w:val="004A192B"/>
    <w:pPr>
      <w:pBdr>
        <w:left w:val="single" w:sz="4" w:space="0" w:color="auto"/>
        <w:bottom w:val="single" w:sz="4" w:space="0" w:color="auto"/>
        <w:right w:val="single" w:sz="4" w:space="0" w:color="auto"/>
      </w:pBdr>
      <w:shd w:val="clear" w:color="000000" w:fill="D0CECE"/>
      <w:spacing w:before="100" w:beforeAutospacing="1" w:after="100" w:afterAutospacing="1" w:line="240" w:lineRule="auto"/>
      <w:jc w:val="left"/>
      <w:textAlignment w:val="top"/>
    </w:pPr>
    <w:rPr>
      <w:rFonts w:eastAsia="Times New Roman"/>
      <w:b/>
      <w:bCs/>
      <w:sz w:val="24"/>
      <w:szCs w:val="24"/>
      <w:lang w:eastAsia="en-AU"/>
    </w:rPr>
  </w:style>
  <w:style w:type="paragraph" w:customStyle="1" w:styleId="xl163">
    <w:name w:val="xl163"/>
    <w:basedOn w:val="Normal"/>
    <w:rsid w:val="004A192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i/>
      <w:iCs/>
      <w:sz w:val="24"/>
      <w:szCs w:val="24"/>
      <w:lang w:eastAsia="en-AU"/>
    </w:rPr>
  </w:style>
  <w:style w:type="paragraph" w:customStyle="1" w:styleId="xl164">
    <w:name w:val="xl164"/>
    <w:basedOn w:val="Normal"/>
    <w:rsid w:val="004A192B"/>
    <w:pPr>
      <w:pBdr>
        <w:top w:val="single" w:sz="4" w:space="0" w:color="auto"/>
        <w:left w:val="single" w:sz="4" w:space="0" w:color="auto"/>
        <w:right w:val="single" w:sz="4" w:space="0" w:color="auto"/>
      </w:pBdr>
      <w:spacing w:before="100" w:beforeAutospacing="1" w:after="100" w:afterAutospacing="1" w:line="240" w:lineRule="auto"/>
      <w:jc w:val="left"/>
      <w:textAlignment w:val="top"/>
    </w:pPr>
    <w:rPr>
      <w:rFonts w:eastAsia="Times New Roman"/>
      <w:b/>
      <w:bCs/>
      <w:sz w:val="28"/>
      <w:szCs w:val="28"/>
      <w:lang w:eastAsia="en-AU"/>
    </w:rPr>
  </w:style>
  <w:style w:type="paragraph" w:customStyle="1" w:styleId="xl165">
    <w:name w:val="xl165"/>
    <w:basedOn w:val="Normal"/>
    <w:rsid w:val="004A192B"/>
    <w:pPr>
      <w:pBdr>
        <w:left w:val="single" w:sz="4" w:space="0" w:color="auto"/>
        <w:right w:val="single" w:sz="4" w:space="0" w:color="auto"/>
      </w:pBdr>
      <w:spacing w:before="100" w:beforeAutospacing="1" w:after="100" w:afterAutospacing="1" w:line="240" w:lineRule="auto"/>
      <w:jc w:val="left"/>
      <w:textAlignment w:val="top"/>
    </w:pPr>
    <w:rPr>
      <w:rFonts w:eastAsia="Times New Roman"/>
      <w:b/>
      <w:bCs/>
      <w:sz w:val="24"/>
      <w:szCs w:val="24"/>
      <w:lang w:eastAsia="en-AU"/>
    </w:rPr>
  </w:style>
  <w:style w:type="paragraph" w:customStyle="1" w:styleId="xl166">
    <w:name w:val="xl166"/>
    <w:basedOn w:val="Normal"/>
    <w:rsid w:val="004A192B"/>
    <w:pPr>
      <w:pBdr>
        <w:left w:val="single" w:sz="4" w:space="0" w:color="auto"/>
      </w:pBdr>
      <w:spacing w:before="100" w:beforeAutospacing="1" w:after="100" w:afterAutospacing="1" w:line="240" w:lineRule="auto"/>
      <w:jc w:val="left"/>
      <w:textAlignment w:val="top"/>
    </w:pPr>
    <w:rPr>
      <w:rFonts w:eastAsia="Times New Roman"/>
      <w:i/>
      <w:iCs/>
      <w:sz w:val="24"/>
      <w:szCs w:val="24"/>
      <w:lang w:eastAsia="en-AU"/>
    </w:rPr>
  </w:style>
  <w:style w:type="paragraph" w:customStyle="1" w:styleId="xl167">
    <w:name w:val="xl167"/>
    <w:basedOn w:val="Normal"/>
    <w:rsid w:val="004A192B"/>
    <w:pPr>
      <w:pBdr>
        <w:left w:val="single" w:sz="4" w:space="0" w:color="auto"/>
      </w:pBdr>
      <w:spacing w:before="100" w:beforeAutospacing="1" w:after="100" w:afterAutospacing="1" w:line="240" w:lineRule="auto"/>
      <w:jc w:val="left"/>
      <w:textAlignment w:val="top"/>
    </w:pPr>
    <w:rPr>
      <w:rFonts w:eastAsia="Times New Roman"/>
      <w:b/>
      <w:bCs/>
      <w:sz w:val="24"/>
      <w:szCs w:val="24"/>
      <w:u w:val="single"/>
      <w:lang w:eastAsia="en-AU"/>
    </w:rPr>
  </w:style>
  <w:style w:type="paragraph" w:customStyle="1" w:styleId="xl168">
    <w:name w:val="xl168"/>
    <w:basedOn w:val="Normal"/>
    <w:rsid w:val="004A192B"/>
    <w:pPr>
      <w:pBdr>
        <w:left w:val="single" w:sz="4" w:space="0" w:color="auto"/>
      </w:pBdr>
      <w:spacing w:before="100" w:beforeAutospacing="1" w:after="100" w:afterAutospacing="1" w:line="240" w:lineRule="auto"/>
      <w:jc w:val="left"/>
      <w:textAlignment w:val="top"/>
    </w:pPr>
    <w:rPr>
      <w:rFonts w:eastAsia="Times New Roman"/>
      <w:b/>
      <w:bCs/>
      <w:sz w:val="24"/>
      <w:szCs w:val="24"/>
      <w:u w:val="single"/>
      <w:lang w:eastAsia="en-AU"/>
    </w:rPr>
  </w:style>
  <w:style w:type="paragraph" w:customStyle="1" w:styleId="xl169">
    <w:name w:val="xl169"/>
    <w:basedOn w:val="Normal"/>
    <w:rsid w:val="004A192B"/>
    <w:pPr>
      <w:pBdr>
        <w:left w:val="single" w:sz="4" w:space="0" w:color="auto"/>
      </w:pBdr>
      <w:spacing w:before="100" w:beforeAutospacing="1" w:after="100" w:afterAutospacing="1" w:line="240" w:lineRule="auto"/>
      <w:jc w:val="left"/>
      <w:textAlignment w:val="top"/>
    </w:pPr>
    <w:rPr>
      <w:rFonts w:eastAsia="Times New Roman"/>
      <w:i/>
      <w:iCs/>
      <w:sz w:val="24"/>
      <w:szCs w:val="24"/>
      <w:lang w:eastAsia="en-AU"/>
    </w:rPr>
  </w:style>
  <w:style w:type="paragraph" w:customStyle="1" w:styleId="xl170">
    <w:name w:val="xl170"/>
    <w:basedOn w:val="Normal"/>
    <w:rsid w:val="004A192B"/>
    <w:pPr>
      <w:pBdr>
        <w:left w:val="single" w:sz="4" w:space="0" w:color="auto"/>
      </w:pBdr>
      <w:spacing w:before="100" w:beforeAutospacing="1" w:after="100" w:afterAutospacing="1" w:line="240" w:lineRule="auto"/>
      <w:jc w:val="left"/>
      <w:textAlignment w:val="top"/>
    </w:pPr>
    <w:rPr>
      <w:rFonts w:eastAsia="Times New Roman"/>
      <w:sz w:val="24"/>
      <w:szCs w:val="24"/>
      <w:lang w:eastAsia="en-AU"/>
    </w:rPr>
  </w:style>
  <w:style w:type="paragraph" w:customStyle="1" w:styleId="xl171">
    <w:name w:val="xl171"/>
    <w:basedOn w:val="Normal"/>
    <w:rsid w:val="004A192B"/>
    <w:pPr>
      <w:pBdr>
        <w:left w:val="single" w:sz="4" w:space="0" w:color="auto"/>
      </w:pBdr>
      <w:spacing w:before="100" w:beforeAutospacing="1" w:after="100" w:afterAutospacing="1" w:line="240" w:lineRule="auto"/>
      <w:jc w:val="left"/>
      <w:textAlignment w:val="top"/>
    </w:pPr>
    <w:rPr>
      <w:rFonts w:eastAsia="Times New Roman"/>
      <w:color w:val="FF0000"/>
      <w:sz w:val="24"/>
      <w:szCs w:val="24"/>
      <w:lang w:eastAsia="en-AU"/>
    </w:rPr>
  </w:style>
  <w:style w:type="paragraph" w:customStyle="1" w:styleId="xl172">
    <w:name w:val="xl172"/>
    <w:basedOn w:val="Normal"/>
    <w:rsid w:val="004A192B"/>
    <w:pPr>
      <w:pBdr>
        <w:left w:val="single" w:sz="4" w:space="0" w:color="auto"/>
      </w:pBdr>
      <w:spacing w:before="100" w:beforeAutospacing="1" w:after="100" w:afterAutospacing="1" w:line="240" w:lineRule="auto"/>
      <w:jc w:val="left"/>
      <w:textAlignment w:val="top"/>
    </w:pPr>
    <w:rPr>
      <w:rFonts w:eastAsia="Times New Roman"/>
      <w:b/>
      <w:bCs/>
      <w:sz w:val="24"/>
      <w:szCs w:val="24"/>
      <w:lang w:eastAsia="en-AU"/>
    </w:rPr>
  </w:style>
  <w:style w:type="paragraph" w:customStyle="1" w:styleId="xl173">
    <w:name w:val="xl173"/>
    <w:basedOn w:val="Normal"/>
    <w:rsid w:val="004A192B"/>
    <w:pPr>
      <w:pBdr>
        <w:left w:val="single" w:sz="4" w:space="0" w:color="auto"/>
      </w:pBdr>
      <w:spacing w:before="100" w:beforeAutospacing="1" w:after="100" w:afterAutospacing="1" w:line="240" w:lineRule="auto"/>
      <w:jc w:val="left"/>
      <w:textAlignment w:val="top"/>
    </w:pPr>
    <w:rPr>
      <w:rFonts w:eastAsia="Times New Roman"/>
      <w:b/>
      <w:bCs/>
      <w:sz w:val="24"/>
      <w:szCs w:val="24"/>
      <w:lang w:eastAsia="en-AU"/>
    </w:rPr>
  </w:style>
  <w:style w:type="paragraph" w:customStyle="1" w:styleId="xl174">
    <w:name w:val="xl174"/>
    <w:basedOn w:val="Normal"/>
    <w:rsid w:val="004A192B"/>
    <w:pPr>
      <w:spacing w:before="100" w:beforeAutospacing="1" w:after="100" w:afterAutospacing="1" w:line="240" w:lineRule="auto"/>
      <w:jc w:val="left"/>
      <w:textAlignment w:val="top"/>
    </w:pPr>
    <w:rPr>
      <w:rFonts w:eastAsia="Times New Roman"/>
      <w:i/>
      <w:iCs/>
      <w:sz w:val="24"/>
      <w:szCs w:val="24"/>
      <w:lang w:eastAsia="en-AU"/>
    </w:rPr>
  </w:style>
  <w:style w:type="paragraph" w:customStyle="1" w:styleId="xl175">
    <w:name w:val="xl175"/>
    <w:basedOn w:val="Normal"/>
    <w:rsid w:val="004A192B"/>
    <w:pPr>
      <w:pBdr>
        <w:top w:val="single" w:sz="4" w:space="0" w:color="auto"/>
        <w:left w:val="single" w:sz="4" w:space="0" w:color="auto"/>
        <w:right w:val="single" w:sz="4" w:space="0" w:color="auto"/>
      </w:pBdr>
      <w:shd w:val="clear" w:color="000000" w:fill="D0CECE"/>
      <w:spacing w:before="100" w:beforeAutospacing="1" w:after="100" w:afterAutospacing="1" w:line="240" w:lineRule="auto"/>
      <w:jc w:val="left"/>
      <w:textAlignment w:val="top"/>
    </w:pPr>
    <w:rPr>
      <w:rFonts w:eastAsia="Times New Roman"/>
      <w:b/>
      <w:bCs/>
      <w:sz w:val="28"/>
      <w:szCs w:val="28"/>
      <w:lang w:eastAsia="en-AU"/>
    </w:rPr>
  </w:style>
  <w:style w:type="paragraph" w:customStyle="1" w:styleId="xl176">
    <w:name w:val="xl176"/>
    <w:basedOn w:val="Normal"/>
    <w:rsid w:val="004A192B"/>
    <w:pPr>
      <w:spacing w:before="100" w:beforeAutospacing="1" w:after="100" w:afterAutospacing="1" w:line="240" w:lineRule="auto"/>
      <w:jc w:val="left"/>
      <w:textAlignment w:val="top"/>
    </w:pPr>
    <w:rPr>
      <w:rFonts w:eastAsia="Times New Roman"/>
      <w:b/>
      <w:bCs/>
      <w:sz w:val="24"/>
      <w:szCs w:val="24"/>
      <w:u w:val="single"/>
      <w:lang w:eastAsia="en-AU"/>
    </w:rPr>
  </w:style>
  <w:style w:type="paragraph" w:customStyle="1" w:styleId="xl177">
    <w:name w:val="xl177"/>
    <w:basedOn w:val="Normal"/>
    <w:rsid w:val="004A19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b/>
      <w:bCs/>
      <w:sz w:val="24"/>
      <w:szCs w:val="24"/>
      <w:lang w:eastAsia="en-AU"/>
    </w:rPr>
  </w:style>
  <w:style w:type="paragraph" w:customStyle="1" w:styleId="xl178">
    <w:name w:val="xl178"/>
    <w:basedOn w:val="Normal"/>
    <w:rsid w:val="004A192B"/>
    <w:pPr>
      <w:pBdr>
        <w:top w:val="single" w:sz="4" w:space="0" w:color="auto"/>
        <w:right w:val="single" w:sz="4" w:space="0" w:color="auto"/>
      </w:pBdr>
      <w:shd w:val="clear" w:color="000000" w:fill="FFFFFF"/>
      <w:spacing w:before="100" w:beforeAutospacing="1" w:after="100" w:afterAutospacing="1" w:line="240" w:lineRule="auto"/>
      <w:jc w:val="left"/>
      <w:textAlignment w:val="top"/>
    </w:pPr>
    <w:rPr>
      <w:rFonts w:eastAsia="Times New Roman"/>
      <w:b/>
      <w:bCs/>
      <w:sz w:val="24"/>
      <w:szCs w:val="24"/>
      <w:lang w:eastAsia="en-AU"/>
    </w:rPr>
  </w:style>
  <w:style w:type="paragraph" w:customStyle="1" w:styleId="xl179">
    <w:name w:val="xl179"/>
    <w:basedOn w:val="Normal"/>
    <w:rsid w:val="004A192B"/>
    <w:pPr>
      <w:pBdr>
        <w:left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en-AU"/>
    </w:rPr>
  </w:style>
  <w:style w:type="paragraph" w:customStyle="1" w:styleId="xl180">
    <w:name w:val="xl180"/>
    <w:basedOn w:val="Normal"/>
    <w:rsid w:val="004A192B"/>
    <w:pPr>
      <w:pBdr>
        <w:left w:val="single" w:sz="4" w:space="0" w:color="auto"/>
        <w:right w:val="single" w:sz="4" w:space="0" w:color="auto"/>
      </w:pBdr>
      <w:spacing w:before="100" w:beforeAutospacing="1" w:after="100" w:afterAutospacing="1" w:line="240" w:lineRule="auto"/>
      <w:jc w:val="left"/>
    </w:pPr>
    <w:rPr>
      <w:rFonts w:eastAsia="Times New Roman"/>
      <w:b/>
      <w:bCs/>
      <w:sz w:val="24"/>
      <w:szCs w:val="24"/>
      <w:lang w:eastAsia="en-AU"/>
    </w:rPr>
  </w:style>
  <w:style w:type="paragraph" w:customStyle="1" w:styleId="xl181">
    <w:name w:val="xl181"/>
    <w:basedOn w:val="Normal"/>
    <w:rsid w:val="004A192B"/>
    <w:pPr>
      <w:pBdr>
        <w:left w:val="single" w:sz="4" w:space="0" w:color="auto"/>
        <w:bottom w:val="single" w:sz="4" w:space="0" w:color="auto"/>
      </w:pBdr>
      <w:spacing w:before="100" w:beforeAutospacing="1" w:after="100" w:afterAutospacing="1" w:line="240" w:lineRule="auto"/>
      <w:jc w:val="left"/>
      <w:textAlignment w:val="top"/>
    </w:pPr>
    <w:rPr>
      <w:rFonts w:eastAsia="Times New Roman"/>
      <w:i/>
      <w:iCs/>
      <w:sz w:val="24"/>
      <w:szCs w:val="24"/>
      <w:lang w:eastAsia="en-AU"/>
    </w:rPr>
  </w:style>
  <w:style w:type="paragraph" w:customStyle="1" w:styleId="xl182">
    <w:name w:val="xl182"/>
    <w:basedOn w:val="Normal"/>
    <w:rsid w:val="004A192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en-AU"/>
    </w:rPr>
  </w:style>
  <w:style w:type="paragraph" w:customStyle="1" w:styleId="xl183">
    <w:name w:val="xl183"/>
    <w:basedOn w:val="Normal"/>
    <w:rsid w:val="004A192B"/>
    <w:pPr>
      <w:pBdr>
        <w:left w:val="single" w:sz="4" w:space="0" w:color="auto"/>
        <w:right w:val="single" w:sz="4" w:space="0" w:color="auto"/>
      </w:pBdr>
      <w:spacing w:before="100" w:beforeAutospacing="1" w:after="100" w:afterAutospacing="1" w:line="240" w:lineRule="auto"/>
      <w:jc w:val="left"/>
    </w:pPr>
    <w:rPr>
      <w:rFonts w:eastAsia="Times New Roman"/>
      <w:i/>
      <w:iCs/>
      <w:sz w:val="24"/>
      <w:szCs w:val="24"/>
      <w:lang w:eastAsia="en-AU"/>
    </w:rPr>
  </w:style>
  <w:style w:type="paragraph" w:customStyle="1" w:styleId="xl184">
    <w:name w:val="xl184"/>
    <w:basedOn w:val="Normal"/>
    <w:rsid w:val="004A192B"/>
    <w:pPr>
      <w:pBdr>
        <w:left w:val="single" w:sz="4" w:space="0" w:color="auto"/>
        <w:right w:val="single" w:sz="4" w:space="0" w:color="auto"/>
      </w:pBdr>
      <w:spacing w:before="100" w:beforeAutospacing="1" w:after="100" w:afterAutospacing="1" w:line="240" w:lineRule="auto"/>
      <w:jc w:val="center"/>
      <w:textAlignment w:val="top"/>
    </w:pPr>
    <w:rPr>
      <w:rFonts w:eastAsia="Times New Roman"/>
      <w:i/>
      <w:iCs/>
      <w:sz w:val="24"/>
      <w:szCs w:val="24"/>
      <w:lang w:eastAsia="en-AU"/>
    </w:rPr>
  </w:style>
  <w:style w:type="paragraph" w:customStyle="1" w:styleId="xl185">
    <w:name w:val="xl185"/>
    <w:basedOn w:val="Normal"/>
    <w:rsid w:val="004A192B"/>
    <w:pPr>
      <w:pBdr>
        <w:left w:val="single" w:sz="4" w:space="0" w:color="auto"/>
        <w:right w:val="single" w:sz="4" w:space="0" w:color="auto"/>
      </w:pBdr>
      <w:spacing w:before="100" w:beforeAutospacing="1" w:after="100" w:afterAutospacing="1" w:line="240" w:lineRule="auto"/>
      <w:jc w:val="left"/>
      <w:textAlignment w:val="top"/>
    </w:pPr>
    <w:rPr>
      <w:rFonts w:eastAsia="Times New Roman"/>
      <w:i/>
      <w:iCs/>
      <w:sz w:val="24"/>
      <w:szCs w:val="24"/>
      <w:lang w:eastAsia="en-AU"/>
    </w:rPr>
  </w:style>
  <w:style w:type="paragraph" w:customStyle="1" w:styleId="xl186">
    <w:name w:val="xl186"/>
    <w:basedOn w:val="Normal"/>
    <w:rsid w:val="004A192B"/>
    <w:pPr>
      <w:pBdr>
        <w:left w:val="single" w:sz="4" w:space="0" w:color="auto"/>
        <w:right w:val="single" w:sz="4" w:space="0" w:color="auto"/>
      </w:pBdr>
      <w:spacing w:before="100" w:beforeAutospacing="1" w:after="100" w:afterAutospacing="1" w:line="240" w:lineRule="auto"/>
      <w:jc w:val="left"/>
    </w:pPr>
    <w:rPr>
      <w:rFonts w:eastAsia="Times New Roman"/>
      <w:b/>
      <w:bCs/>
      <w:sz w:val="24"/>
      <w:szCs w:val="24"/>
      <w:u w:val="single"/>
      <w:lang w:eastAsia="en-AU"/>
    </w:rPr>
  </w:style>
  <w:style w:type="paragraph" w:customStyle="1" w:styleId="xl187">
    <w:name w:val="xl187"/>
    <w:basedOn w:val="Normal"/>
    <w:rsid w:val="004A192B"/>
    <w:pPr>
      <w:pBdr>
        <w:left w:val="single" w:sz="4" w:space="0" w:color="auto"/>
        <w:right w:val="single" w:sz="4" w:space="0" w:color="auto"/>
      </w:pBdr>
      <w:spacing w:before="100" w:beforeAutospacing="1" w:after="100" w:afterAutospacing="1" w:line="240" w:lineRule="auto"/>
      <w:jc w:val="center"/>
      <w:textAlignment w:val="top"/>
    </w:pPr>
    <w:rPr>
      <w:rFonts w:eastAsia="Times New Roman"/>
      <w:b/>
      <w:bCs/>
      <w:sz w:val="24"/>
      <w:szCs w:val="24"/>
      <w:u w:val="single"/>
      <w:lang w:eastAsia="en-AU"/>
    </w:rPr>
  </w:style>
  <w:style w:type="paragraph" w:customStyle="1" w:styleId="xl188">
    <w:name w:val="xl188"/>
    <w:basedOn w:val="Normal"/>
    <w:rsid w:val="004A192B"/>
    <w:pPr>
      <w:pBdr>
        <w:left w:val="single" w:sz="4" w:space="0" w:color="auto"/>
        <w:right w:val="single" w:sz="4" w:space="0" w:color="auto"/>
      </w:pBdr>
      <w:spacing w:before="100" w:beforeAutospacing="1" w:after="100" w:afterAutospacing="1" w:line="240" w:lineRule="auto"/>
      <w:jc w:val="left"/>
      <w:textAlignment w:val="top"/>
    </w:pPr>
    <w:rPr>
      <w:rFonts w:eastAsia="Times New Roman"/>
      <w:b/>
      <w:bCs/>
      <w:sz w:val="24"/>
      <w:szCs w:val="24"/>
      <w:u w:val="single"/>
      <w:lang w:eastAsia="en-AU"/>
    </w:rPr>
  </w:style>
  <w:style w:type="paragraph" w:customStyle="1" w:styleId="xl189">
    <w:name w:val="xl189"/>
    <w:basedOn w:val="Normal"/>
    <w:rsid w:val="004A192B"/>
    <w:pPr>
      <w:spacing w:before="100" w:beforeAutospacing="1" w:after="100" w:afterAutospacing="1" w:line="240" w:lineRule="auto"/>
      <w:jc w:val="left"/>
      <w:textAlignment w:val="center"/>
    </w:pPr>
    <w:rPr>
      <w:rFonts w:eastAsia="Times New Roman"/>
      <w:sz w:val="24"/>
      <w:szCs w:val="24"/>
      <w:lang w:eastAsia="en-AU"/>
    </w:rPr>
  </w:style>
  <w:style w:type="paragraph" w:customStyle="1" w:styleId="xl190">
    <w:name w:val="xl190"/>
    <w:basedOn w:val="Normal"/>
    <w:rsid w:val="004A192B"/>
    <w:pPr>
      <w:pBdr>
        <w:top w:val="single" w:sz="4" w:space="0" w:color="auto"/>
        <w:left w:val="single" w:sz="4" w:space="0" w:color="auto"/>
      </w:pBdr>
      <w:spacing w:before="100" w:beforeAutospacing="1" w:after="100" w:afterAutospacing="1" w:line="240" w:lineRule="auto"/>
      <w:jc w:val="left"/>
      <w:textAlignment w:val="top"/>
    </w:pPr>
    <w:rPr>
      <w:rFonts w:eastAsia="Times New Roman"/>
      <w:b/>
      <w:bCs/>
      <w:sz w:val="28"/>
      <w:szCs w:val="28"/>
      <w:lang w:eastAsia="en-AU"/>
    </w:rPr>
  </w:style>
  <w:style w:type="paragraph" w:customStyle="1" w:styleId="xl191">
    <w:name w:val="xl191"/>
    <w:basedOn w:val="Normal"/>
    <w:rsid w:val="004A192B"/>
    <w:pPr>
      <w:pBdr>
        <w:top w:val="single" w:sz="4" w:space="0" w:color="auto"/>
      </w:pBdr>
      <w:spacing w:before="100" w:beforeAutospacing="1" w:after="100" w:afterAutospacing="1" w:line="240" w:lineRule="auto"/>
      <w:jc w:val="center"/>
    </w:pPr>
    <w:rPr>
      <w:rFonts w:eastAsia="Times New Roman"/>
      <w:b/>
      <w:bCs/>
      <w:sz w:val="24"/>
      <w:szCs w:val="24"/>
      <w:lang w:eastAsia="en-AU"/>
    </w:rPr>
  </w:style>
  <w:style w:type="paragraph" w:customStyle="1" w:styleId="xl192">
    <w:name w:val="xl192"/>
    <w:basedOn w:val="Normal"/>
    <w:rsid w:val="004A192B"/>
    <w:pPr>
      <w:pBdr>
        <w:top w:val="single" w:sz="4" w:space="0" w:color="auto"/>
        <w:right w:val="single" w:sz="4" w:space="0" w:color="auto"/>
      </w:pBdr>
      <w:spacing w:before="100" w:beforeAutospacing="1" w:after="100" w:afterAutospacing="1" w:line="240" w:lineRule="auto"/>
      <w:jc w:val="left"/>
    </w:pPr>
    <w:rPr>
      <w:rFonts w:eastAsia="Times New Roman"/>
      <w:b/>
      <w:bCs/>
      <w:sz w:val="24"/>
      <w:szCs w:val="24"/>
      <w:lang w:eastAsia="en-AU"/>
    </w:rPr>
  </w:style>
  <w:style w:type="paragraph" w:customStyle="1" w:styleId="xl193">
    <w:name w:val="xl193"/>
    <w:basedOn w:val="Normal"/>
    <w:rsid w:val="004A192B"/>
    <w:pPr>
      <w:pBdr>
        <w:right w:val="single" w:sz="4" w:space="0" w:color="auto"/>
      </w:pBdr>
      <w:spacing w:before="100" w:beforeAutospacing="1" w:after="100" w:afterAutospacing="1" w:line="240" w:lineRule="auto"/>
      <w:jc w:val="left"/>
      <w:textAlignment w:val="top"/>
    </w:pPr>
    <w:rPr>
      <w:rFonts w:eastAsia="Times New Roman"/>
      <w:sz w:val="24"/>
      <w:szCs w:val="24"/>
      <w:lang w:eastAsia="en-AU"/>
    </w:rPr>
  </w:style>
  <w:style w:type="paragraph" w:customStyle="1" w:styleId="xl194">
    <w:name w:val="xl194"/>
    <w:basedOn w:val="Normal"/>
    <w:rsid w:val="004A192B"/>
    <w:pPr>
      <w:pBdr>
        <w:left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sz w:val="24"/>
      <w:szCs w:val="24"/>
      <w:lang w:eastAsia="en-AU"/>
    </w:rPr>
  </w:style>
  <w:style w:type="paragraph" w:customStyle="1" w:styleId="xl195">
    <w:name w:val="xl195"/>
    <w:basedOn w:val="Normal"/>
    <w:rsid w:val="004A192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b/>
      <w:bCs/>
      <w:sz w:val="28"/>
      <w:szCs w:val="28"/>
      <w:lang w:eastAsia="en-AU"/>
    </w:rPr>
  </w:style>
  <w:style w:type="paragraph" w:customStyle="1" w:styleId="xl196">
    <w:name w:val="xl196"/>
    <w:basedOn w:val="Normal"/>
    <w:rsid w:val="004A192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b/>
      <w:bCs/>
      <w:sz w:val="24"/>
      <w:szCs w:val="24"/>
      <w:lang w:eastAsia="en-AU"/>
    </w:rPr>
  </w:style>
  <w:style w:type="paragraph" w:customStyle="1" w:styleId="xl197">
    <w:name w:val="xl197"/>
    <w:basedOn w:val="Normal"/>
    <w:rsid w:val="004A192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pPr>
    <w:rPr>
      <w:rFonts w:eastAsia="Times New Roman"/>
      <w:b/>
      <w:bCs/>
      <w:sz w:val="24"/>
      <w:szCs w:val="24"/>
      <w:lang w:eastAsia="en-AU"/>
    </w:rPr>
  </w:style>
  <w:style w:type="paragraph" w:customStyle="1" w:styleId="xl198">
    <w:name w:val="xl198"/>
    <w:basedOn w:val="Normal"/>
    <w:rsid w:val="004A192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left"/>
    </w:pPr>
    <w:rPr>
      <w:rFonts w:eastAsia="Times New Roman"/>
      <w:b/>
      <w:bCs/>
      <w:sz w:val="24"/>
      <w:szCs w:val="24"/>
      <w:lang w:eastAsia="en-AU"/>
    </w:rPr>
  </w:style>
  <w:style w:type="paragraph" w:customStyle="1" w:styleId="xl199">
    <w:name w:val="xl199"/>
    <w:basedOn w:val="Normal"/>
    <w:rsid w:val="004A192B"/>
    <w:pPr>
      <w:pBdr>
        <w:left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b/>
      <w:bCs/>
      <w:sz w:val="24"/>
      <w:szCs w:val="24"/>
      <w:lang w:eastAsia="en-AU"/>
    </w:rPr>
  </w:style>
  <w:style w:type="paragraph" w:customStyle="1" w:styleId="xl200">
    <w:name w:val="xl200"/>
    <w:basedOn w:val="Normal"/>
    <w:rsid w:val="004A192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sz w:val="24"/>
      <w:szCs w:val="24"/>
      <w:lang w:eastAsia="en-AU"/>
    </w:rPr>
  </w:style>
  <w:style w:type="paragraph" w:customStyle="1" w:styleId="xl201">
    <w:name w:val="xl201"/>
    <w:basedOn w:val="Normal"/>
    <w:rsid w:val="004A192B"/>
    <w:pPr>
      <w:pBdr>
        <w:right w:val="single" w:sz="4" w:space="0" w:color="auto"/>
      </w:pBdr>
      <w:shd w:val="clear" w:color="000000" w:fill="FFFF00"/>
      <w:spacing w:before="100" w:beforeAutospacing="1" w:after="100" w:afterAutospacing="1" w:line="240" w:lineRule="auto"/>
      <w:jc w:val="left"/>
    </w:pPr>
    <w:rPr>
      <w:rFonts w:eastAsia="Times New Roman"/>
      <w:sz w:val="24"/>
      <w:szCs w:val="24"/>
      <w:lang w:eastAsia="en-AU"/>
    </w:rPr>
  </w:style>
  <w:style w:type="paragraph" w:customStyle="1" w:styleId="xl202">
    <w:name w:val="xl202"/>
    <w:basedOn w:val="Normal"/>
    <w:rsid w:val="004A192B"/>
    <w:pPr>
      <w:pBdr>
        <w:left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b/>
      <w:bCs/>
      <w:sz w:val="28"/>
      <w:szCs w:val="28"/>
      <w:lang w:eastAsia="en-AU"/>
    </w:rPr>
  </w:style>
  <w:style w:type="paragraph" w:customStyle="1" w:styleId="xl203">
    <w:name w:val="xl203"/>
    <w:basedOn w:val="Normal"/>
    <w:rsid w:val="004A192B"/>
    <w:pPr>
      <w:pBdr>
        <w:left w:val="single" w:sz="4" w:space="0" w:color="auto"/>
        <w:right w:val="single" w:sz="4" w:space="0" w:color="auto"/>
      </w:pBdr>
      <w:shd w:val="clear" w:color="000000" w:fill="FFFF00"/>
      <w:spacing w:before="100" w:beforeAutospacing="1" w:after="100" w:afterAutospacing="1" w:line="240" w:lineRule="auto"/>
      <w:jc w:val="left"/>
    </w:pPr>
    <w:rPr>
      <w:rFonts w:eastAsia="Times New Roman"/>
      <w:sz w:val="24"/>
      <w:szCs w:val="24"/>
      <w:lang w:eastAsia="en-AU"/>
    </w:rPr>
  </w:style>
  <w:style w:type="paragraph" w:customStyle="1" w:styleId="xl204">
    <w:name w:val="xl204"/>
    <w:basedOn w:val="Normal"/>
    <w:rsid w:val="004A192B"/>
    <w:pPr>
      <w:pBdr>
        <w:left w:val="single" w:sz="4" w:space="0" w:color="auto"/>
        <w:right w:val="single" w:sz="4" w:space="0" w:color="auto"/>
      </w:pBdr>
      <w:shd w:val="clear" w:color="000000" w:fill="FFFF00"/>
      <w:spacing w:before="100" w:beforeAutospacing="1" w:after="100" w:afterAutospacing="1" w:line="240" w:lineRule="auto"/>
      <w:jc w:val="center"/>
    </w:pPr>
    <w:rPr>
      <w:rFonts w:eastAsia="Times New Roman"/>
      <w:sz w:val="24"/>
      <w:szCs w:val="24"/>
      <w:lang w:eastAsia="en-AU"/>
    </w:rPr>
  </w:style>
  <w:style w:type="paragraph" w:customStyle="1" w:styleId="xl205">
    <w:name w:val="xl205"/>
    <w:basedOn w:val="Normal"/>
    <w:rsid w:val="004A192B"/>
    <w:pPr>
      <w:pBdr>
        <w:left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b/>
      <w:bCs/>
      <w:sz w:val="24"/>
      <w:szCs w:val="24"/>
      <w:u w:val="single"/>
      <w:lang w:eastAsia="en-AU"/>
    </w:rPr>
  </w:style>
  <w:style w:type="paragraph" w:customStyle="1" w:styleId="xl206">
    <w:name w:val="xl206"/>
    <w:basedOn w:val="Normal"/>
    <w:rsid w:val="004A192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sz w:val="24"/>
      <w:szCs w:val="24"/>
      <w:lang w:eastAsia="en-AU"/>
    </w:rPr>
  </w:style>
  <w:style w:type="paragraph" w:customStyle="1" w:styleId="xl207">
    <w:name w:val="xl207"/>
    <w:basedOn w:val="Normal"/>
    <w:rsid w:val="004A192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sz w:val="24"/>
      <w:szCs w:val="24"/>
      <w:lang w:eastAsia="en-AU"/>
    </w:rPr>
  </w:style>
  <w:style w:type="paragraph" w:customStyle="1" w:styleId="xl208">
    <w:name w:val="xl208"/>
    <w:basedOn w:val="Normal"/>
    <w:rsid w:val="004A192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eastAsia="Times New Roman"/>
      <w:sz w:val="24"/>
      <w:szCs w:val="24"/>
      <w:lang w:eastAsia="en-AU"/>
    </w:rPr>
  </w:style>
  <w:style w:type="paragraph" w:customStyle="1" w:styleId="xl209">
    <w:name w:val="xl209"/>
    <w:basedOn w:val="Normal"/>
    <w:rsid w:val="004A192B"/>
    <w:pPr>
      <w:pBdr>
        <w:right w:val="single" w:sz="4" w:space="0" w:color="auto"/>
      </w:pBdr>
      <w:shd w:val="clear" w:color="000000" w:fill="FFFF00"/>
      <w:spacing w:before="100" w:beforeAutospacing="1" w:after="100" w:afterAutospacing="1" w:line="240" w:lineRule="auto"/>
      <w:jc w:val="left"/>
      <w:textAlignment w:val="center"/>
    </w:pPr>
    <w:rPr>
      <w:rFonts w:eastAsia="Times New Roman"/>
      <w:sz w:val="24"/>
      <w:szCs w:val="24"/>
      <w:lang w:eastAsia="en-AU"/>
    </w:rPr>
  </w:style>
  <w:style w:type="paragraph" w:customStyle="1" w:styleId="xl210">
    <w:name w:val="xl210"/>
    <w:basedOn w:val="Normal"/>
    <w:rsid w:val="004A192B"/>
    <w:pPr>
      <w:pBdr>
        <w:left w:val="single" w:sz="4" w:space="0" w:color="auto"/>
        <w:right w:val="single" w:sz="4" w:space="0" w:color="auto"/>
      </w:pBdr>
      <w:shd w:val="clear" w:color="000000" w:fill="FFFF00"/>
      <w:spacing w:before="100" w:beforeAutospacing="1" w:after="100" w:afterAutospacing="1" w:line="240" w:lineRule="auto"/>
      <w:jc w:val="left"/>
    </w:pPr>
    <w:rPr>
      <w:rFonts w:eastAsia="Times New Roman"/>
      <w:sz w:val="24"/>
      <w:szCs w:val="24"/>
      <w:lang w:eastAsia="en-AU"/>
    </w:rPr>
  </w:style>
  <w:style w:type="paragraph" w:customStyle="1" w:styleId="xl211">
    <w:name w:val="xl211"/>
    <w:basedOn w:val="Normal"/>
    <w:rsid w:val="004A192B"/>
    <w:pPr>
      <w:pBdr>
        <w:left w:val="single" w:sz="4" w:space="0" w:color="auto"/>
        <w:right w:val="single" w:sz="4" w:space="0" w:color="auto"/>
      </w:pBdr>
      <w:shd w:val="clear" w:color="000000" w:fill="FFFF00"/>
      <w:spacing w:before="100" w:beforeAutospacing="1" w:after="100" w:afterAutospacing="1" w:line="240" w:lineRule="auto"/>
      <w:jc w:val="left"/>
      <w:textAlignment w:val="top"/>
    </w:pPr>
    <w:rPr>
      <w:rFonts w:eastAsia="Times New Roman"/>
      <w:sz w:val="24"/>
      <w:szCs w:val="24"/>
      <w:lang w:eastAsia="en-AU"/>
    </w:rPr>
  </w:style>
  <w:style w:type="paragraph" w:customStyle="1" w:styleId="xl212">
    <w:name w:val="xl212"/>
    <w:basedOn w:val="Normal"/>
    <w:rsid w:val="004A192B"/>
    <w:pPr>
      <w:pBdr>
        <w:left w:val="single" w:sz="4" w:space="0" w:color="auto"/>
        <w:right w:val="single" w:sz="4" w:space="0" w:color="auto"/>
      </w:pBdr>
      <w:shd w:val="clear" w:color="000000" w:fill="D0CECE"/>
      <w:spacing w:before="100" w:beforeAutospacing="1" w:after="100" w:afterAutospacing="1" w:line="240" w:lineRule="auto"/>
      <w:jc w:val="left"/>
      <w:textAlignment w:val="top"/>
    </w:pPr>
    <w:rPr>
      <w:rFonts w:eastAsia="Times New Roman"/>
      <w:b/>
      <w:bCs/>
      <w:sz w:val="24"/>
      <w:szCs w:val="24"/>
      <w:lang w:eastAsia="en-AU"/>
    </w:rPr>
  </w:style>
  <w:style w:type="paragraph" w:customStyle="1" w:styleId="xl213">
    <w:name w:val="xl213"/>
    <w:basedOn w:val="Normal"/>
    <w:rsid w:val="004A192B"/>
    <w:pPr>
      <w:pBdr>
        <w:left w:val="single" w:sz="4" w:space="0" w:color="auto"/>
        <w:right w:val="single" w:sz="4" w:space="0" w:color="auto"/>
      </w:pBdr>
      <w:shd w:val="clear" w:color="000000" w:fill="D0CECE"/>
      <w:spacing w:before="100" w:beforeAutospacing="1" w:after="100" w:afterAutospacing="1" w:line="240" w:lineRule="auto"/>
      <w:jc w:val="left"/>
      <w:textAlignment w:val="top"/>
    </w:pPr>
    <w:rPr>
      <w:rFonts w:eastAsia="Times New Roman"/>
      <w:sz w:val="24"/>
      <w:szCs w:val="24"/>
      <w:lang w:eastAsia="en-AU"/>
    </w:rPr>
  </w:style>
  <w:style w:type="paragraph" w:customStyle="1" w:styleId="xl214">
    <w:name w:val="xl214"/>
    <w:basedOn w:val="Normal"/>
    <w:rsid w:val="004A192B"/>
    <w:pPr>
      <w:pBdr>
        <w:right w:val="single" w:sz="4" w:space="0" w:color="auto"/>
      </w:pBdr>
      <w:shd w:val="clear" w:color="000000" w:fill="D0CECE"/>
      <w:spacing w:before="100" w:beforeAutospacing="1" w:after="100" w:afterAutospacing="1" w:line="240" w:lineRule="auto"/>
      <w:jc w:val="left"/>
      <w:textAlignment w:val="center"/>
    </w:pPr>
    <w:rPr>
      <w:rFonts w:eastAsia="Times New Roman"/>
      <w:sz w:val="24"/>
      <w:szCs w:val="24"/>
      <w:lang w:eastAsia="en-AU"/>
    </w:rPr>
  </w:style>
  <w:style w:type="paragraph" w:customStyle="1" w:styleId="xl215">
    <w:name w:val="xl215"/>
    <w:basedOn w:val="Normal"/>
    <w:rsid w:val="004A192B"/>
    <w:pPr>
      <w:pBdr>
        <w:left w:val="single" w:sz="4" w:space="0" w:color="auto"/>
        <w:right w:val="single" w:sz="4" w:space="0" w:color="auto"/>
      </w:pBdr>
      <w:shd w:val="clear" w:color="000000" w:fill="D0CECE"/>
      <w:spacing w:before="100" w:beforeAutospacing="1" w:after="100" w:afterAutospacing="1" w:line="240" w:lineRule="auto"/>
      <w:jc w:val="center"/>
      <w:textAlignment w:val="center"/>
    </w:pPr>
    <w:rPr>
      <w:rFonts w:eastAsia="Times New Roman"/>
      <w:sz w:val="24"/>
      <w:szCs w:val="24"/>
      <w:lang w:eastAsia="en-AU"/>
    </w:rPr>
  </w:style>
  <w:style w:type="paragraph" w:customStyle="1" w:styleId="xl216">
    <w:name w:val="xl216"/>
    <w:basedOn w:val="Normal"/>
    <w:rsid w:val="004A192B"/>
    <w:pPr>
      <w:pBdr>
        <w:right w:val="single" w:sz="4" w:space="0" w:color="auto"/>
      </w:pBdr>
      <w:shd w:val="clear" w:color="000000" w:fill="D0CECE"/>
      <w:spacing w:before="100" w:beforeAutospacing="1" w:after="100" w:afterAutospacing="1" w:line="240" w:lineRule="auto"/>
      <w:jc w:val="left"/>
      <w:textAlignment w:val="top"/>
    </w:pPr>
    <w:rPr>
      <w:rFonts w:eastAsia="Times New Roman"/>
      <w:sz w:val="24"/>
      <w:szCs w:val="24"/>
      <w:lang w:eastAsia="en-AU"/>
    </w:rPr>
  </w:style>
  <w:style w:type="numbering" w:customStyle="1" w:styleId="NoList6">
    <w:name w:val="No List6"/>
    <w:next w:val="NoList"/>
    <w:uiPriority w:val="99"/>
    <w:semiHidden/>
    <w:unhideWhenUsed/>
    <w:rsid w:val="00FC16D3"/>
  </w:style>
  <w:style w:type="numbering" w:customStyle="1" w:styleId="NoList12">
    <w:name w:val="No List12"/>
    <w:next w:val="NoList"/>
    <w:uiPriority w:val="99"/>
    <w:semiHidden/>
    <w:unhideWhenUsed/>
    <w:rsid w:val="00FC16D3"/>
  </w:style>
  <w:style w:type="numbering" w:customStyle="1" w:styleId="NoList112">
    <w:name w:val="No List112"/>
    <w:next w:val="NoList"/>
    <w:uiPriority w:val="99"/>
    <w:semiHidden/>
    <w:unhideWhenUsed/>
    <w:rsid w:val="00FC16D3"/>
  </w:style>
  <w:style w:type="numbering" w:customStyle="1" w:styleId="NoList22">
    <w:name w:val="No List22"/>
    <w:next w:val="NoList"/>
    <w:uiPriority w:val="99"/>
    <w:semiHidden/>
    <w:rsid w:val="00FC16D3"/>
  </w:style>
  <w:style w:type="numbering" w:customStyle="1" w:styleId="NoList31">
    <w:name w:val="No List31"/>
    <w:next w:val="NoList"/>
    <w:uiPriority w:val="99"/>
    <w:semiHidden/>
    <w:unhideWhenUsed/>
    <w:rsid w:val="00FC16D3"/>
  </w:style>
  <w:style w:type="numbering" w:customStyle="1" w:styleId="NoList41">
    <w:name w:val="No List41"/>
    <w:next w:val="NoList"/>
    <w:uiPriority w:val="99"/>
    <w:semiHidden/>
    <w:unhideWhenUsed/>
    <w:rsid w:val="00FC16D3"/>
  </w:style>
  <w:style w:type="numbering" w:customStyle="1" w:styleId="NoList51">
    <w:name w:val="No List51"/>
    <w:next w:val="NoList"/>
    <w:uiPriority w:val="99"/>
    <w:semiHidden/>
    <w:unhideWhenUsed/>
    <w:rsid w:val="00FC16D3"/>
  </w:style>
  <w:style w:type="paragraph" w:styleId="TOAHeading">
    <w:name w:val="toa heading"/>
    <w:basedOn w:val="Normal"/>
    <w:next w:val="Normal"/>
    <w:rsid w:val="00FC16D3"/>
    <w:pPr>
      <w:widowControl w:val="0"/>
      <w:tabs>
        <w:tab w:val="right" w:pos="9360"/>
      </w:tabs>
      <w:suppressAutoHyphens/>
      <w:spacing w:after="0" w:line="240" w:lineRule="auto"/>
      <w:jc w:val="left"/>
    </w:pPr>
    <w:rPr>
      <w:rFonts w:ascii="Courier New" w:eastAsia="Times New Roman" w:hAnsi="Courier New"/>
      <w:sz w:val="20"/>
      <w:szCs w:val="20"/>
      <w:lang w:val="en-US"/>
    </w:rPr>
  </w:style>
  <w:style w:type="paragraph" w:styleId="BodyText3">
    <w:name w:val="Body Text 3"/>
    <w:basedOn w:val="Normal"/>
    <w:link w:val="BodyText3Char"/>
    <w:rsid w:val="00FC16D3"/>
    <w:pPr>
      <w:spacing w:after="0" w:line="240" w:lineRule="auto"/>
      <w:jc w:val="left"/>
    </w:pPr>
    <w:rPr>
      <w:rFonts w:ascii="Arial" w:eastAsia="Times New Roman" w:hAnsi="Arial"/>
      <w:b/>
      <w:bCs/>
      <w:snapToGrid w:val="0"/>
      <w:color w:val="000000"/>
      <w:sz w:val="16"/>
      <w:szCs w:val="24"/>
      <w:lang w:val="x-none"/>
    </w:rPr>
  </w:style>
  <w:style w:type="character" w:customStyle="1" w:styleId="BodyText3Char">
    <w:name w:val="Body Text 3 Char"/>
    <w:basedOn w:val="DefaultParagraphFont"/>
    <w:link w:val="BodyText3"/>
    <w:rsid w:val="00FC16D3"/>
    <w:rPr>
      <w:rFonts w:ascii="Arial" w:eastAsia="Times New Roman" w:hAnsi="Arial"/>
      <w:b/>
      <w:bCs/>
      <w:snapToGrid w:val="0"/>
      <w:color w:val="000000"/>
      <w:sz w:val="16"/>
      <w:szCs w:val="24"/>
      <w:lang w:val="x-none" w:eastAsia="en-US"/>
    </w:rPr>
  </w:style>
  <w:style w:type="character" w:customStyle="1" w:styleId="BalloonTextChar1">
    <w:name w:val="Balloon Text Char1"/>
    <w:uiPriority w:val="99"/>
    <w:semiHidden/>
    <w:rsid w:val="00FC16D3"/>
    <w:rPr>
      <w:rFonts w:ascii="Tahoma" w:hAnsi="Tahoma" w:cs="Tahoma"/>
      <w:sz w:val="16"/>
      <w:szCs w:val="16"/>
      <w:lang w:eastAsia="en-US"/>
    </w:rPr>
  </w:style>
  <w:style w:type="numbering" w:customStyle="1" w:styleId="NoList61">
    <w:name w:val="No List61"/>
    <w:next w:val="NoList"/>
    <w:uiPriority w:val="99"/>
    <w:semiHidden/>
    <w:unhideWhenUsed/>
    <w:rsid w:val="00FC16D3"/>
  </w:style>
  <w:style w:type="numbering" w:customStyle="1" w:styleId="NoList121">
    <w:name w:val="No List121"/>
    <w:next w:val="NoList"/>
    <w:uiPriority w:val="99"/>
    <w:semiHidden/>
    <w:unhideWhenUsed/>
    <w:rsid w:val="00FC16D3"/>
  </w:style>
  <w:style w:type="table" w:customStyle="1" w:styleId="TableGrid3">
    <w:name w:val="Table Grid3"/>
    <w:basedOn w:val="TableNormal"/>
    <w:next w:val="TableGrid"/>
    <w:uiPriority w:val="59"/>
    <w:rsid w:val="00FC1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C1E1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B7EB6"/>
  </w:style>
  <w:style w:type="numbering" w:customStyle="1" w:styleId="NoList13">
    <w:name w:val="No List13"/>
    <w:next w:val="NoList"/>
    <w:uiPriority w:val="99"/>
    <w:semiHidden/>
    <w:unhideWhenUsed/>
    <w:rsid w:val="004B7EB6"/>
  </w:style>
  <w:style w:type="numbering" w:customStyle="1" w:styleId="NoList113">
    <w:name w:val="No List113"/>
    <w:next w:val="NoList"/>
    <w:uiPriority w:val="99"/>
    <w:semiHidden/>
    <w:unhideWhenUsed/>
    <w:rsid w:val="004B7EB6"/>
  </w:style>
  <w:style w:type="numbering" w:customStyle="1" w:styleId="NoList23">
    <w:name w:val="No List23"/>
    <w:next w:val="NoList"/>
    <w:uiPriority w:val="99"/>
    <w:semiHidden/>
    <w:rsid w:val="004B7EB6"/>
  </w:style>
  <w:style w:type="numbering" w:customStyle="1" w:styleId="NoList32">
    <w:name w:val="No List32"/>
    <w:next w:val="NoList"/>
    <w:uiPriority w:val="99"/>
    <w:semiHidden/>
    <w:unhideWhenUsed/>
    <w:rsid w:val="004B7EB6"/>
  </w:style>
  <w:style w:type="numbering" w:customStyle="1" w:styleId="NoList42">
    <w:name w:val="No List42"/>
    <w:next w:val="NoList"/>
    <w:uiPriority w:val="99"/>
    <w:semiHidden/>
    <w:unhideWhenUsed/>
    <w:rsid w:val="004B7EB6"/>
  </w:style>
  <w:style w:type="numbering" w:customStyle="1" w:styleId="NoList52">
    <w:name w:val="No List52"/>
    <w:next w:val="NoList"/>
    <w:uiPriority w:val="99"/>
    <w:semiHidden/>
    <w:unhideWhenUsed/>
    <w:rsid w:val="004B7EB6"/>
  </w:style>
  <w:style w:type="table" w:customStyle="1" w:styleId="RTWSATable1">
    <w:name w:val="RTWSA Table1"/>
    <w:basedOn w:val="TableNormal"/>
    <w:uiPriority w:val="99"/>
    <w:rsid w:val="004B7EB6"/>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Adobe Devanagari" w:hAnsi="Adobe Devanagari"/>
        <w:b/>
        <w:color w:val="FFFFFF"/>
        <w:sz w:val="22"/>
      </w:rPr>
      <w:tblPr/>
      <w:tcPr>
        <w:tcBorders>
          <w:insideH w:val="single" w:sz="4" w:space="0" w:color="FFFFFF"/>
          <w:insideV w:val="single" w:sz="4" w:space="0" w:color="FFFFFF"/>
        </w:tcBorders>
        <w:shd w:val="clear" w:color="auto" w:fill="A21C26"/>
      </w:tcPr>
    </w:tblStylePr>
    <w:tblStylePr w:type="band1Horz">
      <w:rPr>
        <w:rFonts w:ascii="Adobe Devanagari" w:hAnsi="Adobe Devanagari"/>
        <w:color w:val="auto"/>
        <w:sz w:val="22"/>
      </w:rPr>
    </w:tblStylePr>
    <w:tblStylePr w:type="band2Horz">
      <w:rPr>
        <w:rFonts w:ascii="Adobe Devanagari" w:hAnsi="Adobe Devanagari"/>
        <w:color w:val="auto"/>
        <w:sz w:val="22"/>
      </w:rPr>
      <w:tblPr/>
      <w:tcPr>
        <w:shd w:val="clear" w:color="auto" w:fill="DCDCDC"/>
      </w:tcPr>
    </w:tblStylePr>
  </w:style>
  <w:style w:type="paragraph" w:customStyle="1" w:styleId="msonormal0">
    <w:name w:val="msonormal"/>
    <w:basedOn w:val="Normal"/>
    <w:rsid w:val="004B7EB6"/>
    <w:pPr>
      <w:spacing w:before="100" w:beforeAutospacing="1" w:after="100" w:afterAutospacing="1" w:line="240" w:lineRule="auto"/>
      <w:jc w:val="left"/>
    </w:pPr>
    <w:rPr>
      <w:rFonts w:eastAsia="Times New Roman"/>
      <w:sz w:val="24"/>
      <w:szCs w:val="24"/>
      <w:lang w:eastAsia="en-AU"/>
    </w:rPr>
  </w:style>
  <w:style w:type="paragraph" w:customStyle="1" w:styleId="xl63">
    <w:name w:val="xl63"/>
    <w:basedOn w:val="Normal"/>
    <w:rsid w:val="004B7EB6"/>
    <w:pPr>
      <w:spacing w:before="100" w:beforeAutospacing="1" w:after="100" w:afterAutospacing="1" w:line="240" w:lineRule="auto"/>
      <w:jc w:val="left"/>
    </w:pPr>
    <w:rPr>
      <w:rFonts w:eastAsia="Times New Roman"/>
      <w:szCs w:val="17"/>
      <w:lang w:eastAsia="en-AU"/>
    </w:rPr>
  </w:style>
  <w:style w:type="table" w:customStyle="1" w:styleId="RTWSATable2">
    <w:name w:val="RTWSA Table2"/>
    <w:basedOn w:val="TableNormal"/>
    <w:uiPriority w:val="99"/>
    <w:rsid w:val="004B7EB6"/>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Acumin Pro Condensed" w:hAnsi="Acumin Pro Condensed"/>
        <w:b/>
        <w:color w:val="FFFFFF"/>
        <w:sz w:val="22"/>
      </w:rPr>
      <w:tblPr/>
      <w:tcPr>
        <w:tcBorders>
          <w:insideH w:val="single" w:sz="4" w:space="0" w:color="FFFFFF"/>
          <w:insideV w:val="single" w:sz="4" w:space="0" w:color="FFFFFF"/>
        </w:tcBorders>
        <w:shd w:val="clear" w:color="auto" w:fill="A21C26"/>
      </w:tcPr>
    </w:tblStylePr>
    <w:tblStylePr w:type="band1Horz">
      <w:rPr>
        <w:rFonts w:ascii="Acumin Pro Condensed" w:hAnsi="Acumin Pro Condensed"/>
        <w:color w:val="auto"/>
        <w:sz w:val="22"/>
      </w:rPr>
    </w:tblStylePr>
    <w:tblStylePr w:type="band2Horz">
      <w:rPr>
        <w:rFonts w:ascii="Acumin Pro Condensed" w:hAnsi="Acumin Pro Condensed"/>
        <w:color w:val="auto"/>
        <w:sz w:val="22"/>
      </w:rPr>
      <w:tblPr/>
      <w:tcPr>
        <w:shd w:val="clear" w:color="auto" w:fill="DCDCDC"/>
      </w:tcPr>
    </w:tblStylePr>
  </w:style>
  <w:style w:type="paragraph" w:customStyle="1" w:styleId="RegSpace">
    <w:name w:val="Reg Space"/>
    <w:basedOn w:val="Normal"/>
    <w:link w:val="RegSpaceChar"/>
    <w:qFormat/>
    <w:rsid w:val="00827313"/>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basedOn w:val="DefaultParagraphFont"/>
    <w:link w:val="RegSpace"/>
    <w:rsid w:val="00827313"/>
    <w:rPr>
      <w:rFonts w:ascii="Times New Roman" w:hAnsi="Times New Roman"/>
      <w:color w:val="000000"/>
      <w:sz w:val="17"/>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subordleg&amp;legtitle=Valuation%20of%20Land%20Regulations%202005" TargetMode="External"/><Relationship Id="rId21" Type="http://schemas.openxmlformats.org/officeDocument/2006/relationships/hyperlink" Target="http://www.legislation.sa.gov.au/index.aspx?action=legref&amp;type=subordleg&amp;legtitle=Valuation%20of%20Land%20Regulations%202020" TargetMode="External"/><Relationship Id="rId42" Type="http://schemas.openxmlformats.org/officeDocument/2006/relationships/hyperlink" Target="http://www.legislation.sa.gov.au/index.aspx?action=legref&amp;type=act&amp;legtitle=Health%20Practitioner%20Regulation%20National%20Law" TargetMode="External"/><Relationship Id="rId47" Type="http://schemas.openxmlformats.org/officeDocument/2006/relationships/hyperlink" Target="http://www.legislation.sa.gov.au/index.aspx?action=legref&amp;type=act&amp;legtitle=Work%20Health%20and%20Safety%20Act%202012" TargetMode="External"/><Relationship Id="rId63" Type="http://schemas.openxmlformats.org/officeDocument/2006/relationships/hyperlink" Target="http://www.legislation.sa.gov.au/index.aspx?action=legref&amp;type=act&amp;legtitle=National%20Parks%20and%20Wildlife%20Act%201972" TargetMode="External"/><Relationship Id="rId68" Type="http://schemas.openxmlformats.org/officeDocument/2006/relationships/hyperlink" Target="http://www.legislation.sa.gov.au/index.aspx?action=legref&amp;type=act&amp;legtitle=Natural%20Resources%20Management%20Act%202004" TargetMode="External"/><Relationship Id="rId84" Type="http://schemas.openxmlformats.org/officeDocument/2006/relationships/hyperlink" Target="mailto:dewwaterlicensing@sa.gov.au" TargetMode="External"/><Relationship Id="rId89" Type="http://schemas.openxmlformats.org/officeDocument/2006/relationships/hyperlink" Target="mailto:dew.mar@sa.gov.au" TargetMode="External"/><Relationship Id="rId7" Type="http://schemas.openxmlformats.org/officeDocument/2006/relationships/endnotes" Target="endnotes.xml"/><Relationship Id="rId71" Type="http://schemas.openxmlformats.org/officeDocument/2006/relationships/image" Target="media/image3.png"/><Relationship Id="rId92" Type="http://schemas.openxmlformats.org/officeDocument/2006/relationships/hyperlink" Target="http://www.legislation.sa.gov.au/index.aspx?action=legref&amp;type=act&amp;legtitle=Landscape%20South%20Australia%20Act%202019"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legislation.sa.gov.au/index.aspx?action=legref&amp;type=act&amp;legtitle=Real%20Property%20Act%201886" TargetMode="External"/><Relationship Id="rId11" Type="http://schemas.openxmlformats.org/officeDocument/2006/relationships/footer" Target="footer1.xml"/><Relationship Id="rId24" Type="http://schemas.openxmlformats.org/officeDocument/2006/relationships/hyperlink" Target="http://www.legislation.sa.gov.au/index.aspx?action=legref&amp;type=subordleg&amp;legtitle=Valuation%20of%20Land%20Regulations%202020" TargetMode="External"/><Relationship Id="rId32" Type="http://schemas.openxmlformats.org/officeDocument/2006/relationships/hyperlink" Target="http://www.legislation.sa.gov.au/index.aspx?action=legref&amp;type=act&amp;legtitle=Real%20Property%20Act%201886" TargetMode="External"/><Relationship Id="rId37" Type="http://schemas.openxmlformats.org/officeDocument/2006/relationships/hyperlink" Target="http://www.legislation.sa.gov.au/index.aspx?action=legref&amp;type=act&amp;legtitle=Development%20Act%201993" TargetMode="External"/><Relationship Id="rId40" Type="http://schemas.openxmlformats.org/officeDocument/2006/relationships/hyperlink" Target="http://www.legislation.sa.gov.au/index.aspx?action=legref&amp;type=act&amp;legtitle=Petroleum%20(Submerged%20Lands)%20Act%201982" TargetMode="External"/><Relationship Id="rId45" Type="http://schemas.openxmlformats.org/officeDocument/2006/relationships/hyperlink" Target="http://www.legislation.sa.gov.au/index.aspx?action=legref&amp;type=act&amp;legtitle=Energy%20Products%20(Safety%20and%20Efficiency)%20Act%202000" TargetMode="External"/><Relationship Id="rId53" Type="http://schemas.openxmlformats.org/officeDocument/2006/relationships/hyperlink" Target="http://www.legislation.sa.gov.au/index.aspx?action=legref&amp;type=subordleg&amp;legtitle=Petroleum%20(Submerged%20Lands)%20Regulations%202005" TargetMode="External"/><Relationship Id="rId58" Type="http://schemas.openxmlformats.org/officeDocument/2006/relationships/hyperlink" Target="http://www.legislation.sa.gov.au/index.aspx?action=legref&amp;type=act&amp;legtitle=Heritage%20Places%20Act%201993" TargetMode="External"/><Relationship Id="rId66" Type="http://schemas.openxmlformats.org/officeDocument/2006/relationships/hyperlink" Target="http://www.legislation.sa.gov.au/index.aspx?action=legref&amp;type=act&amp;legtitle=Native%20Vegetation%20Act%201991" TargetMode="External"/><Relationship Id="rId74" Type="http://schemas.openxmlformats.org/officeDocument/2006/relationships/image" Target="media/image6.png"/><Relationship Id="rId79" Type="http://schemas.openxmlformats.org/officeDocument/2006/relationships/hyperlink" Target="http://www.legislation.sa.gov.au/index.aspx?action=legref&amp;type=act&amp;legtitle=Planning%20Development%20and%20Infrastructure%20Act%202016" TargetMode="External"/><Relationship Id="rId87" Type="http://schemas.openxmlformats.org/officeDocument/2006/relationships/hyperlink" Target="mailto:dew.mar@sa.gov.au" TargetMode="External"/><Relationship Id="rId102"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www.legislation.sa.gov.au/index.aspx?action=legref&amp;type=act&amp;legtitle=River%20Murray%20Act%202003" TargetMode="External"/><Relationship Id="rId82" Type="http://schemas.openxmlformats.org/officeDocument/2006/relationships/hyperlink" Target="http://www.sa.gov.au/placenameproposals" TargetMode="External"/><Relationship Id="rId90" Type="http://schemas.openxmlformats.org/officeDocument/2006/relationships/hyperlink" Target="mailto:dewwaterlicensing@sa.gov.au" TargetMode="External"/><Relationship Id="rId95" Type="http://schemas.openxmlformats.org/officeDocument/2006/relationships/hyperlink" Target="http://www.legislation.sa.gov.au/index.aspx?action=legref&amp;type=act&amp;legtitle=Landscape%20South%20Australia%20Act%202019" TargetMode="External"/><Relationship Id="rId19" Type="http://schemas.openxmlformats.org/officeDocument/2006/relationships/hyperlink" Target="http://www.legislation.sa.gov.au/index.aspx?action=legref&amp;type=act&amp;legtitle=Electricity%20Corporations%20(Restructuring%20and%20Disposal)%20Act%201999" TargetMode="External"/><Relationship Id="rId14" Type="http://schemas.openxmlformats.org/officeDocument/2006/relationships/header" Target="header4.xml"/><Relationship Id="rId22" Type="http://schemas.openxmlformats.org/officeDocument/2006/relationships/hyperlink" Target="http://www.legislation.sa.gov.au/index.aspx?action=legref&amp;type=act&amp;legtitle=Valuation%20of%20Land%20Act%201971" TargetMode="External"/><Relationship Id="rId27" Type="http://schemas.openxmlformats.org/officeDocument/2006/relationships/hyperlink" Target="http://www.legislation.sa.gov.au/index.aspx?action=legref&amp;type=act&amp;legtitle=Subordinate%20Legislation%20Act%201978" TargetMode="External"/><Relationship Id="rId30" Type="http://schemas.openxmlformats.org/officeDocument/2006/relationships/hyperlink" Target="http://www.legislation.sa.gov.au/index.aspx?action=legref&amp;type=act&amp;legtitle=Community%20Titles%20Act%201996" TargetMode="External"/><Relationship Id="rId35" Type="http://schemas.openxmlformats.org/officeDocument/2006/relationships/hyperlink" Target="http://www.legislation.sa.gov.au/index.aspx?action=legref&amp;type=act&amp;legtitle=Subordinate%20Legislation%20Act%201978" TargetMode="External"/><Relationship Id="rId43" Type="http://schemas.openxmlformats.org/officeDocument/2006/relationships/hyperlink" Target="http://www.legislation.sa.gov.au/index.aspx?action=legref&amp;type=act&amp;legtitle=Health%20Practitioner%20Regulation%20National%20Law" TargetMode="External"/><Relationship Id="rId48" Type="http://schemas.openxmlformats.org/officeDocument/2006/relationships/hyperlink" Target="http://www.legislation.sa.gov.au/index.aspx?action=legref&amp;type=act&amp;legtitle=Petroleum%20(Submerged%20Lands)%20Act%201982" TargetMode="External"/><Relationship Id="rId56" Type="http://schemas.openxmlformats.org/officeDocument/2006/relationships/hyperlink" Target="http://www.legislation.sa.gov.au/index.aspx?action=legref&amp;type=act&amp;legtitle=Natural%20Resources%20Management%20Act%202004" TargetMode="External"/><Relationship Id="rId64" Type="http://schemas.openxmlformats.org/officeDocument/2006/relationships/hyperlink" Target="http://www.legislation.sa.gov.au/index.aspx?action=legref&amp;type=subordleg&amp;legtitle=South%20Australian%20Public%20Health%20(Wastewater)%20Regulations%202013" TargetMode="External"/><Relationship Id="rId69" Type="http://schemas.openxmlformats.org/officeDocument/2006/relationships/hyperlink" Target="http://www.legislation.sa.gov.au/index.aspx?action=legref&amp;type=act&amp;legtitle=Landscape%20South%20Australia%20Act%202019" TargetMode="External"/><Relationship Id="rId77" Type="http://schemas.openxmlformats.org/officeDocument/2006/relationships/hyperlink" Target="http://www.legislation.sa.gov.au/index.aspx?action=legref&amp;type=act&amp;legtitle=Planning%20Development%20and%20Infrastructure%20Act%202016" TargetMode="External"/><Relationship Id="rId100" Type="http://schemas.openxmlformats.org/officeDocument/2006/relationships/hyperlink" Target="http://www.governmentgazette.sa.gov.au"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legislation.sa.gov.au/index.aspx?action=legref&amp;type=act&amp;legtitle=Petroleum%20(Submerged%20Lands)%20Act%201982" TargetMode="External"/><Relationship Id="rId72" Type="http://schemas.openxmlformats.org/officeDocument/2006/relationships/image" Target="media/image4.png"/><Relationship Id="rId80" Type="http://schemas.openxmlformats.org/officeDocument/2006/relationships/hyperlink" Target="http://www.legislation.sa.gov.au/index.aspx?action=legref&amp;type=act&amp;legtitle=Subordinate%20Legislation%20Act%201978" TargetMode="External"/><Relationship Id="rId85" Type="http://schemas.openxmlformats.org/officeDocument/2006/relationships/hyperlink" Target="mailto:dew.mar@sa.gov.au" TargetMode="External"/><Relationship Id="rId93" Type="http://schemas.openxmlformats.org/officeDocument/2006/relationships/hyperlink" Target="http://www.legislation.sa.gov.au/index.aspx?action=legref&amp;type=act&amp;legtitle=Landscape%20South%20Australia%20Act%202019" TargetMode="External"/><Relationship Id="rId98" Type="http://schemas.openxmlformats.org/officeDocument/2006/relationships/hyperlink" Target="mailto:aero@aal.com.au"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www.legislation.sa.gov.au/index.aspx?action=legref&amp;type=subordleg&amp;legtitle=Valuation%20of%20Land%20Regulations%202005" TargetMode="External"/><Relationship Id="rId33" Type="http://schemas.openxmlformats.org/officeDocument/2006/relationships/hyperlink" Target="http://www.legislation.sa.gov.au/index.aspx?action=legref&amp;type=subordleg&amp;legtitle=Survey%20Regulations%202007" TargetMode="External"/><Relationship Id="rId38" Type="http://schemas.openxmlformats.org/officeDocument/2006/relationships/hyperlink" Target="http://www.legislation.sa.gov.au/index.aspx?action=legref&amp;type=act&amp;legtitle=Planning%20Development%20and%20Infrastructure%20Act%202016" TargetMode="External"/><Relationship Id="rId46" Type="http://schemas.openxmlformats.org/officeDocument/2006/relationships/hyperlink" Target="http://www.legislation.sa.gov.au/index.aspx?action=legref&amp;type=act&amp;legtitle=Electricity%20Act%201996" TargetMode="External"/><Relationship Id="rId59" Type="http://schemas.openxmlformats.org/officeDocument/2006/relationships/hyperlink" Target="http://www.legislation.sa.gov.au/index.aspx?action=legref&amp;type=act&amp;legtitle=Natural%20Resources%20Management%20Act%202004" TargetMode="External"/><Relationship Id="rId67" Type="http://schemas.openxmlformats.org/officeDocument/2006/relationships/hyperlink" Target="http://www.legislation.sa.gov.au/index.aspx?action=legref&amp;type=act&amp;legtitle=Native%20Vegetation%20Act%201991" TargetMode="External"/><Relationship Id="rId103" Type="http://schemas.openxmlformats.org/officeDocument/2006/relationships/header" Target="header7.xml"/><Relationship Id="rId20" Type="http://schemas.openxmlformats.org/officeDocument/2006/relationships/hyperlink" Target="http://www.legislation.sa.gov.au/index.aspx?action=legref&amp;type=act&amp;legtitle=Local%20Government%20Act%201999" TargetMode="External"/><Relationship Id="rId41" Type="http://schemas.openxmlformats.org/officeDocument/2006/relationships/hyperlink" Target="http://www.legislation.sa.gov.au/index.aspx?action=legref&amp;type=act&amp;legtitle=Health%20Practitioner%20Regulation%20National%20Law" TargetMode="External"/><Relationship Id="rId54" Type="http://schemas.openxmlformats.org/officeDocument/2006/relationships/hyperlink" Target="http://www.legislation.sa.gov.au/index.aspx?action=legref&amp;type=act&amp;legtitle=Subordinate%20Legislation%20Act%201978" TargetMode="External"/><Relationship Id="rId62" Type="http://schemas.openxmlformats.org/officeDocument/2006/relationships/hyperlink" Target="http://www.legislation.sa.gov.au/index.aspx?action=legref&amp;type=act&amp;legtitle=Community%20Housing%20National%20Law" TargetMode="External"/><Relationship Id="rId70" Type="http://schemas.openxmlformats.org/officeDocument/2006/relationships/image" Target="media/image2.png"/><Relationship Id="rId75" Type="http://schemas.openxmlformats.org/officeDocument/2006/relationships/image" Target="media/image7.png"/><Relationship Id="rId83" Type="http://schemas.openxmlformats.org/officeDocument/2006/relationships/hyperlink" Target="mailto:dew.mar@sa.gov.au" TargetMode="External"/><Relationship Id="rId88" Type="http://schemas.openxmlformats.org/officeDocument/2006/relationships/hyperlink" Target="mailto:dewwaterlicensing@sa.gov.au" TargetMode="External"/><Relationship Id="rId91" Type="http://schemas.openxmlformats.org/officeDocument/2006/relationships/hyperlink" Target="http://www.legislation.sa.gov.au/index.aspx?action=legref&amp;type=act&amp;legtitle=Landscape%20South%20Australia%20Act%202019" TargetMode="External"/><Relationship Id="rId96" Type="http://schemas.openxmlformats.org/officeDocument/2006/relationships/hyperlink" Target="http://www.sa.gov.au/roadsactproposal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www.legislation.sa.gov.au/index.aspx?action=legref&amp;type=subordleg&amp;legtitle=Valuation%20of%20Land%20Regulations%202020" TargetMode="External"/><Relationship Id="rId28" Type="http://schemas.openxmlformats.org/officeDocument/2006/relationships/hyperlink" Target="http://www.legislation.sa.gov.au/index.aspx?action=legref&amp;type=act&amp;legtitle=Survey%20Act%201992" TargetMode="External"/><Relationship Id="rId36" Type="http://schemas.openxmlformats.org/officeDocument/2006/relationships/hyperlink" Target="http://www.legislation.sa.gov.au/index.aspx?action=legref&amp;type=subordleg&amp;legtitle=Survey%20Regulations%202007" TargetMode="External"/><Relationship Id="rId49" Type="http://schemas.openxmlformats.org/officeDocument/2006/relationships/hyperlink" Target="http://www.legislation.sa.gov.au/index.aspx?action=legref&amp;type=act&amp;legtitle=Petroleum%20(Submerged%20Lands)%20Act%201982" TargetMode="External"/><Relationship Id="rId57" Type="http://schemas.openxmlformats.org/officeDocument/2006/relationships/hyperlink" Target="http://www.legislation.sa.gov.au/index.aspx?action=legref&amp;type=act&amp;legtitle=Landscape%20South%20Australia%20Act%202019" TargetMode="External"/><Relationship Id="rId10" Type="http://schemas.openxmlformats.org/officeDocument/2006/relationships/header" Target="header2.xml"/><Relationship Id="rId31" Type="http://schemas.openxmlformats.org/officeDocument/2006/relationships/hyperlink" Target="http://www.legislation.sa.gov.au/index.aspx?action=legref&amp;type=act&amp;legtitle=Strata%20Titles%20Act%201988" TargetMode="External"/><Relationship Id="rId44" Type="http://schemas.openxmlformats.org/officeDocument/2006/relationships/hyperlink" Target="http://www.legislation.sa.gov.au/index.aspx?action=legref&amp;type=act&amp;legtitle=Dangerous%20Substances%20Act%201979" TargetMode="External"/><Relationship Id="rId52" Type="http://schemas.openxmlformats.org/officeDocument/2006/relationships/hyperlink" Target="http://www.legislation.sa.gov.au/index.aspx?action=legref&amp;type=act&amp;legtitle=Petroleum%20(Submerged%20Lands)%20Act%201982" TargetMode="External"/><Relationship Id="rId60" Type="http://schemas.openxmlformats.org/officeDocument/2006/relationships/hyperlink" Target="http://www.legislation.sa.gov.au/index.aspx?action=legref&amp;type=act&amp;legtitle=Landscape%20South%20Australia%20Act%202019" TargetMode="External"/><Relationship Id="rId65" Type="http://schemas.openxmlformats.org/officeDocument/2006/relationships/hyperlink" Target="http://www.legislation.sa.gov.au/index.aspx?action=legref&amp;type=subordleg&amp;legtitle=Native%20Vegetation%20Regulations%202017" TargetMode="External"/><Relationship Id="rId73" Type="http://schemas.openxmlformats.org/officeDocument/2006/relationships/image" Target="media/image5.png"/><Relationship Id="rId78" Type="http://schemas.openxmlformats.org/officeDocument/2006/relationships/hyperlink" Target="http://www.legislation.sa.gov.au/index.aspx?action=legref&amp;type=act&amp;legtitle=Planning%20Development%20and%20Infrastructure%20Act%202016" TargetMode="External"/><Relationship Id="rId81" Type="http://schemas.openxmlformats.org/officeDocument/2006/relationships/hyperlink" Target="http://www.sa.gov.au/placenameproposals" TargetMode="External"/><Relationship Id="rId86" Type="http://schemas.openxmlformats.org/officeDocument/2006/relationships/hyperlink" Target="mailto:dewwaterlicensing@sa.gov.au" TargetMode="External"/><Relationship Id="rId94" Type="http://schemas.openxmlformats.org/officeDocument/2006/relationships/hyperlink" Target="http://www.legislation.sa.gov.au/index.aspx?action=legref&amp;type=act&amp;legtitle=Landscape%20South%20Australia%20Act%202019" TargetMode="External"/><Relationship Id="rId99" Type="http://schemas.openxmlformats.org/officeDocument/2006/relationships/hyperlink" Target="mailto:governmentgazettesa@sa.gov.au" TargetMode="External"/><Relationship Id="rId101" Type="http://schemas.openxmlformats.org/officeDocument/2006/relationships/hyperlink" Target="http://www.governmentgazette.sa.gov.a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yperlink" Target="http://www.legislation.sa.gov.au/index.aspx?action=legref&amp;type=act&amp;legtitle=Valuation%20of%20Land%20Act%201971" TargetMode="External"/><Relationship Id="rId39" Type="http://schemas.openxmlformats.org/officeDocument/2006/relationships/hyperlink" Target="http://www.legislation.sa.gov.au/index.aspx?action=legref&amp;type=act&amp;legtitle=Subordinate%20Legislation%20Act%201978" TargetMode="External"/><Relationship Id="rId34" Type="http://schemas.openxmlformats.org/officeDocument/2006/relationships/hyperlink" Target="http://www.legislation.sa.gov.au/index.aspx?action=legref&amp;type=subordleg&amp;legtitle=Survey%20Regulations%202007" TargetMode="External"/><Relationship Id="rId50" Type="http://schemas.openxmlformats.org/officeDocument/2006/relationships/hyperlink" Target="http://www.legislation.sa.gov.au/index.aspx?action=legref&amp;type=act&amp;legtitle=Petroleum%20(Submerged%20Lands)%20Act%201982" TargetMode="External"/><Relationship Id="rId55" Type="http://schemas.openxmlformats.org/officeDocument/2006/relationships/hyperlink" Target="http://www.legislation.sa.gov.au/index.aspx?action=legref&amp;type=act&amp;legtitle=Planning%20Development%20and%20Infrastructure%20Act%202016" TargetMode="External"/><Relationship Id="rId76" Type="http://schemas.openxmlformats.org/officeDocument/2006/relationships/hyperlink" Target="http://www.legislation.sa.gov.au/index.aspx?action=legref&amp;type=act&amp;legtitle=Planning%20Development%20and%20Infrastructure%20Act%202016" TargetMode="External"/><Relationship Id="rId97" Type="http://schemas.openxmlformats.org/officeDocument/2006/relationships/image" Target="media/image8.emf"/><Relationship Id="rId10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X:\GAZETTE\TEMPLATES\TEMPLATES%20DOTX%202020\TEMPLATE_GAZETTE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861D5-9DB0-458F-9B8D-7B34B7902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TEMPLATE_GAZETTE_2020</Template>
  <TotalTime>297</TotalTime>
  <Pages>85</Pages>
  <Words>81974</Words>
  <Characters>427910</Characters>
  <Application>Microsoft Office Word</Application>
  <DocSecurity>0</DocSecurity>
  <Lines>18604</Lines>
  <Paragraphs>10197</Paragraphs>
  <ScaleCrop>false</ScaleCrop>
  <HeadingPairs>
    <vt:vector size="2" baseType="variant">
      <vt:variant>
        <vt:lpstr>Title</vt:lpstr>
      </vt:variant>
      <vt:variant>
        <vt:i4>1</vt:i4>
      </vt:variant>
    </vt:vector>
  </HeadingPairs>
  <TitlesOfParts>
    <vt:vector size="1" baseType="lpstr">
      <vt:lpstr>No. 60 - Thursday, 23 July 2020 (pp. 3859–??)</vt:lpstr>
    </vt:vector>
  </TitlesOfParts>
  <Company>SA Government</Company>
  <LinksUpToDate>false</LinksUpToDate>
  <CharactersWithSpaces>499687</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60 - Thursday, 23 July 2020 (pp. 3859–4081)</dc:title>
  <dc:subject/>
  <dc:creator>Alicia Wheaton</dc:creator>
  <cp:keywords/>
  <cp:lastModifiedBy>Alicia Wheaton</cp:lastModifiedBy>
  <cp:revision>404</cp:revision>
  <cp:lastPrinted>2020-07-23T04:38:00Z</cp:lastPrinted>
  <dcterms:created xsi:type="dcterms:W3CDTF">2020-07-22T06:22:00Z</dcterms:created>
  <dcterms:modified xsi:type="dcterms:W3CDTF">2020-07-23T04:49:00Z</dcterms:modified>
</cp:coreProperties>
</file>