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E14F28"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761163">
        <w:rPr>
          <w:smallCaps/>
          <w:color w:val="000000"/>
          <w:sz w:val="28"/>
          <w:szCs w:val="26"/>
        </w:rPr>
        <w:t>4</w:t>
      </w:r>
      <w:r w:rsidR="00A55207">
        <w:rPr>
          <w:smallCaps/>
          <w:color w:val="000000"/>
          <w:sz w:val="28"/>
          <w:szCs w:val="26"/>
        </w:rPr>
        <w:t xml:space="preserve"> </w:t>
      </w:r>
      <w:r w:rsidR="00761163">
        <w:rPr>
          <w:smallCaps/>
          <w:color w:val="000000"/>
          <w:sz w:val="28"/>
          <w:szCs w:val="26"/>
        </w:rPr>
        <w:t>June</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593FE8">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2795"/>
          <w:cols w:space="708"/>
          <w:titlePg/>
          <w:docGrid w:linePitch="360"/>
        </w:sectPr>
      </w:pPr>
    </w:p>
    <w:sdt>
      <w:sdtPr>
        <w:rPr>
          <w:rFonts w:eastAsia="Calibri"/>
          <w:b w:val="0"/>
          <w:smallCaps w:val="0"/>
          <w:szCs w:val="22"/>
        </w:rPr>
        <w:id w:val="-1128862706"/>
        <w:docPartObj>
          <w:docPartGallery w:val="Table of Contents"/>
          <w:docPartUnique/>
        </w:docPartObj>
      </w:sdtPr>
      <w:sdtEndPr>
        <w:rPr>
          <w:bCs/>
          <w:noProof/>
        </w:rPr>
      </w:sdtEndPr>
      <w:sdtContent>
        <w:p w:rsidR="00EF5EE0" w:rsidRDefault="00EF5EE0" w:rsidP="009D152A">
          <w:pPr>
            <w:pStyle w:val="Heading5"/>
            <w:ind w:left="2410" w:right="2403"/>
            <w:rPr>
              <w:rFonts w:asciiTheme="minorHAnsi" w:eastAsiaTheme="minorEastAsia" w:hAnsiTheme="minorHAnsi" w:cstheme="minorBidi"/>
              <w:noProof/>
              <w:sz w:val="22"/>
              <w:szCs w:val="22"/>
            </w:rPr>
          </w:pPr>
          <w:r>
            <w:fldChar w:fldCharType="begin"/>
          </w:r>
          <w:r w:rsidRPr="00EF5EE0">
            <w:instrText xml:space="preserve"> TOC \o "1-3" \h \z \u </w:instrText>
          </w:r>
          <w:r>
            <w:fldChar w:fldCharType="separate"/>
          </w:r>
          <w:hyperlink w:anchor="_Toc42155325" w:history="1">
            <w:r w:rsidRPr="00EF5EE0">
              <w:rPr>
                <w:rStyle w:val="Hyperlink"/>
              </w:rPr>
              <w:t>Governor’s</w:t>
            </w:r>
            <w:r w:rsidRPr="00AD2EB8">
              <w:rPr>
                <w:rStyle w:val="Hyperlink"/>
                <w:noProof/>
              </w:rPr>
              <w:t xml:space="preserve"> Instruments</w:t>
            </w:r>
          </w:hyperlink>
        </w:p>
        <w:p w:rsidR="00EF5EE0" w:rsidRDefault="00C84A5A" w:rsidP="009D152A">
          <w:pPr>
            <w:pStyle w:val="TOC2"/>
            <w:tabs>
              <w:tab w:val="right" w:leader="dot" w:pos="4550"/>
            </w:tabs>
            <w:spacing w:after="80"/>
            <w:jc w:val="center"/>
            <w:rPr>
              <w:rFonts w:asciiTheme="minorHAnsi" w:eastAsiaTheme="minorEastAsia" w:hAnsiTheme="minorHAnsi" w:cstheme="minorBidi"/>
              <w:noProof/>
              <w:color w:val="auto"/>
              <w:sz w:val="22"/>
              <w:szCs w:val="22"/>
            </w:rPr>
          </w:pPr>
          <w:hyperlink w:anchor="_Toc42155326" w:history="1">
            <w:r w:rsidR="00EF5EE0" w:rsidRPr="00AD2EB8">
              <w:rPr>
                <w:rStyle w:val="Hyperlink"/>
                <w:noProof/>
              </w:rPr>
              <w:t>Appointments</w:t>
            </w:r>
            <w:r w:rsidR="00EF5EE0">
              <w:rPr>
                <w:noProof/>
                <w:webHidden/>
              </w:rPr>
              <w:tab/>
            </w:r>
            <w:r w:rsidR="00EF5EE0">
              <w:rPr>
                <w:noProof/>
                <w:webHidden/>
              </w:rPr>
              <w:fldChar w:fldCharType="begin"/>
            </w:r>
            <w:r w:rsidR="00EF5EE0">
              <w:rPr>
                <w:noProof/>
                <w:webHidden/>
              </w:rPr>
              <w:instrText xml:space="preserve"> PAGEREF _Toc42155326 \h </w:instrText>
            </w:r>
            <w:r w:rsidR="00EF5EE0">
              <w:rPr>
                <w:noProof/>
                <w:webHidden/>
              </w:rPr>
            </w:r>
            <w:r w:rsidR="00EF5EE0">
              <w:rPr>
                <w:noProof/>
                <w:webHidden/>
              </w:rPr>
              <w:fldChar w:fldCharType="separate"/>
            </w:r>
            <w:r w:rsidR="00473263">
              <w:rPr>
                <w:noProof/>
                <w:webHidden/>
              </w:rPr>
              <w:t>2796</w:t>
            </w:r>
            <w:r w:rsidR="00EF5EE0">
              <w:rPr>
                <w:noProof/>
                <w:webHidden/>
              </w:rPr>
              <w:fldChar w:fldCharType="end"/>
            </w:r>
          </w:hyperlink>
        </w:p>
        <w:p w:rsidR="00EF5EE0" w:rsidRDefault="00C84A5A" w:rsidP="009D152A">
          <w:pPr>
            <w:pStyle w:val="Heading5"/>
            <w:ind w:left="2410"/>
            <w:rPr>
              <w:rFonts w:asciiTheme="minorHAnsi" w:eastAsiaTheme="minorEastAsia" w:hAnsiTheme="minorHAnsi" w:cstheme="minorBidi"/>
              <w:noProof/>
              <w:sz w:val="22"/>
              <w:szCs w:val="22"/>
            </w:rPr>
          </w:pPr>
          <w:hyperlink w:anchor="_Toc42155327" w:history="1">
            <w:r w:rsidR="00EF5EE0" w:rsidRPr="00AD2EB8">
              <w:rPr>
                <w:rStyle w:val="Hyperlink"/>
                <w:noProof/>
              </w:rPr>
              <w:t xml:space="preserve">State </w:t>
            </w:r>
            <w:r w:rsidR="00EF5EE0" w:rsidRPr="00EF5EE0">
              <w:t>Government</w:t>
            </w:r>
            <w:r w:rsidR="00EF5EE0" w:rsidRPr="00AD2EB8">
              <w:rPr>
                <w:rStyle w:val="Hyperlink"/>
                <w:noProof/>
              </w:rPr>
              <w:t xml:space="preserve"> Instruments</w:t>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28" w:history="1">
            <w:r w:rsidR="00EF5EE0" w:rsidRPr="00AD2EB8">
              <w:rPr>
                <w:rStyle w:val="Hyperlink"/>
                <w:noProof/>
              </w:rPr>
              <w:t>Co-Operatives National Law (South Australia) Act 2013</w:t>
            </w:r>
            <w:r w:rsidR="00EF5EE0">
              <w:rPr>
                <w:noProof/>
                <w:webHidden/>
              </w:rPr>
              <w:tab/>
            </w:r>
            <w:r w:rsidR="00EF5EE0">
              <w:rPr>
                <w:noProof/>
                <w:webHidden/>
              </w:rPr>
              <w:fldChar w:fldCharType="begin"/>
            </w:r>
            <w:r w:rsidR="00EF5EE0">
              <w:rPr>
                <w:noProof/>
                <w:webHidden/>
              </w:rPr>
              <w:instrText xml:space="preserve"> PAGEREF _Toc42155328 \h </w:instrText>
            </w:r>
            <w:r w:rsidR="00EF5EE0">
              <w:rPr>
                <w:noProof/>
                <w:webHidden/>
              </w:rPr>
            </w:r>
            <w:r w:rsidR="00EF5EE0">
              <w:rPr>
                <w:noProof/>
                <w:webHidden/>
              </w:rPr>
              <w:fldChar w:fldCharType="separate"/>
            </w:r>
            <w:r w:rsidR="00473263">
              <w:rPr>
                <w:noProof/>
                <w:webHidden/>
              </w:rPr>
              <w:t>2797</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29" w:history="1">
            <w:r w:rsidR="00EF5EE0" w:rsidRPr="00AD2EB8">
              <w:rPr>
                <w:rStyle w:val="Hyperlink"/>
                <w:noProof/>
              </w:rPr>
              <w:t>Development Act 1993</w:t>
            </w:r>
            <w:r w:rsidR="00EF5EE0">
              <w:rPr>
                <w:noProof/>
                <w:webHidden/>
              </w:rPr>
              <w:tab/>
            </w:r>
            <w:r w:rsidR="00EF5EE0">
              <w:rPr>
                <w:noProof/>
                <w:webHidden/>
              </w:rPr>
              <w:fldChar w:fldCharType="begin"/>
            </w:r>
            <w:r w:rsidR="00EF5EE0">
              <w:rPr>
                <w:noProof/>
                <w:webHidden/>
              </w:rPr>
              <w:instrText xml:space="preserve"> PAGEREF _Toc42155329 \h </w:instrText>
            </w:r>
            <w:r w:rsidR="00EF5EE0">
              <w:rPr>
                <w:noProof/>
                <w:webHidden/>
              </w:rPr>
            </w:r>
            <w:r w:rsidR="00EF5EE0">
              <w:rPr>
                <w:noProof/>
                <w:webHidden/>
              </w:rPr>
              <w:fldChar w:fldCharType="separate"/>
            </w:r>
            <w:r w:rsidR="00473263">
              <w:rPr>
                <w:noProof/>
                <w:webHidden/>
              </w:rPr>
              <w:t>2797</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0" w:history="1">
            <w:r w:rsidR="00EF5EE0" w:rsidRPr="00AD2EB8">
              <w:rPr>
                <w:rStyle w:val="Hyperlink"/>
                <w:noProof/>
              </w:rPr>
              <w:t>Fisheries Management Act 2007</w:t>
            </w:r>
            <w:r w:rsidR="00EF5EE0">
              <w:rPr>
                <w:noProof/>
                <w:webHidden/>
              </w:rPr>
              <w:tab/>
            </w:r>
            <w:r w:rsidR="00EF5EE0">
              <w:rPr>
                <w:noProof/>
                <w:webHidden/>
              </w:rPr>
              <w:fldChar w:fldCharType="begin"/>
            </w:r>
            <w:r w:rsidR="00EF5EE0">
              <w:rPr>
                <w:noProof/>
                <w:webHidden/>
              </w:rPr>
              <w:instrText xml:space="preserve"> PAGEREF _Toc42155330 \h </w:instrText>
            </w:r>
            <w:r w:rsidR="00EF5EE0">
              <w:rPr>
                <w:noProof/>
                <w:webHidden/>
              </w:rPr>
            </w:r>
            <w:r w:rsidR="00EF5EE0">
              <w:rPr>
                <w:noProof/>
                <w:webHidden/>
              </w:rPr>
              <w:fldChar w:fldCharType="separate"/>
            </w:r>
            <w:r w:rsidR="00473263">
              <w:rPr>
                <w:noProof/>
                <w:webHidden/>
              </w:rPr>
              <w:t>2799</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1" w:history="1">
            <w:r w:rsidR="00EF5EE0" w:rsidRPr="00AD2EB8">
              <w:rPr>
                <w:rStyle w:val="Hyperlink"/>
                <w:noProof/>
              </w:rPr>
              <w:t>Health Care Act 2008</w:t>
            </w:r>
            <w:r w:rsidR="00EF5EE0">
              <w:rPr>
                <w:noProof/>
                <w:webHidden/>
              </w:rPr>
              <w:tab/>
            </w:r>
            <w:r w:rsidR="00EF5EE0">
              <w:rPr>
                <w:noProof/>
                <w:webHidden/>
              </w:rPr>
              <w:fldChar w:fldCharType="begin"/>
            </w:r>
            <w:r w:rsidR="00EF5EE0">
              <w:rPr>
                <w:noProof/>
                <w:webHidden/>
              </w:rPr>
              <w:instrText xml:space="preserve"> PAGEREF _Toc42155331 \h </w:instrText>
            </w:r>
            <w:r w:rsidR="00EF5EE0">
              <w:rPr>
                <w:noProof/>
                <w:webHidden/>
              </w:rPr>
            </w:r>
            <w:r w:rsidR="00EF5EE0">
              <w:rPr>
                <w:noProof/>
                <w:webHidden/>
              </w:rPr>
              <w:fldChar w:fldCharType="separate"/>
            </w:r>
            <w:r w:rsidR="00473263">
              <w:rPr>
                <w:noProof/>
                <w:webHidden/>
              </w:rPr>
              <w:t>2806</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2" w:history="1">
            <w:r w:rsidR="00EF5EE0" w:rsidRPr="00AD2EB8">
              <w:rPr>
                <w:rStyle w:val="Hyperlink"/>
                <w:noProof/>
              </w:rPr>
              <w:t>Housing Improvement Act 2016</w:t>
            </w:r>
            <w:r w:rsidR="00EF5EE0">
              <w:rPr>
                <w:noProof/>
                <w:webHidden/>
              </w:rPr>
              <w:tab/>
            </w:r>
            <w:r w:rsidR="00EF5EE0">
              <w:rPr>
                <w:noProof/>
                <w:webHidden/>
              </w:rPr>
              <w:fldChar w:fldCharType="begin"/>
            </w:r>
            <w:r w:rsidR="00EF5EE0">
              <w:rPr>
                <w:noProof/>
                <w:webHidden/>
              </w:rPr>
              <w:instrText xml:space="preserve"> PAGEREF _Toc42155332 \h </w:instrText>
            </w:r>
            <w:r w:rsidR="00EF5EE0">
              <w:rPr>
                <w:noProof/>
                <w:webHidden/>
              </w:rPr>
            </w:r>
            <w:r w:rsidR="00EF5EE0">
              <w:rPr>
                <w:noProof/>
                <w:webHidden/>
              </w:rPr>
              <w:fldChar w:fldCharType="separate"/>
            </w:r>
            <w:r w:rsidR="00473263">
              <w:rPr>
                <w:noProof/>
                <w:webHidden/>
              </w:rPr>
              <w:t>2807</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3" w:history="1">
            <w:r w:rsidR="00EF5EE0" w:rsidRPr="00AD2EB8">
              <w:rPr>
                <w:rStyle w:val="Hyperlink"/>
                <w:noProof/>
              </w:rPr>
              <w:t>Land Acquisition Act 1969</w:t>
            </w:r>
            <w:r w:rsidR="00EF5EE0">
              <w:rPr>
                <w:noProof/>
                <w:webHidden/>
              </w:rPr>
              <w:tab/>
            </w:r>
            <w:r w:rsidR="00EF5EE0">
              <w:rPr>
                <w:noProof/>
                <w:webHidden/>
              </w:rPr>
              <w:fldChar w:fldCharType="begin"/>
            </w:r>
            <w:r w:rsidR="00EF5EE0">
              <w:rPr>
                <w:noProof/>
                <w:webHidden/>
              </w:rPr>
              <w:instrText xml:space="preserve"> PAGEREF _Toc42155333 \h </w:instrText>
            </w:r>
            <w:r w:rsidR="00EF5EE0">
              <w:rPr>
                <w:noProof/>
                <w:webHidden/>
              </w:rPr>
            </w:r>
            <w:r w:rsidR="00EF5EE0">
              <w:rPr>
                <w:noProof/>
                <w:webHidden/>
              </w:rPr>
              <w:fldChar w:fldCharType="separate"/>
            </w:r>
            <w:r w:rsidR="00473263">
              <w:rPr>
                <w:noProof/>
                <w:webHidden/>
              </w:rPr>
              <w:t>2807</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4" w:history="1">
            <w:r w:rsidR="00EF5EE0" w:rsidRPr="00AD2EB8">
              <w:rPr>
                <w:rStyle w:val="Hyperlink"/>
                <w:noProof/>
              </w:rPr>
              <w:t>Local Government Act 1999</w:t>
            </w:r>
            <w:r w:rsidR="00EF5EE0">
              <w:rPr>
                <w:noProof/>
                <w:webHidden/>
              </w:rPr>
              <w:tab/>
            </w:r>
            <w:r w:rsidR="00EF5EE0">
              <w:rPr>
                <w:noProof/>
                <w:webHidden/>
              </w:rPr>
              <w:fldChar w:fldCharType="begin"/>
            </w:r>
            <w:r w:rsidR="00EF5EE0">
              <w:rPr>
                <w:noProof/>
                <w:webHidden/>
              </w:rPr>
              <w:instrText xml:space="preserve"> PAGEREF _Toc42155334 \h </w:instrText>
            </w:r>
            <w:r w:rsidR="00EF5EE0">
              <w:rPr>
                <w:noProof/>
                <w:webHidden/>
              </w:rPr>
            </w:r>
            <w:r w:rsidR="00EF5EE0">
              <w:rPr>
                <w:noProof/>
                <w:webHidden/>
              </w:rPr>
              <w:fldChar w:fldCharType="separate"/>
            </w:r>
            <w:r w:rsidR="00473263">
              <w:rPr>
                <w:noProof/>
                <w:webHidden/>
              </w:rPr>
              <w:t>2809</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5" w:history="1">
            <w:r w:rsidR="00EF5EE0" w:rsidRPr="00AD2EB8">
              <w:rPr>
                <w:rStyle w:val="Hyperlink"/>
                <w:noProof/>
              </w:rPr>
              <w:t>Mental Health Act 2009</w:t>
            </w:r>
            <w:r w:rsidR="00EF5EE0">
              <w:rPr>
                <w:noProof/>
                <w:webHidden/>
              </w:rPr>
              <w:tab/>
            </w:r>
            <w:r w:rsidR="00EF5EE0">
              <w:rPr>
                <w:noProof/>
                <w:webHidden/>
              </w:rPr>
              <w:fldChar w:fldCharType="begin"/>
            </w:r>
            <w:r w:rsidR="00EF5EE0">
              <w:rPr>
                <w:noProof/>
                <w:webHidden/>
              </w:rPr>
              <w:instrText xml:space="preserve"> PAGEREF _Toc42155335 \h </w:instrText>
            </w:r>
            <w:r w:rsidR="00EF5EE0">
              <w:rPr>
                <w:noProof/>
                <w:webHidden/>
              </w:rPr>
            </w:r>
            <w:r w:rsidR="00EF5EE0">
              <w:rPr>
                <w:noProof/>
                <w:webHidden/>
              </w:rPr>
              <w:fldChar w:fldCharType="separate"/>
            </w:r>
            <w:r w:rsidR="00473263">
              <w:rPr>
                <w:noProof/>
                <w:webHidden/>
              </w:rPr>
              <w:t>2809</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6" w:history="1">
            <w:r w:rsidR="00EF5EE0" w:rsidRPr="00AD2EB8">
              <w:rPr>
                <w:rStyle w:val="Hyperlink"/>
                <w:noProof/>
              </w:rPr>
              <w:t>Mining Act 1971</w:t>
            </w:r>
            <w:r w:rsidR="00EF5EE0">
              <w:rPr>
                <w:noProof/>
                <w:webHidden/>
              </w:rPr>
              <w:tab/>
            </w:r>
            <w:r w:rsidR="00EF5EE0">
              <w:rPr>
                <w:noProof/>
                <w:webHidden/>
              </w:rPr>
              <w:fldChar w:fldCharType="begin"/>
            </w:r>
            <w:r w:rsidR="00EF5EE0">
              <w:rPr>
                <w:noProof/>
                <w:webHidden/>
              </w:rPr>
              <w:instrText xml:space="preserve"> PAGEREF _Toc42155336 \h </w:instrText>
            </w:r>
            <w:r w:rsidR="00EF5EE0">
              <w:rPr>
                <w:noProof/>
                <w:webHidden/>
              </w:rPr>
            </w:r>
            <w:r w:rsidR="00EF5EE0">
              <w:rPr>
                <w:noProof/>
                <w:webHidden/>
              </w:rPr>
              <w:fldChar w:fldCharType="separate"/>
            </w:r>
            <w:r w:rsidR="00473263">
              <w:rPr>
                <w:noProof/>
                <w:webHidden/>
              </w:rPr>
              <w:t>2809</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7" w:history="1">
            <w:r w:rsidR="00EF5EE0" w:rsidRPr="00AD2EB8">
              <w:rPr>
                <w:rStyle w:val="Hyperlink"/>
                <w:noProof/>
              </w:rPr>
              <w:t>Motor Vehicles Act 1959</w:t>
            </w:r>
            <w:r w:rsidR="00EF5EE0">
              <w:rPr>
                <w:noProof/>
                <w:webHidden/>
              </w:rPr>
              <w:tab/>
            </w:r>
            <w:r w:rsidR="00EF5EE0">
              <w:rPr>
                <w:noProof/>
                <w:webHidden/>
              </w:rPr>
              <w:fldChar w:fldCharType="begin"/>
            </w:r>
            <w:r w:rsidR="00EF5EE0">
              <w:rPr>
                <w:noProof/>
                <w:webHidden/>
              </w:rPr>
              <w:instrText xml:space="preserve"> PAGEREF _Toc42155337 \h </w:instrText>
            </w:r>
            <w:r w:rsidR="00EF5EE0">
              <w:rPr>
                <w:noProof/>
                <w:webHidden/>
              </w:rPr>
            </w:r>
            <w:r w:rsidR="00EF5EE0">
              <w:rPr>
                <w:noProof/>
                <w:webHidden/>
              </w:rPr>
              <w:fldChar w:fldCharType="separate"/>
            </w:r>
            <w:r w:rsidR="00473263">
              <w:rPr>
                <w:noProof/>
                <w:webHidden/>
              </w:rPr>
              <w:t>2809</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8" w:history="1">
            <w:r w:rsidR="00EF5EE0">
              <w:rPr>
                <w:rStyle w:val="Hyperlink"/>
                <w:noProof/>
              </w:rPr>
              <w:t>Pastoral Land Management a</w:t>
            </w:r>
            <w:r w:rsidR="00EF5EE0" w:rsidRPr="00AD2EB8">
              <w:rPr>
                <w:rStyle w:val="Hyperlink"/>
                <w:noProof/>
              </w:rPr>
              <w:t>nd Conservation Act 1989</w:t>
            </w:r>
            <w:r w:rsidR="00EF5EE0">
              <w:rPr>
                <w:noProof/>
                <w:webHidden/>
              </w:rPr>
              <w:tab/>
            </w:r>
            <w:r w:rsidR="00EF5EE0">
              <w:rPr>
                <w:noProof/>
                <w:webHidden/>
              </w:rPr>
              <w:fldChar w:fldCharType="begin"/>
            </w:r>
            <w:r w:rsidR="00EF5EE0">
              <w:rPr>
                <w:noProof/>
                <w:webHidden/>
              </w:rPr>
              <w:instrText xml:space="preserve"> PAGEREF _Toc42155338 \h </w:instrText>
            </w:r>
            <w:r w:rsidR="00EF5EE0">
              <w:rPr>
                <w:noProof/>
                <w:webHidden/>
              </w:rPr>
            </w:r>
            <w:r w:rsidR="00EF5EE0">
              <w:rPr>
                <w:noProof/>
                <w:webHidden/>
              </w:rPr>
              <w:fldChar w:fldCharType="separate"/>
            </w:r>
            <w:r w:rsidR="00473263">
              <w:rPr>
                <w:noProof/>
                <w:webHidden/>
              </w:rPr>
              <w:t>2812</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39" w:history="1">
            <w:r w:rsidR="00EF5EE0" w:rsidRPr="00AD2EB8">
              <w:rPr>
                <w:rStyle w:val="Hyperlink"/>
                <w:noProof/>
              </w:rPr>
              <w:t>Petroleu</w:t>
            </w:r>
            <w:r w:rsidR="00EF5EE0">
              <w:rPr>
                <w:rStyle w:val="Hyperlink"/>
                <w:noProof/>
              </w:rPr>
              <w:t>m a</w:t>
            </w:r>
            <w:r w:rsidR="00EF5EE0" w:rsidRPr="00AD2EB8">
              <w:rPr>
                <w:rStyle w:val="Hyperlink"/>
                <w:noProof/>
              </w:rPr>
              <w:t>nd Geothermal Energy Act 2000</w:t>
            </w:r>
            <w:r w:rsidR="00EF5EE0">
              <w:rPr>
                <w:noProof/>
                <w:webHidden/>
              </w:rPr>
              <w:tab/>
            </w:r>
            <w:r w:rsidR="00EF5EE0">
              <w:rPr>
                <w:noProof/>
                <w:webHidden/>
              </w:rPr>
              <w:fldChar w:fldCharType="begin"/>
            </w:r>
            <w:r w:rsidR="00EF5EE0">
              <w:rPr>
                <w:noProof/>
                <w:webHidden/>
              </w:rPr>
              <w:instrText xml:space="preserve"> PAGEREF _Toc42155339 \h </w:instrText>
            </w:r>
            <w:r w:rsidR="00EF5EE0">
              <w:rPr>
                <w:noProof/>
                <w:webHidden/>
              </w:rPr>
            </w:r>
            <w:r w:rsidR="00EF5EE0">
              <w:rPr>
                <w:noProof/>
                <w:webHidden/>
              </w:rPr>
              <w:fldChar w:fldCharType="separate"/>
            </w:r>
            <w:r w:rsidR="00473263">
              <w:rPr>
                <w:noProof/>
                <w:webHidden/>
              </w:rPr>
              <w:t>2812</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40" w:history="1">
            <w:r w:rsidR="00EF5EE0">
              <w:rPr>
                <w:rStyle w:val="Hyperlink"/>
                <w:noProof/>
              </w:rPr>
              <w:t>Phylloxera a</w:t>
            </w:r>
            <w:r w:rsidR="00EF5EE0" w:rsidRPr="00AD2EB8">
              <w:rPr>
                <w:rStyle w:val="Hyperlink"/>
                <w:noProof/>
              </w:rPr>
              <w:t>nd Grape Industry Act 1995</w:t>
            </w:r>
            <w:r w:rsidR="00EF5EE0">
              <w:rPr>
                <w:noProof/>
                <w:webHidden/>
              </w:rPr>
              <w:tab/>
            </w:r>
            <w:r w:rsidR="00EF5EE0">
              <w:rPr>
                <w:noProof/>
                <w:webHidden/>
              </w:rPr>
              <w:fldChar w:fldCharType="begin"/>
            </w:r>
            <w:r w:rsidR="00EF5EE0">
              <w:rPr>
                <w:noProof/>
                <w:webHidden/>
              </w:rPr>
              <w:instrText xml:space="preserve"> PAGEREF _Toc42155340 \h </w:instrText>
            </w:r>
            <w:r w:rsidR="00EF5EE0">
              <w:rPr>
                <w:noProof/>
                <w:webHidden/>
              </w:rPr>
            </w:r>
            <w:r w:rsidR="00EF5EE0">
              <w:rPr>
                <w:noProof/>
                <w:webHidden/>
              </w:rPr>
              <w:fldChar w:fldCharType="separate"/>
            </w:r>
            <w:r w:rsidR="00473263">
              <w:rPr>
                <w:noProof/>
                <w:webHidden/>
              </w:rPr>
              <w:t>2815</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41" w:history="1">
            <w:r w:rsidR="00EF5EE0">
              <w:rPr>
                <w:rStyle w:val="Hyperlink"/>
                <w:noProof/>
              </w:rPr>
              <w:t>Proof of Sunrise a</w:t>
            </w:r>
            <w:r w:rsidR="00EF5EE0" w:rsidRPr="00AD2EB8">
              <w:rPr>
                <w:rStyle w:val="Hyperlink"/>
                <w:noProof/>
              </w:rPr>
              <w:t>nd Sunset Act 1923</w:t>
            </w:r>
            <w:r w:rsidR="00EF5EE0">
              <w:rPr>
                <w:noProof/>
                <w:webHidden/>
              </w:rPr>
              <w:tab/>
            </w:r>
            <w:r w:rsidR="00EF5EE0">
              <w:rPr>
                <w:noProof/>
                <w:webHidden/>
              </w:rPr>
              <w:fldChar w:fldCharType="begin"/>
            </w:r>
            <w:r w:rsidR="00EF5EE0">
              <w:rPr>
                <w:noProof/>
                <w:webHidden/>
              </w:rPr>
              <w:instrText xml:space="preserve"> PAGEREF _Toc42155341 \h </w:instrText>
            </w:r>
            <w:r w:rsidR="00EF5EE0">
              <w:rPr>
                <w:noProof/>
                <w:webHidden/>
              </w:rPr>
            </w:r>
            <w:r w:rsidR="00EF5EE0">
              <w:rPr>
                <w:noProof/>
                <w:webHidden/>
              </w:rPr>
              <w:fldChar w:fldCharType="separate"/>
            </w:r>
            <w:r w:rsidR="00473263">
              <w:rPr>
                <w:noProof/>
                <w:webHidden/>
              </w:rPr>
              <w:t>2815</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42" w:history="1">
            <w:r w:rsidR="00EF5EE0">
              <w:rPr>
                <w:rStyle w:val="Hyperlink"/>
                <w:noProof/>
              </w:rPr>
              <w:t>Public a</w:t>
            </w:r>
            <w:r w:rsidR="00EF5EE0" w:rsidRPr="00AD2EB8">
              <w:rPr>
                <w:rStyle w:val="Hyperlink"/>
                <w:noProof/>
              </w:rPr>
              <w:t>nd Finance Audit Act 1987</w:t>
            </w:r>
            <w:r w:rsidR="00EF5EE0">
              <w:rPr>
                <w:noProof/>
                <w:webHidden/>
              </w:rPr>
              <w:tab/>
            </w:r>
            <w:r w:rsidR="00EF5EE0">
              <w:rPr>
                <w:noProof/>
                <w:webHidden/>
              </w:rPr>
              <w:fldChar w:fldCharType="begin"/>
            </w:r>
            <w:r w:rsidR="00EF5EE0">
              <w:rPr>
                <w:noProof/>
                <w:webHidden/>
              </w:rPr>
              <w:instrText xml:space="preserve"> PAGEREF _Toc42155342 \h </w:instrText>
            </w:r>
            <w:r w:rsidR="00EF5EE0">
              <w:rPr>
                <w:noProof/>
                <w:webHidden/>
              </w:rPr>
            </w:r>
            <w:r w:rsidR="00EF5EE0">
              <w:rPr>
                <w:noProof/>
                <w:webHidden/>
              </w:rPr>
              <w:fldChar w:fldCharType="separate"/>
            </w:r>
            <w:r w:rsidR="00473263">
              <w:rPr>
                <w:noProof/>
                <w:webHidden/>
              </w:rPr>
              <w:t>2816</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43" w:history="1">
            <w:r w:rsidR="00EF5EE0">
              <w:rPr>
                <w:rStyle w:val="Hyperlink"/>
                <w:noProof/>
              </w:rPr>
              <w:t>Roads (Opening a</w:t>
            </w:r>
            <w:r w:rsidR="00EF5EE0" w:rsidRPr="00AD2EB8">
              <w:rPr>
                <w:rStyle w:val="Hyperlink"/>
                <w:noProof/>
              </w:rPr>
              <w:t>nd Closing) Act 1991</w:t>
            </w:r>
            <w:r w:rsidR="00EF5EE0">
              <w:rPr>
                <w:noProof/>
                <w:webHidden/>
              </w:rPr>
              <w:tab/>
            </w:r>
            <w:r w:rsidR="00EF5EE0">
              <w:rPr>
                <w:noProof/>
                <w:webHidden/>
              </w:rPr>
              <w:fldChar w:fldCharType="begin"/>
            </w:r>
            <w:r w:rsidR="00EF5EE0">
              <w:rPr>
                <w:noProof/>
                <w:webHidden/>
              </w:rPr>
              <w:instrText xml:space="preserve"> PAGEREF _Toc42155343 \h </w:instrText>
            </w:r>
            <w:r w:rsidR="00EF5EE0">
              <w:rPr>
                <w:noProof/>
                <w:webHidden/>
              </w:rPr>
            </w:r>
            <w:r w:rsidR="00EF5EE0">
              <w:rPr>
                <w:noProof/>
                <w:webHidden/>
              </w:rPr>
              <w:fldChar w:fldCharType="separate"/>
            </w:r>
            <w:r w:rsidR="00473263">
              <w:rPr>
                <w:noProof/>
                <w:webHidden/>
              </w:rPr>
              <w:t>2820</w:t>
            </w:r>
            <w:r w:rsidR="00EF5EE0">
              <w:rPr>
                <w:noProof/>
                <w:webHidden/>
              </w:rPr>
              <w:fldChar w:fldCharType="end"/>
            </w:r>
          </w:hyperlink>
        </w:p>
        <w:p w:rsidR="00EF5EE0" w:rsidRDefault="00C84A5A" w:rsidP="009D152A">
          <w:pPr>
            <w:pStyle w:val="TOC2"/>
            <w:tabs>
              <w:tab w:val="right" w:leader="dot" w:pos="4550"/>
            </w:tabs>
            <w:spacing w:after="80"/>
            <w:jc w:val="center"/>
            <w:rPr>
              <w:rFonts w:asciiTheme="minorHAnsi" w:eastAsiaTheme="minorEastAsia" w:hAnsiTheme="minorHAnsi" w:cstheme="minorBidi"/>
              <w:noProof/>
              <w:color w:val="auto"/>
              <w:sz w:val="22"/>
              <w:szCs w:val="22"/>
            </w:rPr>
          </w:pPr>
          <w:hyperlink w:anchor="_Toc42155344" w:history="1">
            <w:r w:rsidR="00EF5EE0">
              <w:rPr>
                <w:rStyle w:val="Hyperlink"/>
                <w:noProof/>
              </w:rPr>
              <w:t>Work Health a</w:t>
            </w:r>
            <w:r w:rsidR="00EF5EE0" w:rsidRPr="00AD2EB8">
              <w:rPr>
                <w:rStyle w:val="Hyperlink"/>
                <w:noProof/>
              </w:rPr>
              <w:t>nd Safety Act 2012</w:t>
            </w:r>
            <w:r w:rsidR="00EF5EE0">
              <w:rPr>
                <w:noProof/>
                <w:webHidden/>
              </w:rPr>
              <w:tab/>
            </w:r>
            <w:r w:rsidR="00EF5EE0">
              <w:rPr>
                <w:noProof/>
                <w:webHidden/>
              </w:rPr>
              <w:fldChar w:fldCharType="begin"/>
            </w:r>
            <w:r w:rsidR="00EF5EE0">
              <w:rPr>
                <w:noProof/>
                <w:webHidden/>
              </w:rPr>
              <w:instrText xml:space="preserve"> PAGEREF _Toc42155344 \h </w:instrText>
            </w:r>
            <w:r w:rsidR="00EF5EE0">
              <w:rPr>
                <w:noProof/>
                <w:webHidden/>
              </w:rPr>
            </w:r>
            <w:r w:rsidR="00EF5EE0">
              <w:rPr>
                <w:noProof/>
                <w:webHidden/>
              </w:rPr>
              <w:fldChar w:fldCharType="separate"/>
            </w:r>
            <w:r w:rsidR="00473263">
              <w:rPr>
                <w:noProof/>
                <w:webHidden/>
              </w:rPr>
              <w:t>2820</w:t>
            </w:r>
            <w:r w:rsidR="00EF5EE0">
              <w:rPr>
                <w:noProof/>
                <w:webHidden/>
              </w:rPr>
              <w:fldChar w:fldCharType="end"/>
            </w:r>
          </w:hyperlink>
        </w:p>
        <w:p w:rsidR="00EF5EE0" w:rsidRDefault="00C84A5A" w:rsidP="009D152A">
          <w:pPr>
            <w:pStyle w:val="Heading5"/>
            <w:ind w:left="2410"/>
            <w:rPr>
              <w:rFonts w:asciiTheme="minorHAnsi" w:eastAsiaTheme="minorEastAsia" w:hAnsiTheme="minorHAnsi" w:cstheme="minorBidi"/>
              <w:noProof/>
              <w:sz w:val="22"/>
              <w:szCs w:val="22"/>
            </w:rPr>
          </w:pPr>
          <w:hyperlink w:anchor="_Toc42155345" w:history="1">
            <w:r w:rsidR="00EF5EE0" w:rsidRPr="00AD2EB8">
              <w:rPr>
                <w:rStyle w:val="Hyperlink"/>
                <w:noProof/>
              </w:rPr>
              <w:t xml:space="preserve">Local </w:t>
            </w:r>
            <w:r w:rsidR="00EF5EE0" w:rsidRPr="00EF5EE0">
              <w:t>Government</w:t>
            </w:r>
            <w:r w:rsidR="00EF5EE0" w:rsidRPr="00AD2EB8">
              <w:rPr>
                <w:rStyle w:val="Hyperlink"/>
                <w:noProof/>
              </w:rPr>
              <w:t xml:space="preserve"> Instruments</w:t>
            </w:r>
            <w:r w:rsidR="00EF5EE0">
              <w:rPr>
                <w:noProof/>
                <w:webHidden/>
              </w:rPr>
              <w:tab/>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46" w:history="1">
            <w:r w:rsidR="00EF5EE0">
              <w:rPr>
                <w:rStyle w:val="Hyperlink"/>
                <w:noProof/>
              </w:rPr>
              <w:t>City o</w:t>
            </w:r>
            <w:r w:rsidR="00EF5EE0" w:rsidRPr="00AD2EB8">
              <w:rPr>
                <w:rStyle w:val="Hyperlink"/>
                <w:noProof/>
              </w:rPr>
              <w:t>f Norwood Payneham &amp; St Peters</w:t>
            </w:r>
            <w:r w:rsidR="00EF5EE0">
              <w:rPr>
                <w:noProof/>
                <w:webHidden/>
              </w:rPr>
              <w:tab/>
            </w:r>
            <w:r w:rsidR="00EF5EE0">
              <w:rPr>
                <w:noProof/>
                <w:webHidden/>
              </w:rPr>
              <w:fldChar w:fldCharType="begin"/>
            </w:r>
            <w:r w:rsidR="00EF5EE0">
              <w:rPr>
                <w:noProof/>
                <w:webHidden/>
              </w:rPr>
              <w:instrText xml:space="preserve"> PAGEREF _Toc42155346 \h </w:instrText>
            </w:r>
            <w:r w:rsidR="00EF5EE0">
              <w:rPr>
                <w:noProof/>
                <w:webHidden/>
              </w:rPr>
            </w:r>
            <w:r w:rsidR="00EF5EE0">
              <w:rPr>
                <w:noProof/>
                <w:webHidden/>
              </w:rPr>
              <w:fldChar w:fldCharType="separate"/>
            </w:r>
            <w:r w:rsidR="00473263">
              <w:rPr>
                <w:noProof/>
                <w:webHidden/>
              </w:rPr>
              <w:t>2821</w:t>
            </w:r>
            <w:r w:rsidR="00EF5EE0">
              <w:rPr>
                <w:noProof/>
                <w:webHidden/>
              </w:rPr>
              <w:fldChar w:fldCharType="end"/>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47" w:history="1">
            <w:r w:rsidR="00EF5EE0">
              <w:rPr>
                <w:rStyle w:val="Hyperlink"/>
                <w:noProof/>
              </w:rPr>
              <w:t>City o</w:t>
            </w:r>
            <w:r w:rsidR="00EF5EE0" w:rsidRPr="00AD2EB8">
              <w:rPr>
                <w:rStyle w:val="Hyperlink"/>
                <w:noProof/>
              </w:rPr>
              <w:t>f Port Adelaide Enfield</w:t>
            </w:r>
            <w:r w:rsidR="00EF5EE0">
              <w:rPr>
                <w:noProof/>
                <w:webHidden/>
              </w:rPr>
              <w:tab/>
            </w:r>
            <w:r w:rsidR="00EF5EE0">
              <w:rPr>
                <w:noProof/>
                <w:webHidden/>
              </w:rPr>
              <w:fldChar w:fldCharType="begin"/>
            </w:r>
            <w:r w:rsidR="00EF5EE0">
              <w:rPr>
                <w:noProof/>
                <w:webHidden/>
              </w:rPr>
              <w:instrText xml:space="preserve"> PAGEREF _Toc42155347 \h </w:instrText>
            </w:r>
            <w:r w:rsidR="00EF5EE0">
              <w:rPr>
                <w:noProof/>
                <w:webHidden/>
              </w:rPr>
            </w:r>
            <w:r w:rsidR="00EF5EE0">
              <w:rPr>
                <w:noProof/>
                <w:webHidden/>
              </w:rPr>
              <w:fldChar w:fldCharType="separate"/>
            </w:r>
            <w:r w:rsidR="00473263">
              <w:rPr>
                <w:noProof/>
                <w:webHidden/>
              </w:rPr>
              <w:t>2822</w:t>
            </w:r>
            <w:r w:rsidR="00EF5EE0">
              <w:rPr>
                <w:noProof/>
                <w:webHidden/>
              </w:rPr>
              <w:fldChar w:fldCharType="end"/>
            </w:r>
          </w:hyperlink>
        </w:p>
        <w:p w:rsidR="00EF5EE0" w:rsidRDefault="00C84A5A" w:rsidP="009D152A">
          <w:pPr>
            <w:pStyle w:val="TOC2"/>
            <w:tabs>
              <w:tab w:val="right" w:leader="dot" w:pos="4550"/>
            </w:tabs>
            <w:spacing w:after="80"/>
            <w:jc w:val="center"/>
            <w:rPr>
              <w:rFonts w:asciiTheme="minorHAnsi" w:eastAsiaTheme="minorEastAsia" w:hAnsiTheme="minorHAnsi" w:cstheme="minorBidi"/>
              <w:noProof/>
              <w:color w:val="auto"/>
              <w:sz w:val="22"/>
              <w:szCs w:val="22"/>
            </w:rPr>
          </w:pPr>
          <w:hyperlink w:anchor="_Toc42155348" w:history="1">
            <w:r w:rsidR="00EF5EE0">
              <w:rPr>
                <w:rStyle w:val="Hyperlink"/>
                <w:noProof/>
              </w:rPr>
              <w:t>District Council o</w:t>
            </w:r>
            <w:r w:rsidR="00EF5EE0" w:rsidRPr="00AD2EB8">
              <w:rPr>
                <w:rStyle w:val="Hyperlink"/>
                <w:noProof/>
              </w:rPr>
              <w:t>f Robe</w:t>
            </w:r>
            <w:r w:rsidR="00EF5EE0">
              <w:rPr>
                <w:noProof/>
                <w:webHidden/>
              </w:rPr>
              <w:tab/>
            </w:r>
            <w:r w:rsidR="00EF5EE0">
              <w:rPr>
                <w:noProof/>
                <w:webHidden/>
              </w:rPr>
              <w:fldChar w:fldCharType="begin"/>
            </w:r>
            <w:r w:rsidR="00EF5EE0">
              <w:rPr>
                <w:noProof/>
                <w:webHidden/>
              </w:rPr>
              <w:instrText xml:space="preserve"> PAGEREF _Toc42155348 \h </w:instrText>
            </w:r>
            <w:r w:rsidR="00EF5EE0">
              <w:rPr>
                <w:noProof/>
                <w:webHidden/>
              </w:rPr>
            </w:r>
            <w:r w:rsidR="00EF5EE0">
              <w:rPr>
                <w:noProof/>
                <w:webHidden/>
              </w:rPr>
              <w:fldChar w:fldCharType="separate"/>
            </w:r>
            <w:r w:rsidR="00473263">
              <w:rPr>
                <w:noProof/>
                <w:webHidden/>
              </w:rPr>
              <w:t>2822</w:t>
            </w:r>
            <w:r w:rsidR="00EF5EE0">
              <w:rPr>
                <w:noProof/>
                <w:webHidden/>
              </w:rPr>
              <w:fldChar w:fldCharType="end"/>
            </w:r>
          </w:hyperlink>
        </w:p>
        <w:p w:rsidR="00EF5EE0" w:rsidRDefault="00C84A5A" w:rsidP="009D152A">
          <w:pPr>
            <w:pStyle w:val="Heading5"/>
            <w:ind w:left="2410" w:right="2417"/>
            <w:rPr>
              <w:rFonts w:asciiTheme="minorHAnsi" w:eastAsiaTheme="minorEastAsia" w:hAnsiTheme="minorHAnsi" w:cstheme="minorBidi"/>
              <w:noProof/>
              <w:sz w:val="22"/>
              <w:szCs w:val="22"/>
            </w:rPr>
          </w:pPr>
          <w:hyperlink w:anchor="_Toc42155349" w:history="1">
            <w:r w:rsidR="00EF5EE0" w:rsidRPr="00AD2EB8">
              <w:rPr>
                <w:rStyle w:val="Hyperlink"/>
                <w:noProof/>
              </w:rPr>
              <w:t xml:space="preserve">Public </w:t>
            </w:r>
            <w:r w:rsidR="00EF5EE0" w:rsidRPr="00EF5EE0">
              <w:t>Notices</w:t>
            </w:r>
          </w:hyperlink>
        </w:p>
        <w:p w:rsidR="00EF5EE0" w:rsidRDefault="00C84A5A" w:rsidP="009D152A">
          <w:pPr>
            <w:pStyle w:val="TOC2"/>
            <w:tabs>
              <w:tab w:val="right" w:leader="dot" w:pos="4550"/>
            </w:tabs>
            <w:jc w:val="center"/>
            <w:rPr>
              <w:rFonts w:asciiTheme="minorHAnsi" w:eastAsiaTheme="minorEastAsia" w:hAnsiTheme="minorHAnsi" w:cstheme="minorBidi"/>
              <w:noProof/>
              <w:color w:val="auto"/>
              <w:sz w:val="22"/>
              <w:szCs w:val="22"/>
            </w:rPr>
          </w:pPr>
          <w:hyperlink w:anchor="_Toc42155350" w:history="1">
            <w:r w:rsidR="00EF5EE0" w:rsidRPr="00AD2EB8">
              <w:rPr>
                <w:rStyle w:val="Hyperlink"/>
                <w:noProof/>
              </w:rPr>
              <w:t>Trustee Act 1936</w:t>
            </w:r>
            <w:r w:rsidR="00EF5EE0">
              <w:rPr>
                <w:noProof/>
                <w:webHidden/>
              </w:rPr>
              <w:tab/>
            </w:r>
            <w:r w:rsidR="00EF5EE0">
              <w:rPr>
                <w:noProof/>
                <w:webHidden/>
              </w:rPr>
              <w:fldChar w:fldCharType="begin"/>
            </w:r>
            <w:r w:rsidR="00EF5EE0">
              <w:rPr>
                <w:noProof/>
                <w:webHidden/>
              </w:rPr>
              <w:instrText xml:space="preserve"> PAGEREF _Toc42155350 \h </w:instrText>
            </w:r>
            <w:r w:rsidR="00EF5EE0">
              <w:rPr>
                <w:noProof/>
                <w:webHidden/>
              </w:rPr>
            </w:r>
            <w:r w:rsidR="00EF5EE0">
              <w:rPr>
                <w:noProof/>
                <w:webHidden/>
              </w:rPr>
              <w:fldChar w:fldCharType="separate"/>
            </w:r>
            <w:r w:rsidR="00473263">
              <w:rPr>
                <w:noProof/>
                <w:webHidden/>
              </w:rPr>
              <w:t>2823</w:t>
            </w:r>
            <w:r w:rsidR="00EF5EE0">
              <w:rPr>
                <w:noProof/>
                <w:webHidden/>
              </w:rPr>
              <w:fldChar w:fldCharType="end"/>
            </w:r>
          </w:hyperlink>
        </w:p>
        <w:p w:rsidR="00EF5EE0" w:rsidRDefault="00EF5EE0" w:rsidP="009D152A">
          <w:pPr>
            <w:jc w:val="center"/>
          </w:pPr>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9D152A">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space="240"/>
          <w:docGrid w:linePitch="360"/>
        </w:sectPr>
      </w:pPr>
    </w:p>
    <w:p w:rsidR="009D1E2E" w:rsidRPr="00C32E4F" w:rsidRDefault="009D1E2E" w:rsidP="00F80EF5">
      <w:pPr>
        <w:pStyle w:val="Heading1"/>
      </w:pPr>
      <w:bookmarkStart w:id="0" w:name="_Toc33707977"/>
      <w:bookmarkStart w:id="1" w:name="_Toc33708148"/>
      <w:bookmarkStart w:id="2" w:name="_Toc42155325"/>
      <w:r w:rsidRPr="009D1E2E">
        <w:lastRenderedPageBreak/>
        <w:t>Governor’s Instruments</w:t>
      </w:r>
      <w:bookmarkEnd w:id="0"/>
      <w:bookmarkEnd w:id="1"/>
      <w:bookmarkEnd w:id="2"/>
      <w:r>
        <w:t xml:space="preserve"> </w:t>
      </w:r>
    </w:p>
    <w:p w:rsidR="00064C75" w:rsidRDefault="009562D8" w:rsidP="009562D8">
      <w:pPr>
        <w:pStyle w:val="Heading2"/>
      </w:pPr>
      <w:bookmarkStart w:id="3" w:name="_Toc33707978"/>
      <w:bookmarkStart w:id="4" w:name="_Toc33708149"/>
      <w:bookmarkStart w:id="5" w:name="_Toc42155326"/>
      <w:r>
        <w:t>Appointments</w:t>
      </w:r>
      <w:bookmarkEnd w:id="3"/>
      <w:bookmarkEnd w:id="4"/>
      <w:bookmarkEnd w:id="5"/>
    </w:p>
    <w:p w:rsidR="00597F2F" w:rsidRPr="00597F2F" w:rsidRDefault="00597F2F" w:rsidP="00597F2F">
      <w:pPr>
        <w:spacing w:after="0"/>
        <w:jc w:val="right"/>
        <w:rPr>
          <w:rFonts w:eastAsia="Times New Roman"/>
          <w:szCs w:val="17"/>
        </w:rPr>
      </w:pPr>
      <w:r w:rsidRPr="00597F2F">
        <w:rPr>
          <w:rFonts w:eastAsia="Times New Roman"/>
          <w:szCs w:val="17"/>
        </w:rPr>
        <w:t>Department of the Premier and Cabinet</w:t>
      </w:r>
    </w:p>
    <w:p w:rsidR="00597F2F" w:rsidRPr="00597F2F" w:rsidRDefault="00597F2F" w:rsidP="00597F2F">
      <w:pPr>
        <w:jc w:val="right"/>
        <w:rPr>
          <w:rFonts w:eastAsia="Times New Roman"/>
          <w:szCs w:val="17"/>
        </w:rPr>
      </w:pPr>
      <w:r w:rsidRPr="00597F2F">
        <w:rPr>
          <w:rFonts w:eastAsia="Times New Roman"/>
          <w:szCs w:val="17"/>
        </w:rPr>
        <w:t>Adelaide, 4 June 2020</w:t>
      </w:r>
    </w:p>
    <w:p w:rsidR="00597F2F" w:rsidRPr="00597F2F" w:rsidRDefault="00597F2F" w:rsidP="00597F2F">
      <w:pPr>
        <w:rPr>
          <w:rFonts w:eastAsia="Times New Roman"/>
          <w:szCs w:val="17"/>
        </w:rPr>
      </w:pPr>
      <w:r w:rsidRPr="00597F2F">
        <w:rPr>
          <w:rFonts w:eastAsia="Times New Roman"/>
          <w:szCs w:val="17"/>
        </w:rPr>
        <w:t>His Excellency the Governor in Executive Council has been pleased to appoint the undermentioned to the Adelaide Cemeteries Authority Board, pursuant to the provisions of the Adelaide Cemeteries Authority Act 2001:</w:t>
      </w:r>
    </w:p>
    <w:p w:rsidR="00597F2F" w:rsidRPr="00597F2F" w:rsidRDefault="00597F2F" w:rsidP="00597F2F">
      <w:pPr>
        <w:spacing w:after="0"/>
        <w:ind w:left="142"/>
        <w:jc w:val="left"/>
        <w:rPr>
          <w:szCs w:val="17"/>
        </w:rPr>
      </w:pPr>
      <w:r w:rsidRPr="00597F2F">
        <w:rPr>
          <w:szCs w:val="17"/>
        </w:rPr>
        <w:t>Director: from 5 June 2020 until 4 June 2024</w:t>
      </w:r>
    </w:p>
    <w:p w:rsidR="00597F2F" w:rsidRPr="00597F2F" w:rsidRDefault="00597F2F" w:rsidP="00FC6042">
      <w:pPr>
        <w:spacing w:after="0"/>
        <w:ind w:left="284"/>
        <w:contextualSpacing/>
        <w:jc w:val="left"/>
        <w:rPr>
          <w:szCs w:val="17"/>
        </w:rPr>
      </w:pPr>
      <w:r w:rsidRPr="00597F2F">
        <w:rPr>
          <w:szCs w:val="17"/>
        </w:rPr>
        <w:t xml:space="preserve">Pasquale Paul Di Iulio </w:t>
      </w:r>
    </w:p>
    <w:p w:rsidR="00597F2F" w:rsidRPr="00597F2F" w:rsidRDefault="00597F2F" w:rsidP="00FC6042">
      <w:pPr>
        <w:tabs>
          <w:tab w:val="center" w:pos="4536"/>
        </w:tabs>
        <w:spacing w:after="0"/>
        <w:ind w:left="142"/>
        <w:jc w:val="center"/>
        <w:rPr>
          <w:szCs w:val="17"/>
        </w:rPr>
      </w:pPr>
      <w:r w:rsidRPr="00597F2F">
        <w:rPr>
          <w:szCs w:val="17"/>
        </w:rPr>
        <w:t>By command,</w:t>
      </w:r>
    </w:p>
    <w:p w:rsidR="00597F2F" w:rsidRPr="00597F2F" w:rsidRDefault="00597F2F" w:rsidP="00597F2F">
      <w:pPr>
        <w:spacing w:after="0"/>
        <w:jc w:val="right"/>
        <w:rPr>
          <w:smallCaps/>
          <w:szCs w:val="17"/>
        </w:rPr>
      </w:pPr>
      <w:r w:rsidRPr="00597F2F">
        <w:rPr>
          <w:smallCaps/>
          <w:szCs w:val="17"/>
        </w:rPr>
        <w:t>Steven Spence Marshall</w:t>
      </w:r>
    </w:p>
    <w:p w:rsidR="00597F2F" w:rsidRPr="00597F2F" w:rsidRDefault="00597F2F" w:rsidP="00597F2F">
      <w:pPr>
        <w:spacing w:after="0"/>
        <w:jc w:val="right"/>
        <w:rPr>
          <w:szCs w:val="17"/>
        </w:rPr>
      </w:pPr>
      <w:r w:rsidRPr="00597F2F">
        <w:rPr>
          <w:szCs w:val="17"/>
        </w:rPr>
        <w:t>Premier</w:t>
      </w:r>
    </w:p>
    <w:p w:rsidR="00597F2F" w:rsidRPr="00597F2F" w:rsidRDefault="00597F2F" w:rsidP="00597F2F">
      <w:pPr>
        <w:spacing w:after="0"/>
        <w:jc w:val="left"/>
        <w:rPr>
          <w:szCs w:val="17"/>
        </w:rPr>
      </w:pPr>
      <w:r w:rsidRPr="00597F2F">
        <w:rPr>
          <w:szCs w:val="17"/>
        </w:rPr>
        <w:t>MPL20/012CS</w:t>
      </w:r>
    </w:p>
    <w:p w:rsidR="00597F2F" w:rsidRPr="00597F2F" w:rsidRDefault="00597F2F" w:rsidP="00597F2F">
      <w:pPr>
        <w:pBdr>
          <w:top w:val="single" w:sz="4" w:space="1" w:color="auto"/>
        </w:pBdr>
        <w:spacing w:before="100" w:after="0" w:line="14" w:lineRule="exact"/>
        <w:jc w:val="center"/>
        <w:rPr>
          <w:rFonts w:ascii="Segoe UI Light" w:hAnsi="Segoe UI Light"/>
          <w:sz w:val="22"/>
        </w:rPr>
      </w:pPr>
    </w:p>
    <w:p w:rsidR="00597F2F" w:rsidRPr="00597F2F" w:rsidRDefault="00597F2F" w:rsidP="00597F2F">
      <w:pPr>
        <w:jc w:val="right"/>
        <w:rPr>
          <w:rFonts w:eastAsia="Times New Roman"/>
          <w:szCs w:val="17"/>
        </w:rPr>
      </w:pPr>
    </w:p>
    <w:p w:rsidR="00597F2F" w:rsidRPr="00597F2F" w:rsidRDefault="00597F2F" w:rsidP="00597F2F">
      <w:pPr>
        <w:spacing w:after="0"/>
        <w:jc w:val="right"/>
        <w:rPr>
          <w:szCs w:val="17"/>
        </w:rPr>
      </w:pPr>
      <w:r w:rsidRPr="00597F2F">
        <w:rPr>
          <w:szCs w:val="17"/>
        </w:rPr>
        <w:t>Department of the Premier and Cabinet</w:t>
      </w:r>
    </w:p>
    <w:p w:rsidR="00597F2F" w:rsidRPr="00597F2F" w:rsidRDefault="00597F2F" w:rsidP="00597F2F">
      <w:pPr>
        <w:jc w:val="right"/>
        <w:rPr>
          <w:szCs w:val="17"/>
        </w:rPr>
      </w:pPr>
      <w:r w:rsidRPr="00597F2F">
        <w:rPr>
          <w:szCs w:val="17"/>
        </w:rPr>
        <w:t>Adelaide, 4 June 2020</w:t>
      </w:r>
    </w:p>
    <w:p w:rsidR="00597F2F" w:rsidRPr="00597F2F" w:rsidRDefault="00597F2F" w:rsidP="00597F2F">
      <w:pPr>
        <w:rPr>
          <w:rFonts w:eastAsia="Times New Roman"/>
          <w:szCs w:val="17"/>
        </w:rPr>
      </w:pPr>
      <w:r w:rsidRPr="00597F2F">
        <w:rPr>
          <w:rFonts w:eastAsia="Times New Roman"/>
          <w:szCs w:val="17"/>
        </w:rPr>
        <w:t>His Excellency the Governor in Executive Council has been pleased to appoint the people listed to the position of Community Visitor for the terms specified - pursuant to the provisions of the Mental Health Act 2009.</w:t>
      </w:r>
    </w:p>
    <w:p w:rsidR="00597F2F" w:rsidRPr="00597F2F" w:rsidRDefault="00597F2F" w:rsidP="00597F2F">
      <w:pPr>
        <w:spacing w:after="0"/>
        <w:ind w:left="142"/>
        <w:jc w:val="left"/>
        <w:rPr>
          <w:szCs w:val="17"/>
        </w:rPr>
      </w:pPr>
      <w:r w:rsidRPr="00597F2F">
        <w:rPr>
          <w:szCs w:val="17"/>
        </w:rPr>
        <w:t>Margaret Edith Elfenbein for a term of one year commencing on 4 June 2020 and expiring on 3 June 2021</w:t>
      </w:r>
    </w:p>
    <w:p w:rsidR="00597F2F" w:rsidRPr="00597F2F" w:rsidRDefault="00597F2F" w:rsidP="00597F2F">
      <w:pPr>
        <w:spacing w:after="0"/>
        <w:ind w:left="142"/>
        <w:jc w:val="left"/>
        <w:rPr>
          <w:szCs w:val="17"/>
        </w:rPr>
      </w:pPr>
      <w:r w:rsidRPr="00597F2F">
        <w:rPr>
          <w:szCs w:val="17"/>
        </w:rPr>
        <w:t>Kim Richard Steinle for a term of one year commencing on 4 June 2020 and expiring on 3 June 2021</w:t>
      </w:r>
    </w:p>
    <w:p w:rsidR="00597F2F" w:rsidRPr="00597F2F" w:rsidRDefault="00597F2F" w:rsidP="00597F2F">
      <w:pPr>
        <w:spacing w:after="0"/>
        <w:ind w:left="142"/>
        <w:jc w:val="left"/>
        <w:rPr>
          <w:szCs w:val="17"/>
        </w:rPr>
      </w:pPr>
      <w:r w:rsidRPr="00597F2F">
        <w:rPr>
          <w:szCs w:val="17"/>
        </w:rPr>
        <w:t>Anne Gordon Burgess for a term of one year commencing on 4 June 2020 and expiring on 3 June 2021</w:t>
      </w:r>
    </w:p>
    <w:p w:rsidR="00597F2F" w:rsidRPr="00597F2F" w:rsidRDefault="00597F2F" w:rsidP="00597F2F">
      <w:pPr>
        <w:spacing w:after="0"/>
        <w:ind w:left="142"/>
        <w:jc w:val="left"/>
        <w:rPr>
          <w:szCs w:val="17"/>
        </w:rPr>
      </w:pPr>
      <w:r w:rsidRPr="00597F2F">
        <w:rPr>
          <w:szCs w:val="17"/>
        </w:rPr>
        <w:t>Ayu Anugrahaning Pamungkas for a term of one year commencing on 21 June 2020 and expiring on 20 June 2021</w:t>
      </w:r>
    </w:p>
    <w:p w:rsidR="00597F2F" w:rsidRPr="00597F2F" w:rsidRDefault="00597F2F" w:rsidP="00597F2F">
      <w:pPr>
        <w:spacing w:after="0"/>
        <w:ind w:left="142"/>
        <w:jc w:val="left"/>
        <w:rPr>
          <w:szCs w:val="17"/>
        </w:rPr>
      </w:pPr>
      <w:r w:rsidRPr="00597F2F">
        <w:rPr>
          <w:szCs w:val="17"/>
        </w:rPr>
        <w:t>Susan Margaret Whitington for a term of one year commencing on 21 June 2020 and expiring on 20 June 2021</w:t>
      </w:r>
    </w:p>
    <w:p w:rsidR="00597F2F" w:rsidRPr="00597F2F" w:rsidRDefault="00597F2F" w:rsidP="00597F2F">
      <w:pPr>
        <w:spacing w:after="0"/>
        <w:ind w:left="142"/>
        <w:jc w:val="left"/>
        <w:rPr>
          <w:szCs w:val="17"/>
        </w:rPr>
      </w:pPr>
      <w:r w:rsidRPr="00597F2F">
        <w:rPr>
          <w:szCs w:val="17"/>
        </w:rPr>
        <w:t>Judith Mary Harvey for a term of one year commencing on 21 June 2020 and expiring on 20 June 2021</w:t>
      </w:r>
    </w:p>
    <w:p w:rsidR="00597F2F" w:rsidRPr="00597F2F" w:rsidRDefault="00597F2F" w:rsidP="00597F2F">
      <w:pPr>
        <w:spacing w:after="0"/>
        <w:ind w:left="142"/>
        <w:jc w:val="left"/>
        <w:rPr>
          <w:szCs w:val="17"/>
        </w:rPr>
      </w:pPr>
      <w:r w:rsidRPr="00597F2F">
        <w:rPr>
          <w:szCs w:val="17"/>
        </w:rPr>
        <w:t>Ingrid Lily Davies for a term of one year commencing on 21 June 2020 and expiring on 20 June 2021</w:t>
      </w:r>
    </w:p>
    <w:p w:rsidR="00597F2F" w:rsidRPr="00597F2F" w:rsidRDefault="00597F2F" w:rsidP="00FC6042">
      <w:pPr>
        <w:ind w:left="142"/>
        <w:jc w:val="left"/>
        <w:rPr>
          <w:szCs w:val="17"/>
        </w:rPr>
      </w:pPr>
      <w:r w:rsidRPr="00597F2F">
        <w:rPr>
          <w:szCs w:val="17"/>
        </w:rPr>
        <w:t>Brian Frank Day for a term of one year commencing on 21 June 2020 and expiring on 20 June 2021</w:t>
      </w:r>
    </w:p>
    <w:p w:rsidR="00597F2F" w:rsidRPr="00597F2F" w:rsidRDefault="00597F2F" w:rsidP="00597F2F">
      <w:pPr>
        <w:jc w:val="center"/>
        <w:rPr>
          <w:rFonts w:eastAsia="Times New Roman"/>
          <w:szCs w:val="17"/>
        </w:rPr>
      </w:pPr>
      <w:r w:rsidRPr="00597F2F">
        <w:rPr>
          <w:rFonts w:eastAsia="Times New Roman"/>
          <w:szCs w:val="17"/>
        </w:rPr>
        <w:t>By command,</w:t>
      </w:r>
    </w:p>
    <w:p w:rsidR="00597F2F" w:rsidRPr="00597F2F" w:rsidRDefault="00597F2F" w:rsidP="00597F2F">
      <w:pPr>
        <w:spacing w:after="0"/>
        <w:jc w:val="right"/>
        <w:rPr>
          <w:smallCaps/>
          <w:szCs w:val="17"/>
        </w:rPr>
      </w:pPr>
      <w:r w:rsidRPr="00597F2F">
        <w:rPr>
          <w:smallCaps/>
          <w:szCs w:val="17"/>
        </w:rPr>
        <w:t>Steven Spence Marshall</w:t>
      </w:r>
    </w:p>
    <w:p w:rsidR="00597F2F" w:rsidRPr="00597F2F" w:rsidRDefault="00597F2F" w:rsidP="00597F2F">
      <w:pPr>
        <w:spacing w:after="0"/>
        <w:jc w:val="right"/>
        <w:rPr>
          <w:szCs w:val="17"/>
        </w:rPr>
      </w:pPr>
      <w:r w:rsidRPr="00597F2F">
        <w:rPr>
          <w:szCs w:val="17"/>
        </w:rPr>
        <w:t>Premier</w:t>
      </w:r>
    </w:p>
    <w:p w:rsidR="00597F2F" w:rsidRDefault="00597F2F" w:rsidP="00597F2F">
      <w:pPr>
        <w:spacing w:after="0"/>
        <w:jc w:val="left"/>
        <w:rPr>
          <w:szCs w:val="17"/>
        </w:rPr>
      </w:pPr>
      <w:r w:rsidRPr="00597F2F">
        <w:rPr>
          <w:szCs w:val="17"/>
        </w:rPr>
        <w:t>HEAC-2020-00008</w:t>
      </w:r>
    </w:p>
    <w:p w:rsidR="00597F2F" w:rsidRDefault="00597F2F" w:rsidP="00597F2F">
      <w:pPr>
        <w:pBdr>
          <w:bottom w:val="single" w:sz="4" w:space="1" w:color="auto"/>
        </w:pBdr>
        <w:spacing w:after="0" w:line="52" w:lineRule="exact"/>
        <w:jc w:val="center"/>
      </w:pPr>
    </w:p>
    <w:p w:rsidR="00597F2F" w:rsidRDefault="00597F2F" w:rsidP="00597F2F">
      <w:pPr>
        <w:pBdr>
          <w:top w:val="single" w:sz="4" w:space="1" w:color="auto"/>
        </w:pBdr>
        <w:spacing w:before="34" w:after="0" w:line="14" w:lineRule="exact"/>
        <w:jc w:val="center"/>
      </w:pPr>
    </w:p>
    <w:p w:rsidR="00694D0A" w:rsidRDefault="000249AC" w:rsidP="00864D1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r>
        <w:br w:type="page"/>
      </w:r>
    </w:p>
    <w:p w:rsidR="009D1E2E" w:rsidRPr="009D1E2E" w:rsidRDefault="009D1E2E" w:rsidP="00F80EF5">
      <w:pPr>
        <w:pStyle w:val="Heading1"/>
      </w:pPr>
      <w:bookmarkStart w:id="6" w:name="_Toc33707982"/>
      <w:bookmarkStart w:id="7" w:name="_Toc33708153"/>
      <w:bookmarkStart w:id="8" w:name="_Toc42155327"/>
      <w:r w:rsidRPr="009D1E2E">
        <w:lastRenderedPageBreak/>
        <w:t>State Government Instruments</w:t>
      </w:r>
      <w:bookmarkEnd w:id="6"/>
      <w:bookmarkEnd w:id="7"/>
      <w:bookmarkEnd w:id="8"/>
    </w:p>
    <w:p w:rsidR="00221E0D" w:rsidRPr="00221E0D" w:rsidRDefault="00221E0D" w:rsidP="00300268">
      <w:pPr>
        <w:pStyle w:val="Heading2"/>
      </w:pPr>
      <w:bookmarkStart w:id="9" w:name="_Toc42155328"/>
      <w:r w:rsidRPr="00221E0D">
        <w:t>CO-OPERATIVES NATIONAL LAW (SOUTH AUSTRALIA) ACT 2013</w:t>
      </w:r>
      <w:bookmarkEnd w:id="9"/>
    </w:p>
    <w:p w:rsidR="00221E0D" w:rsidRPr="00221E0D" w:rsidRDefault="00221E0D" w:rsidP="00221E0D">
      <w:pPr>
        <w:jc w:val="center"/>
        <w:rPr>
          <w:rFonts w:eastAsia="Times New Roman"/>
          <w:i/>
          <w:szCs w:val="20"/>
        </w:rPr>
      </w:pPr>
      <w:r w:rsidRPr="00221E0D">
        <w:rPr>
          <w:rFonts w:eastAsia="Times New Roman"/>
          <w:i/>
          <w:szCs w:val="20"/>
        </w:rPr>
        <w:t>Notice of Approvals by the Registrar of Co-Operatives (Notice)</w:t>
      </w:r>
    </w:p>
    <w:p w:rsidR="00221E0D" w:rsidRPr="00221E0D" w:rsidRDefault="00221E0D" w:rsidP="00FC7B18">
      <w:pPr>
        <w:numPr>
          <w:ilvl w:val="0"/>
          <w:numId w:val="5"/>
        </w:numPr>
        <w:ind w:hanging="357"/>
        <w:rPr>
          <w:rFonts w:eastAsia="Times New Roman"/>
          <w:b/>
          <w:szCs w:val="20"/>
        </w:rPr>
      </w:pPr>
      <w:r w:rsidRPr="00221E0D">
        <w:rPr>
          <w:rFonts w:eastAsia="Times New Roman"/>
          <w:b/>
          <w:szCs w:val="20"/>
        </w:rPr>
        <w:t>Preliminary</w:t>
      </w:r>
    </w:p>
    <w:p w:rsidR="00221E0D" w:rsidRPr="00221E0D" w:rsidRDefault="00221E0D" w:rsidP="00FC7B18">
      <w:pPr>
        <w:numPr>
          <w:ilvl w:val="0"/>
          <w:numId w:val="6"/>
        </w:numPr>
        <w:ind w:hanging="357"/>
        <w:rPr>
          <w:rFonts w:eastAsia="Times New Roman"/>
          <w:szCs w:val="20"/>
        </w:rPr>
      </w:pPr>
      <w:r w:rsidRPr="00221E0D">
        <w:rPr>
          <w:rFonts w:eastAsia="Times New Roman"/>
          <w:szCs w:val="20"/>
        </w:rPr>
        <w:t>This Notice is authorised by sections 15(2)(g) and 607(3) of the Co-operatives National Law (South Australia) Act 2013.</w:t>
      </w:r>
    </w:p>
    <w:p w:rsidR="00221E0D" w:rsidRPr="00221E0D" w:rsidRDefault="00221E0D" w:rsidP="00FC7B18">
      <w:pPr>
        <w:numPr>
          <w:ilvl w:val="0"/>
          <w:numId w:val="6"/>
        </w:numPr>
        <w:ind w:hanging="357"/>
        <w:rPr>
          <w:rFonts w:eastAsia="Times New Roman"/>
          <w:szCs w:val="20"/>
        </w:rPr>
      </w:pPr>
      <w:r w:rsidRPr="00221E0D">
        <w:rPr>
          <w:rFonts w:eastAsia="Times New Roman"/>
          <w:szCs w:val="20"/>
        </w:rPr>
        <w:t xml:space="preserve">The approval in clauses 2(1)(a) and 2(1)(c) of this Notice apply to all statutory demands served on co-operatives in </w:t>
      </w:r>
      <w:r w:rsidR="00C84A5A">
        <w:rPr>
          <w:rFonts w:eastAsia="Times New Roman"/>
          <w:szCs w:val="20"/>
        </w:rPr>
        <w:t>South </w:t>
      </w:r>
      <w:r w:rsidRPr="00221E0D">
        <w:rPr>
          <w:rFonts w:eastAsia="Times New Roman"/>
          <w:szCs w:val="20"/>
        </w:rPr>
        <w:t>Australia on or after the date of publication of this Notice.</w:t>
      </w:r>
    </w:p>
    <w:p w:rsidR="00221E0D" w:rsidRPr="00221E0D" w:rsidRDefault="00221E0D" w:rsidP="00FC7B18">
      <w:pPr>
        <w:numPr>
          <w:ilvl w:val="0"/>
          <w:numId w:val="6"/>
        </w:numPr>
        <w:ind w:hanging="357"/>
        <w:rPr>
          <w:rFonts w:eastAsia="Times New Roman"/>
          <w:szCs w:val="20"/>
        </w:rPr>
      </w:pPr>
      <w:r w:rsidRPr="00221E0D">
        <w:rPr>
          <w:rFonts w:eastAsia="Times New Roman"/>
          <w:szCs w:val="20"/>
        </w:rPr>
        <w:t xml:space="preserve">The approval in clause 2(1)(b) applies to all statutory demands served on co-operatives in South Australia on or after </w:t>
      </w:r>
      <w:r w:rsidR="00C84A5A">
        <w:rPr>
          <w:rFonts w:eastAsia="Times New Roman"/>
          <w:szCs w:val="20"/>
        </w:rPr>
        <w:t>25 </w:t>
      </w:r>
      <w:r w:rsidRPr="00221E0D">
        <w:rPr>
          <w:rFonts w:eastAsia="Times New Roman"/>
          <w:szCs w:val="20"/>
        </w:rPr>
        <w:t>March 2020.</w:t>
      </w:r>
    </w:p>
    <w:p w:rsidR="00221E0D" w:rsidRPr="00221E0D" w:rsidRDefault="00221E0D" w:rsidP="00FC7B18">
      <w:pPr>
        <w:numPr>
          <w:ilvl w:val="0"/>
          <w:numId w:val="6"/>
        </w:numPr>
        <w:ind w:hanging="357"/>
        <w:rPr>
          <w:rFonts w:eastAsia="Times New Roman"/>
          <w:szCs w:val="20"/>
        </w:rPr>
      </w:pPr>
      <w:r w:rsidRPr="00221E0D">
        <w:rPr>
          <w:rFonts w:eastAsia="Times New Roman"/>
          <w:szCs w:val="20"/>
        </w:rPr>
        <w:t>The approvals in clauses 2(1)(a) and 2(1)(c) of this Notice expire at the end of the period of 6 months starting on 25 March 2020.</w:t>
      </w:r>
    </w:p>
    <w:p w:rsidR="00221E0D" w:rsidRPr="00221E0D" w:rsidRDefault="00221E0D" w:rsidP="00FC7B18">
      <w:pPr>
        <w:numPr>
          <w:ilvl w:val="0"/>
          <w:numId w:val="5"/>
        </w:numPr>
        <w:ind w:hanging="357"/>
        <w:rPr>
          <w:rFonts w:eastAsia="Times New Roman"/>
          <w:b/>
          <w:szCs w:val="20"/>
        </w:rPr>
      </w:pPr>
      <w:r w:rsidRPr="00221E0D">
        <w:rPr>
          <w:rFonts w:eastAsia="Times New Roman"/>
          <w:b/>
          <w:szCs w:val="20"/>
        </w:rPr>
        <w:t>Preliminary</w:t>
      </w:r>
    </w:p>
    <w:p w:rsidR="00221E0D" w:rsidRPr="00221E0D" w:rsidRDefault="00221E0D" w:rsidP="00FC7B18">
      <w:pPr>
        <w:numPr>
          <w:ilvl w:val="0"/>
          <w:numId w:val="7"/>
        </w:numPr>
        <w:ind w:hanging="357"/>
        <w:rPr>
          <w:rFonts w:eastAsia="Times New Roman"/>
          <w:szCs w:val="20"/>
        </w:rPr>
      </w:pPr>
      <w:r w:rsidRPr="00221E0D">
        <w:rPr>
          <w:rFonts w:eastAsia="Times New Roman"/>
          <w:szCs w:val="20"/>
        </w:rPr>
        <w:t>I, Dini Soulio, Registrar of Co-operatives, approve the following for the purpose of Part 5.4 of the Corporations Act 2001 (Cwth), as applied to co-operatives in South Australia by section 444 of the Co-operatives National Law (South Australia) Act 2013:</w:t>
      </w:r>
    </w:p>
    <w:p w:rsidR="00221E0D" w:rsidRPr="00221E0D" w:rsidRDefault="00221E0D" w:rsidP="00FC7B18">
      <w:pPr>
        <w:numPr>
          <w:ilvl w:val="0"/>
          <w:numId w:val="8"/>
        </w:numPr>
        <w:ind w:hanging="357"/>
        <w:rPr>
          <w:rFonts w:eastAsia="Times New Roman"/>
          <w:szCs w:val="20"/>
        </w:rPr>
      </w:pPr>
      <w:r w:rsidRPr="00221E0D">
        <w:rPr>
          <w:rFonts w:eastAsia="Times New Roman"/>
          <w:szCs w:val="20"/>
        </w:rPr>
        <w:t>For the purposes of paragraph (a) of the definition of statutory minimum in section 9 of the Corporations Act 2001, the amount approved is $20,000.</w:t>
      </w:r>
    </w:p>
    <w:p w:rsidR="00221E0D" w:rsidRPr="00221E0D" w:rsidRDefault="00221E0D" w:rsidP="00FC7B18">
      <w:pPr>
        <w:numPr>
          <w:ilvl w:val="0"/>
          <w:numId w:val="8"/>
        </w:numPr>
        <w:ind w:hanging="357"/>
        <w:rPr>
          <w:rFonts w:eastAsia="Times New Roman"/>
          <w:szCs w:val="20"/>
        </w:rPr>
      </w:pPr>
      <w:r w:rsidRPr="00221E0D">
        <w:rPr>
          <w:rFonts w:eastAsia="Times New Roman"/>
          <w:szCs w:val="20"/>
        </w:rPr>
        <w:t>For the purposes of paragraph (b) of the definition of statutory period in section 9 of the Corporations Act 2001, the period is 6 months.</w:t>
      </w:r>
    </w:p>
    <w:p w:rsidR="00221E0D" w:rsidRPr="00221E0D" w:rsidRDefault="00221E0D" w:rsidP="00FC7B18">
      <w:pPr>
        <w:numPr>
          <w:ilvl w:val="0"/>
          <w:numId w:val="8"/>
        </w:numPr>
        <w:ind w:hanging="357"/>
        <w:rPr>
          <w:rFonts w:eastAsia="Times New Roman"/>
          <w:szCs w:val="20"/>
        </w:rPr>
      </w:pPr>
      <w:r w:rsidRPr="00221E0D">
        <w:rPr>
          <w:rFonts w:eastAsia="Times New Roman"/>
          <w:szCs w:val="20"/>
        </w:rPr>
        <w:t xml:space="preserve">For the purposes of section 459E(2)(e) of the Corporations Act 2001, the approved form is Form 509H of </w:t>
      </w:r>
      <w:r w:rsidR="00C84A5A">
        <w:rPr>
          <w:rFonts w:eastAsia="Times New Roman"/>
          <w:szCs w:val="20"/>
        </w:rPr>
        <w:t>Schedule </w:t>
      </w:r>
      <w:r w:rsidRPr="00221E0D">
        <w:rPr>
          <w:rFonts w:eastAsia="Times New Roman"/>
          <w:szCs w:val="20"/>
        </w:rPr>
        <w:t>2 of the Corporations Regulations 2001 (Cwth), as in force from time to time, modified in the same manner as if Form 509(H) was an ‘applied provision’ for the purposes of section 15 of the Co-operatives National Law (South Australia) Act 2013.</w:t>
      </w:r>
    </w:p>
    <w:p w:rsidR="00221E0D" w:rsidRPr="00221E0D" w:rsidRDefault="00221E0D" w:rsidP="00221E0D">
      <w:pPr>
        <w:spacing w:after="0"/>
        <w:rPr>
          <w:rFonts w:eastAsia="Times New Roman"/>
          <w:szCs w:val="17"/>
        </w:rPr>
      </w:pPr>
      <w:r w:rsidRPr="00221E0D">
        <w:rPr>
          <w:rFonts w:eastAsia="Times New Roman"/>
          <w:szCs w:val="17"/>
        </w:rPr>
        <w:t>Dated: 1 June 2020</w:t>
      </w:r>
    </w:p>
    <w:p w:rsidR="00221E0D" w:rsidRPr="00221E0D" w:rsidRDefault="00221E0D" w:rsidP="00221E0D">
      <w:pPr>
        <w:spacing w:after="0"/>
        <w:jc w:val="right"/>
        <w:rPr>
          <w:rFonts w:eastAsia="Times New Roman"/>
          <w:smallCaps/>
          <w:szCs w:val="20"/>
        </w:rPr>
      </w:pPr>
      <w:r w:rsidRPr="00221E0D">
        <w:rPr>
          <w:rFonts w:eastAsia="Times New Roman"/>
          <w:smallCaps/>
          <w:szCs w:val="20"/>
        </w:rPr>
        <w:t>Dini Soulio</w:t>
      </w:r>
    </w:p>
    <w:p w:rsidR="009D1E2E" w:rsidRDefault="00221E0D" w:rsidP="00221E0D">
      <w:pPr>
        <w:spacing w:after="0"/>
        <w:jc w:val="right"/>
        <w:rPr>
          <w:rFonts w:eastAsia="Times New Roman"/>
          <w:szCs w:val="17"/>
        </w:rPr>
      </w:pPr>
      <w:r w:rsidRPr="00221E0D">
        <w:rPr>
          <w:rFonts w:eastAsia="Times New Roman"/>
          <w:szCs w:val="17"/>
        </w:rPr>
        <w:t>Registrar of Co-Operatives</w:t>
      </w:r>
    </w:p>
    <w:p w:rsidR="00221E0D" w:rsidRDefault="00221E0D" w:rsidP="00221E0D">
      <w:pPr>
        <w:pBdr>
          <w:bottom w:val="single" w:sz="4" w:space="1" w:color="auto"/>
        </w:pBdr>
        <w:spacing w:after="0" w:line="52" w:lineRule="exact"/>
        <w:jc w:val="center"/>
        <w:rPr>
          <w:lang w:val="en-US"/>
        </w:rPr>
      </w:pPr>
    </w:p>
    <w:p w:rsidR="00221E0D" w:rsidRDefault="00221E0D" w:rsidP="00221E0D">
      <w:pPr>
        <w:pBdr>
          <w:top w:val="single" w:sz="4" w:space="1" w:color="auto"/>
        </w:pBdr>
        <w:spacing w:before="34" w:after="0" w:line="14" w:lineRule="exact"/>
        <w:jc w:val="center"/>
        <w:rPr>
          <w:lang w:val="en-US"/>
        </w:rPr>
      </w:pPr>
    </w:p>
    <w:p w:rsidR="00221E0D" w:rsidRDefault="00221E0D"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21E0D" w:rsidRPr="00221E0D" w:rsidRDefault="00221E0D" w:rsidP="00300268">
      <w:pPr>
        <w:pStyle w:val="Heading2"/>
      </w:pPr>
      <w:bookmarkStart w:id="10" w:name="_Toc42155329"/>
      <w:r w:rsidRPr="00221E0D">
        <w:t>DEVELOPMENT ACT 1993</w:t>
      </w:r>
      <w:bookmarkEnd w:id="10"/>
    </w:p>
    <w:p w:rsidR="00221E0D" w:rsidRPr="00221E0D" w:rsidRDefault="00221E0D" w:rsidP="00221E0D">
      <w:pPr>
        <w:spacing w:after="0"/>
        <w:jc w:val="center"/>
        <w:rPr>
          <w:i/>
          <w:szCs w:val="17"/>
        </w:rPr>
      </w:pPr>
      <w:r w:rsidRPr="00221E0D">
        <w:rPr>
          <w:i/>
          <w:szCs w:val="17"/>
        </w:rPr>
        <w:t>Alteration to the Building Code of Australia</w:t>
      </w:r>
    </w:p>
    <w:p w:rsidR="00221E0D" w:rsidRPr="00221E0D" w:rsidRDefault="00221E0D" w:rsidP="00221E0D">
      <w:pPr>
        <w:rPr>
          <w:rFonts w:eastAsia="Times New Roman"/>
          <w:b/>
          <w:szCs w:val="17"/>
        </w:rPr>
      </w:pPr>
      <w:r w:rsidRPr="00221E0D">
        <w:rPr>
          <w:rFonts w:eastAsia="Times New Roman"/>
          <w:b/>
          <w:szCs w:val="17"/>
        </w:rPr>
        <w:t>Preamble</w:t>
      </w:r>
    </w:p>
    <w:p w:rsidR="00221E0D" w:rsidRPr="00221E0D" w:rsidRDefault="00221E0D" w:rsidP="00221E0D">
      <w:pPr>
        <w:tabs>
          <w:tab w:val="left" w:pos="426"/>
        </w:tabs>
        <w:ind w:left="426" w:hanging="284"/>
        <w:rPr>
          <w:rFonts w:eastAsia="Times New Roman"/>
          <w:szCs w:val="17"/>
        </w:rPr>
      </w:pPr>
      <w:r w:rsidRPr="00221E0D">
        <w:rPr>
          <w:rFonts w:eastAsia="Times New Roman"/>
          <w:szCs w:val="17"/>
        </w:rPr>
        <w:t>1.</w:t>
      </w:r>
      <w:r w:rsidRPr="00221E0D">
        <w:rPr>
          <w:rFonts w:eastAsia="Times New Roman"/>
          <w:szCs w:val="17"/>
        </w:rPr>
        <w:tab/>
        <w:t xml:space="preserve">The Building Code of Australia being Volumes One and Two in the National Construction Code series as in force from time to time is adopted by the </w:t>
      </w:r>
      <w:r w:rsidRPr="00221E0D">
        <w:rPr>
          <w:rFonts w:eastAsia="Times New Roman"/>
          <w:i/>
          <w:szCs w:val="17"/>
        </w:rPr>
        <w:t>Development Regulations 2008</w:t>
      </w:r>
      <w:r w:rsidRPr="00221E0D">
        <w:rPr>
          <w:rFonts w:eastAsia="Times New Roman"/>
          <w:szCs w:val="17"/>
        </w:rPr>
        <w:t xml:space="preserve"> as part of the Building Rules under the </w:t>
      </w:r>
      <w:r w:rsidRPr="00221E0D">
        <w:rPr>
          <w:rFonts w:eastAsia="Times New Roman"/>
          <w:i/>
          <w:szCs w:val="17"/>
        </w:rPr>
        <w:t>Development Act 1993</w:t>
      </w:r>
      <w:r w:rsidRPr="00221E0D">
        <w:rPr>
          <w:rFonts w:eastAsia="Times New Roman"/>
          <w:szCs w:val="17"/>
        </w:rPr>
        <w:t>.</w:t>
      </w:r>
    </w:p>
    <w:p w:rsidR="00221E0D" w:rsidRPr="00221E0D" w:rsidRDefault="00221E0D" w:rsidP="00221E0D">
      <w:pPr>
        <w:tabs>
          <w:tab w:val="left" w:pos="426"/>
        </w:tabs>
        <w:ind w:left="426" w:hanging="284"/>
        <w:rPr>
          <w:rFonts w:eastAsia="Times New Roman"/>
          <w:szCs w:val="17"/>
        </w:rPr>
      </w:pPr>
      <w:r w:rsidRPr="00221E0D">
        <w:rPr>
          <w:rFonts w:eastAsia="Times New Roman"/>
          <w:szCs w:val="17"/>
        </w:rPr>
        <w:t>2.</w:t>
      </w:r>
      <w:r w:rsidRPr="00221E0D">
        <w:rPr>
          <w:rFonts w:eastAsia="Times New Roman"/>
          <w:szCs w:val="17"/>
        </w:rPr>
        <w:tab/>
        <w:t xml:space="preserve">The </w:t>
      </w:r>
      <w:r w:rsidRPr="00221E0D">
        <w:rPr>
          <w:rFonts w:eastAsia="Times New Roman"/>
          <w:i/>
          <w:szCs w:val="17"/>
        </w:rPr>
        <w:t>Development Act 1993</w:t>
      </w:r>
      <w:r w:rsidRPr="00221E0D">
        <w:rPr>
          <w:rFonts w:eastAsia="Times New Roman"/>
          <w:szCs w:val="17"/>
        </w:rPr>
        <w:t xml:space="preserve"> requires that notice of the alteration must be published before the alteration can take effect.</w:t>
      </w:r>
    </w:p>
    <w:p w:rsidR="00221E0D" w:rsidRPr="00221E0D" w:rsidRDefault="00221E0D" w:rsidP="00221E0D">
      <w:pPr>
        <w:tabs>
          <w:tab w:val="left" w:pos="426"/>
        </w:tabs>
        <w:jc w:val="center"/>
        <w:rPr>
          <w:rFonts w:eastAsia="Times New Roman"/>
          <w:b/>
          <w:smallCaps/>
          <w:szCs w:val="17"/>
        </w:rPr>
      </w:pPr>
      <w:r w:rsidRPr="00221E0D">
        <w:rPr>
          <w:rFonts w:eastAsia="Times New Roman"/>
          <w:b/>
          <w:smallCaps/>
          <w:szCs w:val="17"/>
        </w:rPr>
        <w:t>NOTICE</w:t>
      </w:r>
    </w:p>
    <w:p w:rsidR="00221E0D" w:rsidRPr="00221E0D" w:rsidRDefault="00221E0D" w:rsidP="0062440F">
      <w:pPr>
        <w:pStyle w:val="GG-body"/>
      </w:pPr>
      <w:r w:rsidRPr="00221E0D">
        <w:t xml:space="preserve">PURSUANT to section 4(7) of the </w:t>
      </w:r>
      <w:r w:rsidRPr="00221E0D">
        <w:rPr>
          <w:i/>
        </w:rPr>
        <w:t>Development Act 1993</w:t>
      </w:r>
      <w:r w:rsidRPr="00221E0D">
        <w:t>, notice is given of an alteration to the 2019 edition of the Building Code of Australia, being Volume One and Volume Two in the National Construction Code series (NCC 2019). The Code has been amended and republished as BCA 2019 Amendment 1 by the Australian Building Codes Board.</w:t>
      </w:r>
    </w:p>
    <w:p w:rsidR="00221E0D" w:rsidRPr="00221E0D" w:rsidRDefault="00221E0D" w:rsidP="0062440F">
      <w:pPr>
        <w:pStyle w:val="GG-body"/>
      </w:pPr>
      <w:r w:rsidRPr="00221E0D">
        <w:t xml:space="preserve">NCC 2019 Amendment 1 as modified by the variations and additions for South Australia contained in the Appendix to that Code and as varied by this notice, will take effect for the purposes of the </w:t>
      </w:r>
      <w:r w:rsidRPr="00221E0D">
        <w:rPr>
          <w:i/>
        </w:rPr>
        <w:t xml:space="preserve">Development Act 1993 </w:t>
      </w:r>
      <w:r w:rsidRPr="00221E0D">
        <w:t xml:space="preserve">in South Australia on </w:t>
      </w:r>
      <w:r w:rsidRPr="00221E0D">
        <w:rPr>
          <w:b/>
        </w:rPr>
        <w:t xml:space="preserve">1 July 2020, </w:t>
      </w:r>
      <w:r w:rsidRPr="00221E0D">
        <w:t>with the following additions, exceptions, variations and clarifications:</w:t>
      </w:r>
    </w:p>
    <w:p w:rsidR="00221E0D" w:rsidRPr="00221E0D" w:rsidRDefault="00221E0D" w:rsidP="00221E0D">
      <w:pPr>
        <w:tabs>
          <w:tab w:val="left" w:pos="426"/>
        </w:tabs>
        <w:spacing w:before="120" w:after="120"/>
        <w:rPr>
          <w:rFonts w:eastAsia="Times New Roman"/>
          <w:b/>
          <w:szCs w:val="17"/>
        </w:rPr>
      </w:pPr>
      <w:r w:rsidRPr="00221E0D">
        <w:rPr>
          <w:rFonts w:eastAsia="Times New Roman"/>
          <w:b/>
          <w:szCs w:val="17"/>
        </w:rPr>
        <w:t>VOLUME ONE</w:t>
      </w:r>
    </w:p>
    <w:p w:rsidR="00221E0D" w:rsidRPr="00221E0D" w:rsidRDefault="00221E0D" w:rsidP="00221E0D">
      <w:pPr>
        <w:tabs>
          <w:tab w:val="left" w:pos="426"/>
        </w:tabs>
        <w:rPr>
          <w:rFonts w:eastAsia="Times New Roman"/>
          <w:szCs w:val="17"/>
        </w:rPr>
      </w:pPr>
      <w:r w:rsidRPr="00221E0D">
        <w:rPr>
          <w:rFonts w:eastAsia="Times New Roman"/>
          <w:b/>
          <w:szCs w:val="17"/>
        </w:rPr>
        <w:t>A2.2(4)</w:t>
      </w:r>
      <w:r w:rsidRPr="00221E0D">
        <w:rPr>
          <w:rFonts w:eastAsia="Times New Roman"/>
          <w:szCs w:val="17"/>
        </w:rPr>
        <w:t xml:space="preserve"> will not take effect in South Australia until 1 July 2021.</w:t>
      </w:r>
    </w:p>
    <w:p w:rsidR="00221E0D" w:rsidRPr="00221E0D" w:rsidRDefault="00221E0D" w:rsidP="00221E0D">
      <w:pPr>
        <w:tabs>
          <w:tab w:val="left" w:pos="142"/>
        </w:tabs>
        <w:rPr>
          <w:rFonts w:eastAsia="Times New Roman"/>
          <w:szCs w:val="17"/>
        </w:rPr>
      </w:pPr>
      <w:r w:rsidRPr="00221E0D">
        <w:rPr>
          <w:rFonts w:eastAsia="Times New Roman"/>
          <w:szCs w:val="17"/>
        </w:rPr>
        <w:t xml:space="preserve">In </w:t>
      </w:r>
      <w:r w:rsidRPr="00221E0D">
        <w:rPr>
          <w:rFonts w:eastAsia="Times New Roman"/>
          <w:b/>
          <w:szCs w:val="17"/>
        </w:rPr>
        <w:t>SA E1.3 Fire hydrants</w:t>
      </w:r>
      <w:r w:rsidRPr="00221E0D">
        <w:rPr>
          <w:rFonts w:eastAsia="Times New Roman"/>
          <w:szCs w:val="17"/>
        </w:rPr>
        <w:t>, the following words are to be italicised and interpreted as defined terms under Schedule 3 or SA Schedule 3 as relevant:</w:t>
      </w:r>
    </w:p>
    <w:p w:rsidR="00221E0D" w:rsidRPr="00221E0D" w:rsidRDefault="00221E0D" w:rsidP="00FC7B18">
      <w:pPr>
        <w:pStyle w:val="ListParagraph"/>
        <w:numPr>
          <w:ilvl w:val="0"/>
          <w:numId w:val="9"/>
        </w:numPr>
        <w:ind w:left="426" w:hanging="295"/>
        <w:jc w:val="left"/>
        <w:rPr>
          <w:rFonts w:ascii="CG Times (W1)" w:eastAsia="Times New Roman" w:hAnsi="CG Times (W1)"/>
          <w:szCs w:val="17"/>
        </w:rPr>
      </w:pPr>
      <w:r w:rsidRPr="00221E0D">
        <w:rPr>
          <w:rFonts w:ascii="CG Times (W1)" w:eastAsia="Times New Roman" w:hAnsi="CG Times (W1)"/>
          <w:szCs w:val="17"/>
        </w:rPr>
        <w:t>Floor area</w:t>
      </w:r>
    </w:p>
    <w:p w:rsidR="00221E0D" w:rsidRPr="00221E0D" w:rsidRDefault="00221E0D" w:rsidP="00FC7B18">
      <w:pPr>
        <w:pStyle w:val="ListParagraph"/>
        <w:numPr>
          <w:ilvl w:val="0"/>
          <w:numId w:val="9"/>
        </w:numPr>
        <w:ind w:left="426" w:hanging="295"/>
        <w:jc w:val="left"/>
        <w:rPr>
          <w:rFonts w:ascii="CG Times (W1)" w:eastAsia="Times New Roman" w:hAnsi="CG Times (W1)"/>
          <w:szCs w:val="17"/>
        </w:rPr>
      </w:pPr>
      <w:r w:rsidRPr="00221E0D">
        <w:rPr>
          <w:rFonts w:ascii="CG Times (W1)" w:eastAsia="Times New Roman" w:hAnsi="CG Times (W1)"/>
          <w:szCs w:val="17"/>
        </w:rPr>
        <w:t>Required</w:t>
      </w:r>
    </w:p>
    <w:p w:rsidR="00221E0D" w:rsidRPr="00221E0D" w:rsidRDefault="00221E0D" w:rsidP="00FC7B18">
      <w:pPr>
        <w:pStyle w:val="ListParagraph"/>
        <w:numPr>
          <w:ilvl w:val="0"/>
          <w:numId w:val="9"/>
        </w:numPr>
        <w:ind w:left="426" w:hanging="295"/>
        <w:jc w:val="left"/>
        <w:rPr>
          <w:rFonts w:ascii="CG Times (W1)" w:eastAsia="Times New Roman" w:hAnsi="CG Times (W1)"/>
          <w:szCs w:val="17"/>
        </w:rPr>
      </w:pPr>
      <w:r w:rsidRPr="00221E0D">
        <w:rPr>
          <w:rFonts w:ascii="CG Times (W1)" w:eastAsia="Times New Roman" w:hAnsi="CG Times (W1)"/>
          <w:szCs w:val="17"/>
        </w:rPr>
        <w:t>Fire brigade</w:t>
      </w:r>
    </w:p>
    <w:p w:rsidR="00221E0D" w:rsidRPr="00221E0D" w:rsidRDefault="00221E0D" w:rsidP="00FC7B18">
      <w:pPr>
        <w:pStyle w:val="ListParagraph"/>
        <w:numPr>
          <w:ilvl w:val="0"/>
          <w:numId w:val="9"/>
        </w:numPr>
        <w:ind w:left="426" w:hanging="295"/>
        <w:jc w:val="left"/>
        <w:rPr>
          <w:rFonts w:ascii="CG Times (W1)" w:eastAsia="Times New Roman" w:hAnsi="CG Times (W1)"/>
          <w:szCs w:val="17"/>
        </w:rPr>
      </w:pPr>
      <w:r w:rsidRPr="00221E0D">
        <w:rPr>
          <w:rFonts w:ascii="CG Times (W1)" w:eastAsia="Times New Roman" w:hAnsi="CG Times (W1)"/>
          <w:szCs w:val="17"/>
        </w:rPr>
        <w:t>Farm shed</w:t>
      </w:r>
    </w:p>
    <w:p w:rsidR="00221E0D" w:rsidRPr="00221E0D" w:rsidRDefault="00221E0D" w:rsidP="00FC7B18">
      <w:pPr>
        <w:pStyle w:val="ListParagraph"/>
        <w:numPr>
          <w:ilvl w:val="0"/>
          <w:numId w:val="9"/>
        </w:numPr>
        <w:ind w:left="426" w:hanging="295"/>
        <w:jc w:val="left"/>
        <w:rPr>
          <w:rFonts w:ascii="CG Times (W1)" w:eastAsia="Times New Roman" w:hAnsi="CG Times (W1)"/>
          <w:szCs w:val="17"/>
        </w:rPr>
      </w:pPr>
      <w:r w:rsidRPr="00221E0D">
        <w:rPr>
          <w:rFonts w:ascii="CG Times (W1)" w:eastAsia="Times New Roman" w:hAnsi="CG Times (W1)"/>
          <w:szCs w:val="17"/>
        </w:rPr>
        <w:t>Bulk grain storage facility</w:t>
      </w:r>
    </w:p>
    <w:p w:rsidR="00221E0D" w:rsidRPr="00221E0D" w:rsidRDefault="00221E0D" w:rsidP="00221E0D">
      <w:pPr>
        <w:rPr>
          <w:rFonts w:eastAsia="Times New Roman"/>
          <w:szCs w:val="17"/>
        </w:rPr>
      </w:pPr>
      <w:r w:rsidRPr="00221E0D">
        <w:rPr>
          <w:rFonts w:eastAsia="Times New Roman"/>
          <w:szCs w:val="17"/>
        </w:rPr>
        <w:t>Delete all reference to</w:t>
      </w:r>
      <w:r w:rsidRPr="00221E0D">
        <w:rPr>
          <w:rFonts w:eastAsia="Times New Roman"/>
          <w:b/>
          <w:szCs w:val="17"/>
        </w:rPr>
        <w:t xml:space="preserve"> SA GP1.2</w:t>
      </w:r>
      <w:r w:rsidRPr="00221E0D">
        <w:rPr>
          <w:rFonts w:eastAsia="Times New Roman"/>
          <w:szCs w:val="17"/>
        </w:rPr>
        <w:t>.</w:t>
      </w:r>
    </w:p>
    <w:p w:rsidR="00221E0D" w:rsidRPr="00221E0D" w:rsidRDefault="00221E0D" w:rsidP="00221E0D">
      <w:pPr>
        <w:tabs>
          <w:tab w:val="left" w:pos="142"/>
        </w:tabs>
        <w:rPr>
          <w:rFonts w:eastAsia="Times New Roman"/>
          <w:szCs w:val="17"/>
        </w:rPr>
      </w:pPr>
      <w:r w:rsidRPr="00221E0D">
        <w:rPr>
          <w:rFonts w:eastAsia="Times New Roman"/>
          <w:szCs w:val="17"/>
        </w:rPr>
        <w:t xml:space="preserve">In South Australia, vary the application of </w:t>
      </w:r>
      <w:r w:rsidRPr="00221E0D">
        <w:rPr>
          <w:rFonts w:eastAsia="Times New Roman"/>
          <w:b/>
          <w:szCs w:val="17"/>
        </w:rPr>
        <w:t>GP1.2</w:t>
      </w:r>
      <w:r w:rsidRPr="00221E0D">
        <w:rPr>
          <w:rFonts w:eastAsia="Times New Roman"/>
          <w:szCs w:val="17"/>
        </w:rPr>
        <w:t xml:space="preserve"> to read as follows:</w:t>
      </w:r>
    </w:p>
    <w:p w:rsidR="00221E0D" w:rsidRPr="00221E0D" w:rsidRDefault="00221E0D" w:rsidP="00221E0D">
      <w:pPr>
        <w:ind w:left="142"/>
        <w:rPr>
          <w:rFonts w:eastAsia="Times New Roman"/>
          <w:szCs w:val="17"/>
        </w:rPr>
      </w:pPr>
      <w:r w:rsidRPr="00221E0D">
        <w:rPr>
          <w:rFonts w:eastAsia="Times New Roman"/>
          <w:b/>
          <w:szCs w:val="17"/>
        </w:rPr>
        <w:t>Application</w:t>
      </w:r>
      <w:r w:rsidRPr="00221E0D">
        <w:rPr>
          <w:rFonts w:eastAsia="Times New Roman"/>
          <w:szCs w:val="17"/>
        </w:rPr>
        <w:t>:</w:t>
      </w:r>
    </w:p>
    <w:p w:rsidR="00221E0D" w:rsidRPr="00221E0D" w:rsidRDefault="00221E0D" w:rsidP="00221E0D">
      <w:pPr>
        <w:ind w:left="142"/>
        <w:rPr>
          <w:rFonts w:eastAsia="Times New Roman"/>
          <w:szCs w:val="17"/>
        </w:rPr>
      </w:pPr>
      <w:r w:rsidRPr="00221E0D">
        <w:rPr>
          <w:rFonts w:eastAsia="Times New Roman"/>
          <w:b/>
          <w:szCs w:val="17"/>
        </w:rPr>
        <w:t>GP1.2</w:t>
      </w:r>
      <w:r w:rsidRPr="00221E0D">
        <w:rPr>
          <w:rFonts w:eastAsia="Times New Roman"/>
          <w:szCs w:val="17"/>
        </w:rPr>
        <w:t xml:space="preserve"> only applies to a swimming pool associated with a Class 2 or 3 building of Class 4 part of a building, with a depth of water more than 300mm.</w:t>
      </w:r>
    </w:p>
    <w:p w:rsidR="00221E0D" w:rsidRPr="00221E0D" w:rsidRDefault="00221E0D" w:rsidP="00221E0D">
      <w:pPr>
        <w:rPr>
          <w:rFonts w:eastAsia="Times New Roman"/>
          <w:szCs w:val="17"/>
        </w:rPr>
      </w:pPr>
      <w:r w:rsidRPr="00221E0D">
        <w:rPr>
          <w:rFonts w:eastAsia="Times New Roman"/>
          <w:szCs w:val="17"/>
        </w:rPr>
        <w:t xml:space="preserve">After </w:t>
      </w:r>
      <w:r w:rsidRPr="00221E0D">
        <w:rPr>
          <w:rFonts w:eastAsia="Times New Roman"/>
          <w:b/>
          <w:szCs w:val="17"/>
        </w:rPr>
        <w:t>GP1.2(b)</w:t>
      </w:r>
      <w:r w:rsidRPr="00221E0D">
        <w:rPr>
          <w:rFonts w:eastAsia="Times New Roman"/>
          <w:szCs w:val="17"/>
        </w:rPr>
        <w:t xml:space="preserve"> add </w:t>
      </w:r>
      <w:r w:rsidRPr="00221E0D">
        <w:rPr>
          <w:rFonts w:eastAsia="Times New Roman"/>
          <w:b/>
          <w:szCs w:val="17"/>
        </w:rPr>
        <w:t>SA GP1.2(c)</w:t>
      </w:r>
      <w:r w:rsidRPr="00221E0D">
        <w:rPr>
          <w:rFonts w:eastAsia="Times New Roman"/>
          <w:szCs w:val="17"/>
        </w:rPr>
        <w:t xml:space="preserve"> as follows:</w:t>
      </w:r>
    </w:p>
    <w:p w:rsidR="00221E0D" w:rsidRPr="00221E0D" w:rsidRDefault="00221E0D" w:rsidP="00221E0D">
      <w:pPr>
        <w:ind w:firstLine="160"/>
        <w:rPr>
          <w:rFonts w:eastAsia="Times New Roman"/>
          <w:szCs w:val="17"/>
        </w:rPr>
      </w:pPr>
      <w:r w:rsidRPr="00221E0D">
        <w:rPr>
          <w:rFonts w:eastAsia="Times New Roman"/>
          <w:b/>
          <w:szCs w:val="17"/>
        </w:rPr>
        <w:t>SA GP1.2(c)</w:t>
      </w:r>
    </w:p>
    <w:p w:rsidR="00221E0D" w:rsidRPr="00221E0D" w:rsidRDefault="00221E0D" w:rsidP="00221E0D">
      <w:pPr>
        <w:ind w:left="480" w:hanging="320"/>
        <w:rPr>
          <w:rFonts w:eastAsia="Times New Roman"/>
          <w:szCs w:val="17"/>
        </w:rPr>
      </w:pPr>
      <w:r w:rsidRPr="00221E0D">
        <w:rPr>
          <w:rFonts w:eastAsia="Times New Roman"/>
          <w:szCs w:val="17"/>
        </w:rPr>
        <w:t>(c)</w:t>
      </w:r>
      <w:r w:rsidRPr="00221E0D">
        <w:rPr>
          <w:rFonts w:eastAsia="Times New Roman"/>
          <w:szCs w:val="17"/>
        </w:rPr>
        <w:tab/>
        <w:t>a swimming pool must have prominent and visible signage that assists persons to provide first aid and to perform cardio pulmonary resuscitation on young children.</w:t>
      </w:r>
    </w:p>
    <w:p w:rsidR="00221E0D" w:rsidRPr="00221E0D" w:rsidRDefault="00221E0D" w:rsidP="00221E0D">
      <w:pPr>
        <w:rPr>
          <w:rFonts w:eastAsia="Times New Roman"/>
          <w:szCs w:val="17"/>
        </w:rPr>
      </w:pPr>
      <w:r w:rsidRPr="00221E0D">
        <w:rPr>
          <w:rFonts w:eastAsia="Times New Roman"/>
          <w:szCs w:val="17"/>
        </w:rPr>
        <w:t xml:space="preserve">After </w:t>
      </w:r>
      <w:r w:rsidRPr="00221E0D">
        <w:rPr>
          <w:rFonts w:eastAsia="Times New Roman"/>
          <w:b/>
          <w:szCs w:val="17"/>
        </w:rPr>
        <w:t xml:space="preserve">G1.1(c) </w:t>
      </w:r>
      <w:r w:rsidRPr="00221E0D">
        <w:rPr>
          <w:rFonts w:eastAsia="Times New Roman"/>
          <w:szCs w:val="17"/>
        </w:rPr>
        <w:t xml:space="preserve">add </w:t>
      </w:r>
      <w:r w:rsidRPr="00221E0D">
        <w:rPr>
          <w:rFonts w:eastAsia="Times New Roman"/>
          <w:b/>
          <w:szCs w:val="17"/>
        </w:rPr>
        <w:t xml:space="preserve">SA G1.1(d) </w:t>
      </w:r>
      <w:r w:rsidRPr="00221E0D">
        <w:rPr>
          <w:rFonts w:eastAsia="Times New Roman"/>
          <w:szCs w:val="17"/>
        </w:rPr>
        <w:t xml:space="preserve">and </w:t>
      </w:r>
      <w:r w:rsidRPr="00221E0D">
        <w:rPr>
          <w:rFonts w:eastAsia="Times New Roman"/>
          <w:b/>
          <w:szCs w:val="17"/>
        </w:rPr>
        <w:t xml:space="preserve">SA G1.1(e) </w:t>
      </w:r>
      <w:r w:rsidRPr="00221E0D">
        <w:rPr>
          <w:rFonts w:eastAsia="Times New Roman"/>
          <w:szCs w:val="17"/>
        </w:rPr>
        <w:t>as follows:</w:t>
      </w:r>
    </w:p>
    <w:p w:rsidR="00221E0D" w:rsidRPr="00221E0D" w:rsidRDefault="00221E0D" w:rsidP="00221E0D">
      <w:pPr>
        <w:ind w:firstLine="160"/>
        <w:rPr>
          <w:rFonts w:eastAsia="Times New Roman"/>
          <w:b/>
          <w:szCs w:val="17"/>
        </w:rPr>
      </w:pPr>
      <w:r w:rsidRPr="00221E0D">
        <w:rPr>
          <w:rFonts w:eastAsia="Times New Roman"/>
          <w:b/>
          <w:szCs w:val="17"/>
        </w:rPr>
        <w:t>SA G1.1 Swimming pools</w:t>
      </w:r>
    </w:p>
    <w:p w:rsidR="00221E0D" w:rsidRPr="00221E0D" w:rsidRDefault="00221E0D" w:rsidP="00221E0D">
      <w:pPr>
        <w:ind w:left="480" w:hanging="320"/>
        <w:rPr>
          <w:rFonts w:eastAsia="Times New Roman"/>
          <w:szCs w:val="17"/>
        </w:rPr>
      </w:pPr>
      <w:r w:rsidRPr="00221E0D">
        <w:rPr>
          <w:rFonts w:eastAsia="Times New Roman"/>
          <w:szCs w:val="17"/>
        </w:rPr>
        <w:t>(d)</w:t>
      </w:r>
      <w:r w:rsidRPr="00221E0D">
        <w:rPr>
          <w:rFonts w:eastAsia="Times New Roman"/>
          <w:szCs w:val="17"/>
        </w:rPr>
        <w:tab/>
        <w:t>For the purpose of clause 6.1.1 of AS 1926.3, a skimmer box is an outlet, and must have a means of releasing the vacuum pressure should the suction become blocked.</w:t>
      </w:r>
    </w:p>
    <w:p w:rsidR="00221E0D" w:rsidRPr="00221E0D" w:rsidRDefault="00221E0D" w:rsidP="00221E0D">
      <w:pPr>
        <w:ind w:left="480" w:hanging="320"/>
        <w:rPr>
          <w:rFonts w:eastAsia="Times New Roman"/>
          <w:szCs w:val="17"/>
        </w:rPr>
      </w:pPr>
      <w:r w:rsidRPr="00221E0D">
        <w:rPr>
          <w:rFonts w:eastAsia="Times New Roman"/>
          <w:szCs w:val="17"/>
        </w:rPr>
        <w:lastRenderedPageBreak/>
        <w:t>(e)</w:t>
      </w:r>
      <w:r w:rsidRPr="00221E0D">
        <w:rPr>
          <w:rFonts w:eastAsia="Times New Roman"/>
          <w:szCs w:val="17"/>
        </w:rPr>
        <w:tab/>
        <w:t>A first aid and cardiopulmonary resuscitation sign must-</w:t>
      </w:r>
    </w:p>
    <w:p w:rsidR="00221E0D" w:rsidRPr="00221E0D" w:rsidRDefault="00221E0D" w:rsidP="00C84A5A">
      <w:pPr>
        <w:tabs>
          <w:tab w:val="left" w:pos="851"/>
        </w:tabs>
        <w:ind w:left="320" w:firstLine="160"/>
        <w:rPr>
          <w:rFonts w:eastAsia="Times New Roman"/>
          <w:szCs w:val="17"/>
        </w:rPr>
      </w:pPr>
      <w:r w:rsidRPr="00221E0D">
        <w:rPr>
          <w:rFonts w:eastAsia="Times New Roman"/>
          <w:szCs w:val="17"/>
        </w:rPr>
        <w:t>(i)</w:t>
      </w:r>
      <w:r w:rsidRPr="00221E0D">
        <w:rPr>
          <w:rFonts w:eastAsia="Times New Roman"/>
          <w:szCs w:val="17"/>
        </w:rPr>
        <w:tab/>
        <w:t>be attached to the safety barriers of the swimming pool, or displayed near the swimming pool; and</w:t>
      </w:r>
    </w:p>
    <w:p w:rsidR="00221E0D" w:rsidRPr="00221E0D" w:rsidRDefault="00221E0D" w:rsidP="00C84A5A">
      <w:pPr>
        <w:tabs>
          <w:tab w:val="left" w:pos="851"/>
        </w:tabs>
        <w:ind w:left="320" w:firstLine="160"/>
        <w:rPr>
          <w:rFonts w:eastAsia="Times New Roman"/>
          <w:szCs w:val="17"/>
        </w:rPr>
      </w:pPr>
      <w:r w:rsidRPr="00221E0D">
        <w:rPr>
          <w:rFonts w:eastAsia="Times New Roman"/>
          <w:szCs w:val="17"/>
        </w:rPr>
        <w:t>(ii)</w:t>
      </w:r>
      <w:r w:rsidRPr="00221E0D">
        <w:rPr>
          <w:rFonts w:eastAsia="Times New Roman"/>
          <w:szCs w:val="17"/>
        </w:rPr>
        <w:tab/>
        <w:t>be at least 300mm by 300mm in size; and</w:t>
      </w:r>
    </w:p>
    <w:p w:rsidR="00221E0D" w:rsidRPr="00221E0D" w:rsidRDefault="00221E0D" w:rsidP="00C84A5A">
      <w:pPr>
        <w:tabs>
          <w:tab w:val="left" w:pos="851"/>
        </w:tabs>
        <w:ind w:left="320" w:firstLine="160"/>
        <w:rPr>
          <w:rFonts w:eastAsia="Times New Roman"/>
          <w:szCs w:val="17"/>
        </w:rPr>
      </w:pPr>
      <w:r w:rsidRPr="00221E0D">
        <w:rPr>
          <w:rFonts w:eastAsia="Times New Roman"/>
          <w:szCs w:val="17"/>
        </w:rPr>
        <w:t>(iii)</w:t>
      </w:r>
      <w:r w:rsidRPr="00221E0D">
        <w:rPr>
          <w:rFonts w:eastAsia="Times New Roman"/>
          <w:szCs w:val="17"/>
        </w:rPr>
        <w:tab/>
        <w:t>be made of durable and weatherproof material; and</w:t>
      </w:r>
    </w:p>
    <w:p w:rsidR="00221E0D" w:rsidRPr="00221E0D" w:rsidRDefault="00221E0D" w:rsidP="00C84A5A">
      <w:pPr>
        <w:tabs>
          <w:tab w:val="left" w:pos="851"/>
        </w:tabs>
        <w:ind w:left="320" w:firstLine="160"/>
        <w:rPr>
          <w:rFonts w:eastAsia="Times New Roman"/>
          <w:szCs w:val="17"/>
        </w:rPr>
      </w:pPr>
      <w:r w:rsidRPr="00221E0D">
        <w:rPr>
          <w:rFonts w:eastAsia="Times New Roman"/>
          <w:szCs w:val="17"/>
        </w:rPr>
        <w:t>(iv)</w:t>
      </w:r>
      <w:r w:rsidRPr="00221E0D">
        <w:rPr>
          <w:rFonts w:eastAsia="Times New Roman"/>
          <w:szCs w:val="17"/>
        </w:rPr>
        <w:tab/>
        <w:t>show information about the procedures for providing first aid, including performing cardiopulmonary resuscitation.</w:t>
      </w:r>
    </w:p>
    <w:p w:rsidR="00221E0D" w:rsidRPr="00221E0D" w:rsidRDefault="00221E0D" w:rsidP="00221E0D">
      <w:pPr>
        <w:rPr>
          <w:rFonts w:eastAsia="Times New Roman"/>
          <w:szCs w:val="17"/>
        </w:rPr>
      </w:pPr>
      <w:r w:rsidRPr="00221E0D">
        <w:rPr>
          <w:rFonts w:eastAsia="Times New Roman"/>
          <w:szCs w:val="17"/>
        </w:rPr>
        <w:t xml:space="preserve">After </w:t>
      </w:r>
      <w:r w:rsidRPr="00221E0D">
        <w:rPr>
          <w:rFonts w:eastAsia="Times New Roman"/>
          <w:b/>
          <w:szCs w:val="17"/>
        </w:rPr>
        <w:t>G5.2</w:t>
      </w:r>
      <w:r w:rsidRPr="00221E0D">
        <w:rPr>
          <w:rFonts w:eastAsia="Times New Roman"/>
          <w:szCs w:val="17"/>
        </w:rPr>
        <w:t xml:space="preserve"> add </w:t>
      </w:r>
      <w:r w:rsidRPr="00221E0D">
        <w:rPr>
          <w:rFonts w:eastAsia="Times New Roman"/>
          <w:b/>
          <w:szCs w:val="17"/>
        </w:rPr>
        <w:t xml:space="preserve">SA G5.3 </w:t>
      </w:r>
      <w:r w:rsidRPr="00221E0D">
        <w:rPr>
          <w:rFonts w:eastAsia="Times New Roman"/>
          <w:szCs w:val="17"/>
        </w:rPr>
        <w:t>as follows:</w:t>
      </w:r>
    </w:p>
    <w:p w:rsidR="00221E0D" w:rsidRPr="00221E0D" w:rsidRDefault="00221E0D" w:rsidP="00221E0D">
      <w:pPr>
        <w:ind w:firstLine="160"/>
        <w:rPr>
          <w:rFonts w:eastAsia="Times New Roman"/>
          <w:b/>
          <w:szCs w:val="17"/>
        </w:rPr>
      </w:pPr>
      <w:r w:rsidRPr="00221E0D">
        <w:rPr>
          <w:rFonts w:eastAsia="Times New Roman"/>
          <w:b/>
          <w:szCs w:val="17"/>
        </w:rPr>
        <w:t>SA G5.3 Bushfire attack levels</w:t>
      </w:r>
    </w:p>
    <w:p w:rsidR="00221E0D" w:rsidRPr="00221E0D" w:rsidRDefault="00221E0D" w:rsidP="00221E0D">
      <w:pPr>
        <w:ind w:firstLine="160"/>
        <w:rPr>
          <w:rFonts w:eastAsia="Times New Roman"/>
          <w:szCs w:val="17"/>
        </w:rPr>
      </w:pPr>
      <w:r w:rsidRPr="00221E0D">
        <w:rPr>
          <w:rFonts w:eastAsia="Times New Roman"/>
          <w:szCs w:val="17"/>
        </w:rPr>
        <w:t xml:space="preserve">Where a </w:t>
      </w:r>
      <w:r w:rsidRPr="00221E0D">
        <w:rPr>
          <w:rFonts w:eastAsia="Times New Roman"/>
          <w:i/>
          <w:szCs w:val="17"/>
        </w:rPr>
        <w:t>site</w:t>
      </w:r>
      <w:r w:rsidRPr="00221E0D">
        <w:rPr>
          <w:rFonts w:eastAsia="Times New Roman"/>
          <w:szCs w:val="17"/>
        </w:rPr>
        <w:t xml:space="preserve"> is located in a </w:t>
      </w:r>
      <w:r w:rsidRPr="00221E0D">
        <w:rPr>
          <w:rFonts w:eastAsia="Times New Roman"/>
          <w:i/>
          <w:szCs w:val="17"/>
        </w:rPr>
        <w:t>designated bushfire prone area</w:t>
      </w:r>
      <w:r w:rsidRPr="00221E0D">
        <w:rPr>
          <w:rFonts w:eastAsia="Times New Roman"/>
          <w:szCs w:val="17"/>
        </w:rPr>
        <w:t xml:space="preserve">, the bushfire attack level that applies to the </w:t>
      </w:r>
      <w:r w:rsidRPr="00221E0D">
        <w:rPr>
          <w:rFonts w:eastAsia="Times New Roman"/>
          <w:i/>
          <w:szCs w:val="17"/>
        </w:rPr>
        <w:t>site</w:t>
      </w:r>
      <w:r w:rsidRPr="00221E0D">
        <w:rPr>
          <w:rFonts w:eastAsia="Times New Roman"/>
          <w:szCs w:val="17"/>
        </w:rPr>
        <w:t xml:space="preserve"> is-</w:t>
      </w:r>
    </w:p>
    <w:p w:rsidR="00221E0D" w:rsidRPr="00221E0D" w:rsidRDefault="00221E0D" w:rsidP="00221E0D">
      <w:pPr>
        <w:ind w:left="480" w:hanging="320"/>
        <w:rPr>
          <w:rFonts w:eastAsia="Times New Roman"/>
          <w:szCs w:val="17"/>
        </w:rPr>
      </w:pPr>
      <w:r w:rsidRPr="00221E0D">
        <w:rPr>
          <w:rFonts w:eastAsia="Times New Roman"/>
          <w:szCs w:val="17"/>
        </w:rPr>
        <w:t>(a)</w:t>
      </w:r>
      <w:r w:rsidRPr="00221E0D">
        <w:rPr>
          <w:rFonts w:eastAsia="Times New Roman"/>
          <w:szCs w:val="17"/>
        </w:rPr>
        <w:tab/>
        <w:t>for areas identified as General Bushfire Risk areas in South Australian Development Plans, the BAL-Low bushfire attack level; and</w:t>
      </w:r>
    </w:p>
    <w:p w:rsidR="00221E0D" w:rsidRPr="00221E0D" w:rsidRDefault="00221E0D" w:rsidP="00221E0D">
      <w:pPr>
        <w:ind w:left="480" w:hanging="320"/>
        <w:rPr>
          <w:rFonts w:eastAsia="Times New Roman"/>
          <w:szCs w:val="17"/>
        </w:rPr>
      </w:pPr>
      <w:r w:rsidRPr="00221E0D">
        <w:rPr>
          <w:rFonts w:eastAsia="Times New Roman"/>
          <w:szCs w:val="17"/>
        </w:rPr>
        <w:t>(b)</w:t>
      </w:r>
      <w:r w:rsidRPr="00221E0D">
        <w:rPr>
          <w:rFonts w:eastAsia="Times New Roman"/>
          <w:szCs w:val="17"/>
        </w:rPr>
        <w:tab/>
        <w:t>for areas identified as Medium Bushfire Risk areas in South Australian Development Plans, the BAL-12.5 bushfire attack level; and</w:t>
      </w:r>
    </w:p>
    <w:p w:rsidR="00221E0D" w:rsidRPr="00221E0D" w:rsidRDefault="00221E0D" w:rsidP="00221E0D">
      <w:pPr>
        <w:ind w:left="480" w:hanging="320"/>
        <w:rPr>
          <w:rFonts w:eastAsia="Times New Roman"/>
          <w:szCs w:val="17"/>
        </w:rPr>
      </w:pPr>
      <w:r w:rsidRPr="00221E0D">
        <w:rPr>
          <w:rFonts w:eastAsia="Times New Roman"/>
          <w:szCs w:val="17"/>
        </w:rPr>
        <w:t>(c)</w:t>
      </w:r>
      <w:r w:rsidRPr="00221E0D">
        <w:rPr>
          <w:rFonts w:eastAsia="Times New Roman"/>
          <w:szCs w:val="17"/>
        </w:rPr>
        <w:tab/>
        <w:t xml:space="preserve">for areas identified as High Bushfire Risk areas in South Australian Development Plans, the bushfire attack level assessed for the </w:t>
      </w:r>
      <w:r w:rsidRPr="00221E0D">
        <w:rPr>
          <w:rFonts w:eastAsia="Times New Roman"/>
          <w:i/>
          <w:szCs w:val="17"/>
        </w:rPr>
        <w:t>site</w:t>
      </w:r>
      <w:r w:rsidRPr="00221E0D">
        <w:rPr>
          <w:rFonts w:eastAsia="Times New Roman"/>
          <w:szCs w:val="17"/>
        </w:rPr>
        <w:t xml:space="preserve"> in accordance with the requirements of AS 3959; and</w:t>
      </w:r>
    </w:p>
    <w:p w:rsidR="00221E0D" w:rsidRPr="00221E0D" w:rsidRDefault="00221E0D" w:rsidP="00221E0D">
      <w:pPr>
        <w:ind w:left="480" w:hanging="320"/>
        <w:rPr>
          <w:rFonts w:eastAsia="Times New Roman"/>
          <w:szCs w:val="17"/>
        </w:rPr>
      </w:pPr>
      <w:r w:rsidRPr="00221E0D">
        <w:rPr>
          <w:rFonts w:eastAsia="Times New Roman"/>
          <w:szCs w:val="17"/>
        </w:rPr>
        <w:t>(d)</w:t>
      </w:r>
      <w:r w:rsidRPr="00221E0D">
        <w:rPr>
          <w:rFonts w:eastAsia="Times New Roman"/>
          <w:szCs w:val="17"/>
        </w:rPr>
        <w:tab/>
        <w:t>for Excluded Areas within 500m of a High Bushfire Risk area, as identified in South Australian Development Plans, the BAL-Low bushfire attack level; and</w:t>
      </w:r>
    </w:p>
    <w:p w:rsidR="00221E0D" w:rsidRPr="00221E0D" w:rsidRDefault="00221E0D" w:rsidP="00221E0D">
      <w:pPr>
        <w:ind w:left="480" w:hanging="320"/>
        <w:rPr>
          <w:rFonts w:eastAsia="Times New Roman"/>
          <w:szCs w:val="17"/>
        </w:rPr>
      </w:pPr>
      <w:r w:rsidRPr="00221E0D">
        <w:rPr>
          <w:rFonts w:eastAsia="Times New Roman"/>
          <w:szCs w:val="17"/>
        </w:rPr>
        <w:t>(e)</w:t>
      </w:r>
      <w:r w:rsidRPr="00221E0D">
        <w:rPr>
          <w:rFonts w:eastAsia="Times New Roman"/>
          <w:szCs w:val="17"/>
        </w:rPr>
        <w:tab/>
        <w:t xml:space="preserve">for Excluded Areas within 100m of a High Bushfire Risk area, as identified in South Australian Development Plans, the bushfire attack level assessed for the </w:t>
      </w:r>
      <w:r w:rsidRPr="00221E0D">
        <w:rPr>
          <w:rFonts w:eastAsia="Times New Roman"/>
          <w:i/>
          <w:szCs w:val="17"/>
        </w:rPr>
        <w:t>site</w:t>
      </w:r>
      <w:r w:rsidRPr="00221E0D">
        <w:rPr>
          <w:rFonts w:eastAsia="Times New Roman"/>
          <w:szCs w:val="17"/>
        </w:rPr>
        <w:t xml:space="preserve"> in accordance with AS 3959.</w:t>
      </w:r>
    </w:p>
    <w:p w:rsidR="00221E0D" w:rsidRPr="00221E0D" w:rsidRDefault="00221E0D" w:rsidP="00221E0D">
      <w:pPr>
        <w:rPr>
          <w:rFonts w:eastAsia="Times New Roman"/>
          <w:szCs w:val="17"/>
        </w:rPr>
      </w:pPr>
      <w:r w:rsidRPr="00221E0D">
        <w:rPr>
          <w:rFonts w:eastAsia="Times New Roman"/>
          <w:szCs w:val="17"/>
        </w:rPr>
        <w:t xml:space="preserve">Delete all reference to </w:t>
      </w:r>
      <w:r w:rsidRPr="00221E0D">
        <w:rPr>
          <w:rFonts w:eastAsia="Times New Roman"/>
          <w:b/>
          <w:szCs w:val="17"/>
        </w:rPr>
        <w:t>SA Part H3</w:t>
      </w:r>
      <w:r w:rsidRPr="00221E0D">
        <w:rPr>
          <w:rFonts w:eastAsia="Times New Roman"/>
          <w:szCs w:val="17"/>
        </w:rPr>
        <w:t>.</w:t>
      </w:r>
    </w:p>
    <w:p w:rsidR="00221E0D" w:rsidRPr="00221E0D" w:rsidRDefault="00221E0D" w:rsidP="00221E0D">
      <w:pPr>
        <w:tabs>
          <w:tab w:val="left" w:pos="426"/>
        </w:tabs>
        <w:spacing w:before="120" w:after="120"/>
        <w:rPr>
          <w:rFonts w:eastAsia="Times New Roman"/>
          <w:b/>
          <w:szCs w:val="17"/>
        </w:rPr>
      </w:pPr>
      <w:r w:rsidRPr="00221E0D">
        <w:rPr>
          <w:rFonts w:eastAsia="Times New Roman"/>
          <w:b/>
          <w:szCs w:val="17"/>
        </w:rPr>
        <w:t>VOLUME TWO</w:t>
      </w:r>
    </w:p>
    <w:p w:rsidR="00221E0D" w:rsidRPr="00221E0D" w:rsidRDefault="00221E0D" w:rsidP="00221E0D">
      <w:pPr>
        <w:tabs>
          <w:tab w:val="left" w:pos="426"/>
        </w:tabs>
        <w:rPr>
          <w:rFonts w:eastAsia="Times New Roman"/>
          <w:szCs w:val="17"/>
        </w:rPr>
      </w:pPr>
      <w:r w:rsidRPr="00221E0D">
        <w:rPr>
          <w:rFonts w:eastAsia="Times New Roman"/>
          <w:b/>
          <w:szCs w:val="17"/>
        </w:rPr>
        <w:t>A2.2(4)</w:t>
      </w:r>
      <w:r w:rsidRPr="00221E0D">
        <w:rPr>
          <w:rFonts w:eastAsia="Times New Roman"/>
          <w:szCs w:val="17"/>
        </w:rPr>
        <w:t xml:space="preserve"> will not take effect in South Australia until 1 July 2021.</w:t>
      </w:r>
    </w:p>
    <w:p w:rsidR="00221E0D" w:rsidRPr="00221E0D" w:rsidRDefault="00221E0D" w:rsidP="00221E0D">
      <w:pPr>
        <w:ind w:left="142"/>
        <w:rPr>
          <w:rFonts w:eastAsia="Times New Roman"/>
          <w:szCs w:val="17"/>
        </w:rPr>
      </w:pPr>
      <w:r w:rsidRPr="00221E0D">
        <w:rPr>
          <w:rFonts w:eastAsia="Times New Roman"/>
          <w:szCs w:val="17"/>
        </w:rPr>
        <w:t xml:space="preserve">Amend </w:t>
      </w:r>
      <w:r w:rsidRPr="00221E0D">
        <w:rPr>
          <w:rFonts w:eastAsia="Times New Roman"/>
          <w:b/>
          <w:szCs w:val="17"/>
        </w:rPr>
        <w:t>SA 3.10.1.0(b)</w:t>
      </w:r>
      <w:r w:rsidRPr="00221E0D">
        <w:rPr>
          <w:rFonts w:eastAsia="Times New Roman"/>
          <w:szCs w:val="17"/>
        </w:rPr>
        <w:t xml:space="preserve"> to read as follows:</w:t>
      </w:r>
    </w:p>
    <w:p w:rsidR="00221E0D" w:rsidRPr="00221E0D" w:rsidRDefault="00221E0D" w:rsidP="00221E0D">
      <w:pPr>
        <w:ind w:left="480" w:hanging="320"/>
        <w:rPr>
          <w:rFonts w:eastAsia="Times New Roman"/>
          <w:szCs w:val="17"/>
        </w:rPr>
      </w:pPr>
      <w:r w:rsidRPr="00221E0D">
        <w:rPr>
          <w:rFonts w:eastAsia="Times New Roman"/>
          <w:szCs w:val="17"/>
        </w:rPr>
        <w:t>(b)</w:t>
      </w:r>
      <w:r w:rsidRPr="00221E0D">
        <w:rPr>
          <w:rFonts w:eastAsia="Times New Roman"/>
          <w:szCs w:val="17"/>
        </w:rPr>
        <w:tab/>
      </w:r>
      <w:r w:rsidRPr="00221E0D">
        <w:rPr>
          <w:rFonts w:eastAsia="Times New Roman"/>
          <w:i/>
          <w:szCs w:val="17"/>
        </w:rPr>
        <w:t xml:space="preserve">Performance requirement </w:t>
      </w:r>
      <w:r w:rsidRPr="00221E0D">
        <w:rPr>
          <w:rFonts w:eastAsia="Times New Roman"/>
          <w:b/>
          <w:szCs w:val="17"/>
        </w:rPr>
        <w:t xml:space="preserve">P2.7.2 </w:t>
      </w:r>
      <w:r w:rsidRPr="00221E0D">
        <w:rPr>
          <w:rFonts w:eastAsia="Times New Roman"/>
          <w:szCs w:val="17"/>
        </w:rPr>
        <w:t xml:space="preserve">is satisfied for a water recirculation system of a </w:t>
      </w:r>
      <w:r w:rsidRPr="00221E0D">
        <w:rPr>
          <w:rFonts w:eastAsia="Times New Roman"/>
          <w:i/>
          <w:szCs w:val="17"/>
        </w:rPr>
        <w:t xml:space="preserve">swimming pool </w:t>
      </w:r>
      <w:r w:rsidRPr="00221E0D">
        <w:rPr>
          <w:rFonts w:eastAsia="Times New Roman"/>
          <w:szCs w:val="17"/>
        </w:rPr>
        <w:t>with a depth of water more than 300mm, if it complies with AS 1926.3. For the purposes of clause 6.1.1 of AS 1926.3, a skimmer box is an outlet and must have a means of releasing the vacuum pressure should the suction become blocked.</w:t>
      </w:r>
    </w:p>
    <w:p w:rsidR="00221E0D" w:rsidRPr="00221E0D" w:rsidRDefault="00221E0D" w:rsidP="00221E0D">
      <w:pPr>
        <w:rPr>
          <w:rFonts w:eastAsia="Times New Roman"/>
          <w:szCs w:val="17"/>
        </w:rPr>
      </w:pPr>
      <w:r w:rsidRPr="00221E0D">
        <w:rPr>
          <w:rFonts w:eastAsia="Times New Roman"/>
          <w:szCs w:val="17"/>
        </w:rPr>
        <w:t xml:space="preserve">After </w:t>
      </w:r>
      <w:r w:rsidRPr="00221E0D">
        <w:rPr>
          <w:rFonts w:eastAsia="Times New Roman"/>
          <w:b/>
          <w:szCs w:val="17"/>
        </w:rPr>
        <w:t>3.10.5.0</w:t>
      </w:r>
      <w:r w:rsidRPr="00221E0D">
        <w:rPr>
          <w:rFonts w:eastAsia="Times New Roman"/>
          <w:szCs w:val="17"/>
        </w:rPr>
        <w:t xml:space="preserve"> add </w:t>
      </w:r>
      <w:r w:rsidRPr="00221E0D">
        <w:rPr>
          <w:rFonts w:eastAsia="Times New Roman"/>
          <w:b/>
          <w:szCs w:val="17"/>
        </w:rPr>
        <w:t xml:space="preserve">SA 3.10.5.1 </w:t>
      </w:r>
      <w:r w:rsidRPr="00221E0D">
        <w:rPr>
          <w:rFonts w:eastAsia="Times New Roman"/>
          <w:szCs w:val="17"/>
        </w:rPr>
        <w:t>as follows:</w:t>
      </w:r>
    </w:p>
    <w:p w:rsidR="00221E0D" w:rsidRPr="00221E0D" w:rsidRDefault="00221E0D" w:rsidP="00221E0D">
      <w:pPr>
        <w:ind w:firstLine="160"/>
        <w:rPr>
          <w:rFonts w:eastAsia="Times New Roman"/>
          <w:b/>
          <w:szCs w:val="17"/>
        </w:rPr>
      </w:pPr>
      <w:r w:rsidRPr="00221E0D">
        <w:rPr>
          <w:rFonts w:eastAsia="Times New Roman"/>
          <w:b/>
          <w:szCs w:val="17"/>
        </w:rPr>
        <w:t>SA 3.10.5.1 Bushfire attack levels</w:t>
      </w:r>
    </w:p>
    <w:p w:rsidR="00221E0D" w:rsidRPr="00221E0D" w:rsidRDefault="00221E0D" w:rsidP="00221E0D">
      <w:pPr>
        <w:ind w:firstLine="160"/>
        <w:rPr>
          <w:rFonts w:eastAsia="Times New Roman"/>
          <w:szCs w:val="17"/>
        </w:rPr>
      </w:pPr>
      <w:r w:rsidRPr="00221E0D">
        <w:rPr>
          <w:rFonts w:eastAsia="Times New Roman"/>
          <w:szCs w:val="17"/>
        </w:rPr>
        <w:t xml:space="preserve">Where a </w:t>
      </w:r>
      <w:r w:rsidRPr="00221E0D">
        <w:rPr>
          <w:rFonts w:eastAsia="Times New Roman"/>
          <w:i/>
          <w:szCs w:val="17"/>
        </w:rPr>
        <w:t>site</w:t>
      </w:r>
      <w:r w:rsidRPr="00221E0D">
        <w:rPr>
          <w:rFonts w:eastAsia="Times New Roman"/>
          <w:szCs w:val="17"/>
        </w:rPr>
        <w:t xml:space="preserve"> is located in a </w:t>
      </w:r>
      <w:r w:rsidRPr="00221E0D">
        <w:rPr>
          <w:rFonts w:eastAsia="Times New Roman"/>
          <w:i/>
          <w:szCs w:val="17"/>
        </w:rPr>
        <w:t>designated bushfire prone area</w:t>
      </w:r>
      <w:r w:rsidRPr="00221E0D">
        <w:rPr>
          <w:rFonts w:eastAsia="Times New Roman"/>
          <w:szCs w:val="17"/>
        </w:rPr>
        <w:t xml:space="preserve">, the bushfire attack level that applies to the </w:t>
      </w:r>
      <w:r w:rsidRPr="00221E0D">
        <w:rPr>
          <w:rFonts w:eastAsia="Times New Roman"/>
          <w:i/>
          <w:szCs w:val="17"/>
        </w:rPr>
        <w:t>site</w:t>
      </w:r>
      <w:r w:rsidRPr="00221E0D">
        <w:rPr>
          <w:rFonts w:eastAsia="Times New Roman"/>
          <w:szCs w:val="17"/>
        </w:rPr>
        <w:t xml:space="preserve"> is-</w:t>
      </w:r>
    </w:p>
    <w:p w:rsidR="00221E0D" w:rsidRPr="00221E0D" w:rsidRDefault="00221E0D" w:rsidP="00221E0D">
      <w:pPr>
        <w:ind w:left="480" w:hanging="320"/>
        <w:rPr>
          <w:rFonts w:eastAsia="Times New Roman"/>
          <w:szCs w:val="17"/>
        </w:rPr>
      </w:pPr>
      <w:r w:rsidRPr="00221E0D">
        <w:rPr>
          <w:rFonts w:eastAsia="Times New Roman"/>
          <w:szCs w:val="17"/>
        </w:rPr>
        <w:t>(a)</w:t>
      </w:r>
      <w:r w:rsidRPr="00221E0D">
        <w:rPr>
          <w:rFonts w:eastAsia="Times New Roman"/>
          <w:szCs w:val="17"/>
        </w:rPr>
        <w:tab/>
        <w:t>for areas identified as General Bushfire Risk areas in South Australian Development Plans, the BAL-Low bushfire attack level; and</w:t>
      </w:r>
    </w:p>
    <w:p w:rsidR="00221E0D" w:rsidRPr="00221E0D" w:rsidRDefault="00221E0D" w:rsidP="00221E0D">
      <w:pPr>
        <w:ind w:left="480" w:hanging="320"/>
        <w:rPr>
          <w:rFonts w:eastAsia="Times New Roman"/>
          <w:szCs w:val="17"/>
        </w:rPr>
      </w:pPr>
      <w:r w:rsidRPr="00221E0D">
        <w:rPr>
          <w:rFonts w:eastAsia="Times New Roman"/>
          <w:szCs w:val="17"/>
        </w:rPr>
        <w:t>(b)</w:t>
      </w:r>
      <w:r w:rsidRPr="00221E0D">
        <w:rPr>
          <w:rFonts w:eastAsia="Times New Roman"/>
          <w:szCs w:val="17"/>
        </w:rPr>
        <w:tab/>
        <w:t>for areas identified as Medium Bushfire Risk areas in South Australian Development Plans, the BAL-12.5 bushfire attack level; and</w:t>
      </w:r>
    </w:p>
    <w:p w:rsidR="00221E0D" w:rsidRPr="00221E0D" w:rsidRDefault="00221E0D" w:rsidP="00221E0D">
      <w:pPr>
        <w:ind w:left="480" w:hanging="320"/>
        <w:rPr>
          <w:rFonts w:eastAsia="Times New Roman"/>
          <w:szCs w:val="17"/>
        </w:rPr>
      </w:pPr>
      <w:r w:rsidRPr="00221E0D">
        <w:rPr>
          <w:rFonts w:eastAsia="Times New Roman"/>
          <w:szCs w:val="17"/>
        </w:rPr>
        <w:t>(c)</w:t>
      </w:r>
      <w:r w:rsidRPr="00221E0D">
        <w:rPr>
          <w:rFonts w:eastAsia="Times New Roman"/>
          <w:szCs w:val="17"/>
        </w:rPr>
        <w:tab/>
        <w:t xml:space="preserve">for areas identified as High Bushfire Risk areas in South Australian Development Plans, the bushfire attack level assessed for the </w:t>
      </w:r>
      <w:r w:rsidRPr="00221E0D">
        <w:rPr>
          <w:rFonts w:eastAsia="Times New Roman"/>
          <w:i/>
          <w:szCs w:val="17"/>
        </w:rPr>
        <w:t>site</w:t>
      </w:r>
      <w:r w:rsidRPr="00221E0D">
        <w:rPr>
          <w:rFonts w:eastAsia="Times New Roman"/>
          <w:szCs w:val="17"/>
        </w:rPr>
        <w:t xml:space="preserve"> in accordance with the requirements of AS 3959; and</w:t>
      </w:r>
    </w:p>
    <w:p w:rsidR="00221E0D" w:rsidRPr="00221E0D" w:rsidRDefault="00221E0D" w:rsidP="00221E0D">
      <w:pPr>
        <w:ind w:left="480" w:hanging="320"/>
        <w:rPr>
          <w:rFonts w:eastAsia="Times New Roman"/>
          <w:szCs w:val="17"/>
        </w:rPr>
      </w:pPr>
      <w:r w:rsidRPr="00221E0D">
        <w:rPr>
          <w:rFonts w:eastAsia="Times New Roman"/>
          <w:szCs w:val="17"/>
        </w:rPr>
        <w:t>(d)</w:t>
      </w:r>
      <w:r w:rsidRPr="00221E0D">
        <w:rPr>
          <w:rFonts w:eastAsia="Times New Roman"/>
          <w:szCs w:val="17"/>
        </w:rPr>
        <w:tab/>
        <w:t>for Excluded Areas within 500m of a High Bushfire Risk area, as identified in South Australian Development Plans, the BAL-Low bushfire attack level; and</w:t>
      </w:r>
    </w:p>
    <w:p w:rsidR="00221E0D" w:rsidRPr="00221E0D" w:rsidRDefault="00221E0D" w:rsidP="00221E0D">
      <w:pPr>
        <w:ind w:left="480" w:hanging="320"/>
        <w:rPr>
          <w:rFonts w:eastAsia="Times New Roman"/>
          <w:szCs w:val="17"/>
        </w:rPr>
      </w:pPr>
      <w:r w:rsidRPr="00221E0D">
        <w:rPr>
          <w:rFonts w:eastAsia="Times New Roman"/>
          <w:szCs w:val="17"/>
        </w:rPr>
        <w:t>(e)</w:t>
      </w:r>
      <w:r w:rsidRPr="00221E0D">
        <w:rPr>
          <w:rFonts w:eastAsia="Times New Roman"/>
          <w:szCs w:val="17"/>
        </w:rPr>
        <w:tab/>
        <w:t xml:space="preserve">for Excluded Areas within 100m of a High Bushfire Risk area, as identified in South Australian Development Plans, the bushfire attack level assessed for the </w:t>
      </w:r>
      <w:r w:rsidRPr="00221E0D">
        <w:rPr>
          <w:rFonts w:eastAsia="Times New Roman"/>
          <w:i/>
          <w:szCs w:val="17"/>
        </w:rPr>
        <w:t>site</w:t>
      </w:r>
      <w:r w:rsidRPr="00221E0D">
        <w:rPr>
          <w:rFonts w:eastAsia="Times New Roman"/>
          <w:szCs w:val="17"/>
        </w:rPr>
        <w:t xml:space="preserve"> in accordance with AS 3959.</w:t>
      </w:r>
    </w:p>
    <w:p w:rsidR="00221E0D" w:rsidRPr="00221E0D" w:rsidRDefault="00221E0D" w:rsidP="00221E0D">
      <w:pPr>
        <w:rPr>
          <w:rFonts w:eastAsia="Times New Roman"/>
          <w:szCs w:val="17"/>
        </w:rPr>
      </w:pPr>
      <w:r w:rsidRPr="00221E0D">
        <w:rPr>
          <w:rFonts w:eastAsia="Times New Roman"/>
          <w:szCs w:val="17"/>
        </w:rPr>
        <w:t xml:space="preserve">Delete </w:t>
      </w:r>
      <w:r w:rsidRPr="00221E0D">
        <w:rPr>
          <w:rFonts w:eastAsia="Times New Roman"/>
          <w:b/>
          <w:szCs w:val="17"/>
        </w:rPr>
        <w:t xml:space="preserve">3.12.0.1(b) </w:t>
      </w:r>
      <w:r w:rsidRPr="00221E0D">
        <w:rPr>
          <w:rFonts w:eastAsia="Times New Roman"/>
          <w:szCs w:val="17"/>
        </w:rPr>
        <w:t xml:space="preserve">and add new </w:t>
      </w:r>
      <w:r w:rsidRPr="00221E0D">
        <w:rPr>
          <w:rFonts w:eastAsia="Times New Roman"/>
          <w:b/>
          <w:szCs w:val="17"/>
        </w:rPr>
        <w:t>SA 3.12.0.1(b)</w:t>
      </w:r>
      <w:r w:rsidRPr="00221E0D">
        <w:rPr>
          <w:rFonts w:eastAsia="Times New Roman"/>
          <w:szCs w:val="17"/>
        </w:rPr>
        <w:t xml:space="preserve"> as follows:</w:t>
      </w:r>
    </w:p>
    <w:p w:rsidR="00221E0D" w:rsidRPr="00221E0D" w:rsidRDefault="00221E0D" w:rsidP="00221E0D">
      <w:pPr>
        <w:ind w:left="480" w:hanging="320"/>
        <w:rPr>
          <w:rFonts w:eastAsia="Times New Roman"/>
          <w:szCs w:val="17"/>
        </w:rPr>
      </w:pPr>
      <w:r w:rsidRPr="00221E0D">
        <w:rPr>
          <w:rFonts w:eastAsia="Times New Roman"/>
          <w:szCs w:val="17"/>
        </w:rPr>
        <w:t>(b)</w:t>
      </w:r>
      <w:r w:rsidRPr="00221E0D">
        <w:rPr>
          <w:rFonts w:eastAsia="Times New Roman"/>
          <w:szCs w:val="17"/>
        </w:rPr>
        <w:tab/>
        <w:t xml:space="preserve">The heating and cooling load limits in </w:t>
      </w:r>
      <w:r w:rsidRPr="00221E0D">
        <w:rPr>
          <w:rFonts w:eastAsia="Times New Roman"/>
          <w:b/>
          <w:szCs w:val="17"/>
        </w:rPr>
        <w:t>(a)</w:t>
      </w:r>
      <w:r w:rsidRPr="00221E0D">
        <w:rPr>
          <w:rFonts w:eastAsia="Times New Roman"/>
          <w:szCs w:val="17"/>
        </w:rPr>
        <w:t xml:space="preserve"> are-</w:t>
      </w:r>
    </w:p>
    <w:p w:rsidR="00221E0D" w:rsidRPr="00221E0D" w:rsidRDefault="00221E0D" w:rsidP="00221E0D">
      <w:pPr>
        <w:ind w:left="800" w:hanging="320"/>
        <w:rPr>
          <w:rFonts w:eastAsia="Times New Roman"/>
          <w:szCs w:val="17"/>
        </w:rPr>
      </w:pPr>
      <w:r w:rsidRPr="00221E0D">
        <w:rPr>
          <w:rFonts w:eastAsia="Times New Roman"/>
          <w:szCs w:val="17"/>
        </w:rPr>
        <w:t>(i)</w:t>
      </w:r>
      <w:r w:rsidRPr="00221E0D">
        <w:rPr>
          <w:rFonts w:eastAsia="Times New Roman"/>
          <w:szCs w:val="17"/>
        </w:rPr>
        <w:tab/>
        <w:t xml:space="preserve">for </w:t>
      </w:r>
      <w:r w:rsidRPr="00221E0D">
        <w:rPr>
          <w:rFonts w:eastAsia="Times New Roman"/>
          <w:b/>
          <w:szCs w:val="17"/>
        </w:rPr>
        <w:t xml:space="preserve">(a)(i) </w:t>
      </w:r>
      <w:r w:rsidRPr="00221E0D">
        <w:rPr>
          <w:rFonts w:eastAsia="Times New Roman"/>
          <w:szCs w:val="17"/>
        </w:rPr>
        <w:t>to</w:t>
      </w:r>
      <w:r w:rsidRPr="00221E0D">
        <w:rPr>
          <w:rFonts w:eastAsia="Times New Roman"/>
          <w:b/>
          <w:szCs w:val="17"/>
        </w:rPr>
        <w:t xml:space="preserve"> (iii)</w:t>
      </w:r>
      <w:r w:rsidRPr="00221E0D">
        <w:rPr>
          <w:rFonts w:eastAsia="Times New Roman"/>
          <w:szCs w:val="17"/>
        </w:rPr>
        <w:t>, as specified in the ABCB Standard for NatHERS Heating and Cooling Load Limits for 6 star Class 1 buildings; and</w:t>
      </w:r>
    </w:p>
    <w:p w:rsidR="00221E0D" w:rsidRPr="00221E0D" w:rsidRDefault="00221E0D" w:rsidP="00221E0D">
      <w:pPr>
        <w:ind w:left="800" w:hanging="320"/>
        <w:rPr>
          <w:rFonts w:eastAsia="Times New Roman"/>
          <w:szCs w:val="17"/>
        </w:rPr>
      </w:pPr>
      <w:r w:rsidRPr="00221E0D">
        <w:rPr>
          <w:rFonts w:eastAsia="Times New Roman"/>
          <w:szCs w:val="17"/>
        </w:rPr>
        <w:t>(ii)</w:t>
      </w:r>
      <w:r w:rsidRPr="00221E0D">
        <w:rPr>
          <w:rFonts w:eastAsia="Times New Roman"/>
          <w:szCs w:val="17"/>
        </w:rPr>
        <w:tab/>
        <w:t xml:space="preserve">for </w:t>
      </w:r>
      <w:r w:rsidRPr="00221E0D">
        <w:rPr>
          <w:rFonts w:eastAsia="Times New Roman"/>
          <w:b/>
          <w:szCs w:val="17"/>
        </w:rPr>
        <w:t xml:space="preserve">SA 3.12.0.1(a)(iv) </w:t>
      </w:r>
      <w:r w:rsidRPr="00221E0D">
        <w:rPr>
          <w:rFonts w:eastAsia="Times New Roman"/>
          <w:szCs w:val="17"/>
        </w:rPr>
        <w:t xml:space="preserve">and </w:t>
      </w:r>
      <w:r w:rsidRPr="00221E0D">
        <w:rPr>
          <w:rFonts w:eastAsia="Times New Roman"/>
          <w:b/>
          <w:szCs w:val="17"/>
        </w:rPr>
        <w:t>(v)</w:t>
      </w:r>
      <w:r w:rsidRPr="00221E0D">
        <w:rPr>
          <w:rFonts w:eastAsia="Times New Roman"/>
          <w:szCs w:val="17"/>
        </w:rPr>
        <w:t>, as specified in the ABCB Standard for NatHERS Heating and Cooling Load Limits for 5 star Class 2 buildings.</w:t>
      </w:r>
    </w:p>
    <w:p w:rsidR="00221E0D" w:rsidRPr="00221E0D" w:rsidRDefault="00221E0D" w:rsidP="00221E0D">
      <w:pPr>
        <w:rPr>
          <w:rFonts w:eastAsia="Times New Roman"/>
          <w:b/>
          <w:szCs w:val="17"/>
        </w:rPr>
      </w:pPr>
      <w:r w:rsidRPr="00221E0D">
        <w:rPr>
          <w:rFonts w:eastAsia="Times New Roman"/>
          <w:szCs w:val="17"/>
        </w:rPr>
        <w:t xml:space="preserve">As a consequence of adding the new clause </w:t>
      </w:r>
      <w:r w:rsidRPr="00221E0D">
        <w:rPr>
          <w:rFonts w:eastAsia="Times New Roman"/>
          <w:b/>
          <w:szCs w:val="17"/>
        </w:rPr>
        <w:t>SA 3.12.0.1(b):</w:t>
      </w:r>
    </w:p>
    <w:p w:rsidR="00221E0D" w:rsidRPr="00221E0D" w:rsidRDefault="00221E0D" w:rsidP="00221E0D">
      <w:pPr>
        <w:ind w:left="160" w:hanging="18"/>
        <w:rPr>
          <w:rFonts w:eastAsia="Times New Roman"/>
          <w:szCs w:val="17"/>
        </w:rPr>
      </w:pPr>
      <w:r w:rsidRPr="00221E0D">
        <w:rPr>
          <w:rFonts w:eastAsia="Times New Roman"/>
          <w:szCs w:val="17"/>
        </w:rPr>
        <w:t xml:space="preserve">Renumber </w:t>
      </w:r>
      <w:r w:rsidRPr="00221E0D">
        <w:rPr>
          <w:rFonts w:eastAsia="Times New Roman"/>
          <w:b/>
          <w:szCs w:val="17"/>
        </w:rPr>
        <w:t xml:space="preserve">SA 3.12.1.0(b) </w:t>
      </w:r>
      <w:r w:rsidRPr="00221E0D">
        <w:rPr>
          <w:rFonts w:eastAsia="Times New Roman"/>
          <w:szCs w:val="17"/>
        </w:rPr>
        <w:t xml:space="preserve">as </w:t>
      </w:r>
      <w:r w:rsidRPr="00221E0D">
        <w:rPr>
          <w:rFonts w:eastAsia="Times New Roman"/>
          <w:b/>
          <w:szCs w:val="17"/>
        </w:rPr>
        <w:t xml:space="preserve">SA 3.12.0.1(f); </w:t>
      </w:r>
      <w:r w:rsidRPr="00221E0D">
        <w:rPr>
          <w:rFonts w:eastAsia="Times New Roman"/>
          <w:szCs w:val="17"/>
        </w:rPr>
        <w:t>and</w:t>
      </w:r>
    </w:p>
    <w:p w:rsidR="00221E0D" w:rsidRPr="00221E0D" w:rsidRDefault="00221E0D" w:rsidP="00221E0D">
      <w:pPr>
        <w:ind w:left="160" w:hanging="18"/>
        <w:rPr>
          <w:rFonts w:eastAsia="Times New Roman"/>
          <w:szCs w:val="17"/>
        </w:rPr>
      </w:pPr>
      <w:r w:rsidRPr="00221E0D">
        <w:rPr>
          <w:rFonts w:eastAsia="Times New Roman"/>
          <w:szCs w:val="17"/>
        </w:rPr>
        <w:t xml:space="preserve">Renumber </w:t>
      </w:r>
      <w:r w:rsidRPr="00221E0D">
        <w:rPr>
          <w:rFonts w:eastAsia="Times New Roman"/>
          <w:b/>
          <w:szCs w:val="17"/>
        </w:rPr>
        <w:t>SA 3.12.1.0(c)</w:t>
      </w:r>
      <w:r w:rsidRPr="00221E0D">
        <w:rPr>
          <w:rFonts w:eastAsia="Times New Roman"/>
          <w:szCs w:val="17"/>
        </w:rPr>
        <w:t xml:space="preserve"> as </w:t>
      </w:r>
      <w:r w:rsidRPr="00221E0D">
        <w:rPr>
          <w:rFonts w:eastAsia="Times New Roman"/>
          <w:b/>
          <w:szCs w:val="17"/>
        </w:rPr>
        <w:t>3.12.1.0(g)</w:t>
      </w:r>
      <w:r w:rsidRPr="00221E0D">
        <w:rPr>
          <w:rFonts w:eastAsia="Times New Roman"/>
          <w:szCs w:val="17"/>
        </w:rPr>
        <w:t>.</w:t>
      </w:r>
    </w:p>
    <w:p w:rsidR="00221E0D" w:rsidRPr="00221E0D" w:rsidRDefault="00221E0D" w:rsidP="00221E0D">
      <w:pPr>
        <w:rPr>
          <w:rFonts w:eastAsia="Times New Roman"/>
          <w:szCs w:val="17"/>
        </w:rPr>
      </w:pPr>
      <w:r w:rsidRPr="00221E0D">
        <w:rPr>
          <w:rFonts w:eastAsia="Times New Roman"/>
          <w:szCs w:val="17"/>
        </w:rPr>
        <w:t xml:space="preserve">Delete the wording in </w:t>
      </w:r>
      <w:r w:rsidRPr="00221E0D">
        <w:rPr>
          <w:rFonts w:eastAsia="Times New Roman"/>
          <w:b/>
          <w:szCs w:val="17"/>
        </w:rPr>
        <w:t xml:space="preserve">SA 4.2.1 Application </w:t>
      </w:r>
      <w:r w:rsidRPr="00221E0D">
        <w:rPr>
          <w:rFonts w:eastAsia="Times New Roman"/>
          <w:szCs w:val="17"/>
        </w:rPr>
        <w:t>and replace as follows:</w:t>
      </w:r>
    </w:p>
    <w:p w:rsidR="00221E0D" w:rsidRPr="00221E0D" w:rsidRDefault="00221E0D" w:rsidP="00221E0D">
      <w:pPr>
        <w:ind w:left="160" w:hanging="18"/>
        <w:rPr>
          <w:rFonts w:eastAsia="Times New Roman"/>
          <w:szCs w:val="17"/>
        </w:rPr>
      </w:pPr>
      <w:r w:rsidRPr="00221E0D">
        <w:rPr>
          <w:rFonts w:eastAsia="Times New Roman"/>
          <w:szCs w:val="17"/>
        </w:rPr>
        <w:t xml:space="preserve">Compliance with </w:t>
      </w:r>
      <w:r w:rsidRPr="00221E0D">
        <w:rPr>
          <w:rFonts w:eastAsia="Times New Roman"/>
          <w:b/>
          <w:szCs w:val="17"/>
        </w:rPr>
        <w:t xml:space="preserve">SA 4.2.2 Signage </w:t>
      </w:r>
      <w:r w:rsidRPr="00221E0D">
        <w:rPr>
          <w:rFonts w:eastAsia="Times New Roman"/>
          <w:szCs w:val="17"/>
        </w:rPr>
        <w:t xml:space="preserve">satisfies </w:t>
      </w:r>
      <w:r w:rsidRPr="00221E0D">
        <w:rPr>
          <w:rFonts w:eastAsia="Times New Roman"/>
          <w:i/>
          <w:szCs w:val="17"/>
        </w:rPr>
        <w:t xml:space="preserve">Performance Requirement </w:t>
      </w:r>
      <w:r w:rsidRPr="00221E0D">
        <w:rPr>
          <w:rFonts w:eastAsia="Times New Roman"/>
          <w:b/>
          <w:szCs w:val="17"/>
        </w:rPr>
        <w:t>SA 4.1</w:t>
      </w:r>
      <w:r w:rsidRPr="00221E0D">
        <w:rPr>
          <w:rFonts w:eastAsia="Times New Roman"/>
          <w:szCs w:val="17"/>
        </w:rPr>
        <w:t>.</w:t>
      </w:r>
    </w:p>
    <w:p w:rsidR="00221E0D" w:rsidRPr="00221E0D" w:rsidRDefault="00221E0D" w:rsidP="00221E0D">
      <w:pPr>
        <w:rPr>
          <w:rFonts w:eastAsia="Times New Roman"/>
          <w:i/>
          <w:szCs w:val="17"/>
        </w:rPr>
      </w:pPr>
      <w:r w:rsidRPr="00221E0D">
        <w:rPr>
          <w:rFonts w:eastAsia="Times New Roman"/>
          <w:szCs w:val="17"/>
        </w:rPr>
        <w:t xml:space="preserve">Amend </w:t>
      </w:r>
      <w:r w:rsidRPr="00221E0D">
        <w:rPr>
          <w:rFonts w:eastAsia="Times New Roman"/>
          <w:b/>
          <w:szCs w:val="17"/>
        </w:rPr>
        <w:t xml:space="preserve">SA Table 1 Schedule of referenced documents </w:t>
      </w:r>
      <w:r w:rsidRPr="00221E0D">
        <w:rPr>
          <w:rFonts w:eastAsia="Times New Roman"/>
          <w:szCs w:val="17"/>
        </w:rPr>
        <w:t>to remove reference to SA 3.12.0.1(a), AS 1530.8.1 and AS 1530.8.2.</w:t>
      </w:r>
    </w:p>
    <w:p w:rsidR="00221E0D" w:rsidRPr="00221E0D" w:rsidRDefault="00221E0D" w:rsidP="00221E0D">
      <w:pPr>
        <w:rPr>
          <w:rFonts w:eastAsia="Times New Roman"/>
          <w:szCs w:val="17"/>
        </w:rPr>
      </w:pPr>
      <w:r w:rsidRPr="00221E0D">
        <w:rPr>
          <w:rFonts w:eastAsia="Times New Roman"/>
          <w:szCs w:val="17"/>
        </w:rPr>
        <w:t xml:space="preserve">Copies of the NCC 2019 Amendment 1 can be downloaded from the Australian Building Codes Board’s website at </w:t>
      </w:r>
      <w:hyperlink r:id="rId18" w:history="1">
        <w:r w:rsidRPr="00221E0D">
          <w:rPr>
            <w:rFonts w:eastAsia="Times New Roman"/>
            <w:color w:val="0000FF"/>
            <w:szCs w:val="17"/>
            <w:u w:val="single"/>
          </w:rPr>
          <w:t>www.abcb.gov.au</w:t>
        </w:r>
      </w:hyperlink>
      <w:r w:rsidRPr="00221E0D">
        <w:rPr>
          <w:rFonts w:eastAsia="Times New Roman"/>
          <w:szCs w:val="17"/>
        </w:rPr>
        <w:t>.</w:t>
      </w:r>
    </w:p>
    <w:p w:rsidR="00221E0D" w:rsidRPr="00221E0D" w:rsidRDefault="00221E0D" w:rsidP="00221E0D">
      <w:pPr>
        <w:spacing w:after="0"/>
        <w:rPr>
          <w:rFonts w:eastAsia="Times New Roman"/>
          <w:szCs w:val="17"/>
        </w:rPr>
      </w:pPr>
      <w:r w:rsidRPr="00221E0D">
        <w:rPr>
          <w:rFonts w:eastAsia="Times New Roman"/>
          <w:szCs w:val="17"/>
        </w:rPr>
        <w:t>Dated: 1 June 2020</w:t>
      </w:r>
    </w:p>
    <w:p w:rsidR="00221E0D" w:rsidRPr="00221E0D" w:rsidRDefault="00221E0D" w:rsidP="00221E0D">
      <w:pPr>
        <w:spacing w:after="0"/>
        <w:jc w:val="right"/>
        <w:rPr>
          <w:rFonts w:eastAsia="Times New Roman"/>
          <w:smallCaps/>
          <w:szCs w:val="20"/>
        </w:rPr>
      </w:pPr>
      <w:r w:rsidRPr="00221E0D">
        <w:rPr>
          <w:rFonts w:eastAsia="Times New Roman"/>
          <w:smallCaps/>
          <w:szCs w:val="20"/>
        </w:rPr>
        <w:t>Jodie Evans</w:t>
      </w:r>
    </w:p>
    <w:p w:rsidR="00221E0D" w:rsidRPr="00221E0D" w:rsidRDefault="00221E0D" w:rsidP="00221E0D">
      <w:pPr>
        <w:spacing w:after="0"/>
        <w:jc w:val="right"/>
        <w:rPr>
          <w:rFonts w:eastAsia="Times New Roman"/>
          <w:szCs w:val="17"/>
        </w:rPr>
      </w:pPr>
      <w:r w:rsidRPr="00221E0D">
        <w:rPr>
          <w:rFonts w:eastAsia="Times New Roman"/>
          <w:szCs w:val="17"/>
        </w:rPr>
        <w:t>Minister’s Delegate</w:t>
      </w:r>
    </w:p>
    <w:p w:rsidR="00221E0D" w:rsidRPr="00221E0D" w:rsidRDefault="00221E0D" w:rsidP="00221E0D">
      <w:pPr>
        <w:spacing w:after="0"/>
        <w:jc w:val="right"/>
        <w:rPr>
          <w:rFonts w:eastAsia="Times New Roman"/>
          <w:szCs w:val="17"/>
        </w:rPr>
      </w:pPr>
      <w:r w:rsidRPr="00221E0D">
        <w:rPr>
          <w:rFonts w:eastAsia="Times New Roman"/>
          <w:szCs w:val="17"/>
        </w:rPr>
        <w:t>Unit Manager, Building Policy</w:t>
      </w:r>
    </w:p>
    <w:p w:rsidR="002360B0" w:rsidRDefault="00221E0D" w:rsidP="002360B0">
      <w:pPr>
        <w:spacing w:after="0"/>
        <w:jc w:val="right"/>
        <w:rPr>
          <w:rFonts w:eastAsia="Times New Roman"/>
          <w:szCs w:val="17"/>
        </w:rPr>
      </w:pPr>
      <w:r w:rsidRPr="00221E0D">
        <w:rPr>
          <w:rFonts w:eastAsia="Times New Roman"/>
          <w:szCs w:val="17"/>
        </w:rPr>
        <w:t>Department of Planning, Transport and Infrastructure</w:t>
      </w:r>
      <w:bookmarkStart w:id="11" w:name="_GoBack"/>
      <w:bookmarkEnd w:id="11"/>
    </w:p>
    <w:p w:rsidR="00C310DA" w:rsidRDefault="00C310DA" w:rsidP="00C310DA">
      <w:pPr>
        <w:pBdr>
          <w:bottom w:val="single" w:sz="4" w:space="1" w:color="auto"/>
        </w:pBdr>
        <w:spacing w:after="0" w:line="52" w:lineRule="exact"/>
        <w:jc w:val="center"/>
        <w:rPr>
          <w:lang w:val="en-US"/>
        </w:rPr>
      </w:pPr>
    </w:p>
    <w:p w:rsidR="00C310DA" w:rsidRDefault="00C310DA" w:rsidP="00C310DA">
      <w:pPr>
        <w:pBdr>
          <w:top w:val="single" w:sz="4" w:space="1" w:color="auto"/>
        </w:pBdr>
        <w:spacing w:before="34" w:after="0" w:line="14" w:lineRule="exact"/>
        <w:jc w:val="center"/>
        <w:rPr>
          <w:lang w:val="en-US"/>
        </w:rPr>
      </w:pPr>
    </w:p>
    <w:p w:rsidR="00C310DA" w:rsidRDefault="00C310DA">
      <w:pPr>
        <w:spacing w:after="0" w:line="240" w:lineRule="auto"/>
        <w:jc w:val="left"/>
        <w:rPr>
          <w:lang w:val="en-US"/>
        </w:rPr>
      </w:pPr>
      <w:r>
        <w:rPr>
          <w:lang w:val="en-US"/>
        </w:rPr>
        <w:br w:type="page"/>
      </w:r>
    </w:p>
    <w:p w:rsidR="00934A23" w:rsidRPr="00934A23" w:rsidRDefault="00934A23" w:rsidP="00300268">
      <w:pPr>
        <w:pStyle w:val="Heading2"/>
      </w:pPr>
      <w:bookmarkStart w:id="12" w:name="_Toc42155330"/>
      <w:r w:rsidRPr="00934A23">
        <w:lastRenderedPageBreak/>
        <w:t>FISHERIES MANAGEMENT ACT 2007</w:t>
      </w:r>
      <w:bookmarkEnd w:id="12"/>
    </w:p>
    <w:p w:rsidR="00934A23" w:rsidRPr="00934A23" w:rsidRDefault="00934A23" w:rsidP="00934A23">
      <w:pPr>
        <w:jc w:val="center"/>
        <w:rPr>
          <w:smallCaps/>
          <w:szCs w:val="17"/>
        </w:rPr>
      </w:pPr>
      <w:r w:rsidRPr="00934A23">
        <w:rPr>
          <w:smallCaps/>
          <w:szCs w:val="17"/>
        </w:rPr>
        <w:t>Section 90 (2)</w:t>
      </w:r>
    </w:p>
    <w:p w:rsidR="00934A23" w:rsidRPr="00934A23" w:rsidRDefault="00934A23" w:rsidP="00934A23">
      <w:pPr>
        <w:jc w:val="center"/>
        <w:rPr>
          <w:i/>
          <w:szCs w:val="17"/>
        </w:rPr>
      </w:pPr>
      <w:r w:rsidRPr="00934A23">
        <w:rPr>
          <w:i/>
          <w:szCs w:val="17"/>
        </w:rPr>
        <w:t>Items Seized</w:t>
      </w:r>
    </w:p>
    <w:p w:rsidR="00934A23" w:rsidRPr="00635E4E" w:rsidRDefault="00934A23" w:rsidP="00635E4E">
      <w:pPr>
        <w:pStyle w:val="GG-body"/>
      </w:pPr>
      <w:r w:rsidRPr="00635E4E">
        <w:t xml:space="preserve">Notice is hereby given pursuant to Section 90 (2) of the </w:t>
      </w:r>
      <w:r w:rsidRPr="00635E4E">
        <w:rPr>
          <w:i/>
        </w:rPr>
        <w:t>Fisheries Management Act, 2007</w:t>
      </w:r>
      <w:r w:rsidRPr="00635E4E">
        <w:t>, that the following items have been seized by Officers of the Department of Primary Industries and Regions SA, Fisheries and Aquaculture at BEACHPORT on 13/01/2020.</w:t>
      </w:r>
    </w:p>
    <w:p w:rsidR="00934A23" w:rsidRPr="00934A23" w:rsidRDefault="00934A23" w:rsidP="00FC7B18">
      <w:pPr>
        <w:numPr>
          <w:ilvl w:val="0"/>
          <w:numId w:val="10"/>
        </w:numPr>
        <w:ind w:left="426" w:hanging="284"/>
        <w:contextualSpacing/>
        <w:rPr>
          <w:rFonts w:eastAsia="Times New Roman"/>
          <w:b/>
          <w:szCs w:val="24"/>
        </w:rPr>
      </w:pPr>
      <w:r w:rsidRPr="00934A23">
        <w:rPr>
          <w:rFonts w:eastAsia="Times New Roman"/>
          <w:b/>
          <w:szCs w:val="24"/>
        </w:rPr>
        <w:t>Rock Lobster pot, stainless steel mesh, black neck, green rope, black berley pot and a red 4 litre float.</w:t>
      </w:r>
    </w:p>
    <w:p w:rsidR="00934A23" w:rsidRPr="00934A23" w:rsidRDefault="00934A23" w:rsidP="00635E4E">
      <w:pPr>
        <w:pStyle w:val="GG-body"/>
      </w:pPr>
      <w:r w:rsidRPr="00934A23">
        <w:t xml:space="preserve">The above items were suspected to have been used, or intended to be used, in contravention of the </w:t>
      </w:r>
      <w:r w:rsidRPr="00934A23">
        <w:rPr>
          <w:i/>
        </w:rPr>
        <w:t>Fisheries Management Act, 2007</w:t>
      </w:r>
      <w:r w:rsidRPr="00934A23">
        <w:t>, and were taken into possession at:</w:t>
      </w:r>
    </w:p>
    <w:p w:rsidR="00934A23" w:rsidRPr="00934A23" w:rsidRDefault="00934A23" w:rsidP="00934A23">
      <w:pPr>
        <w:ind w:left="142"/>
        <w:rPr>
          <w:rFonts w:eastAsia="Times New Roman"/>
          <w:b/>
          <w:szCs w:val="17"/>
        </w:rPr>
      </w:pPr>
      <w:r w:rsidRPr="00934A23">
        <w:rPr>
          <w:rFonts w:eastAsia="Times New Roman"/>
          <w:b/>
          <w:szCs w:val="17"/>
        </w:rPr>
        <w:t>BEACHPORT</w:t>
      </w:r>
    </w:p>
    <w:p w:rsidR="00934A23" w:rsidRPr="00635E4E" w:rsidRDefault="00934A23" w:rsidP="00635E4E">
      <w:pPr>
        <w:pStyle w:val="GG-body"/>
      </w:pPr>
      <w:r w:rsidRPr="00635E4E">
        <w:t>After the expiration of one month from the date of this notice the items listed above shall, on the order of the Minister for Agriculture, Food and Fisheries, be forfeited to the Crown and shall be either disposed of by sale or destruction.</w:t>
      </w:r>
    </w:p>
    <w:p w:rsidR="00934A23" w:rsidRPr="00635E4E" w:rsidRDefault="00934A23" w:rsidP="00635E4E">
      <w:pPr>
        <w:pStyle w:val="GG-body"/>
      </w:pPr>
      <w:r w:rsidRPr="00635E4E">
        <w:t xml:space="preserve">The above items may be viewed at the </w:t>
      </w:r>
      <w:r w:rsidRPr="00635E4E">
        <w:rPr>
          <w:b/>
        </w:rPr>
        <w:t>Kingston</w:t>
      </w:r>
      <w:r w:rsidRPr="00635E4E">
        <w:t xml:space="preserve"> office of the Department of Primary Industries and Regions SA, Fisheries and Aquaculture.</w:t>
      </w:r>
    </w:p>
    <w:p w:rsidR="00934A23" w:rsidRPr="00934A23" w:rsidRDefault="00934A23" w:rsidP="00934A23">
      <w:pPr>
        <w:spacing w:after="0"/>
        <w:rPr>
          <w:rFonts w:eastAsia="Times New Roman"/>
          <w:szCs w:val="17"/>
        </w:rPr>
      </w:pPr>
      <w:r w:rsidRPr="00934A23">
        <w:rPr>
          <w:rFonts w:eastAsia="Times New Roman"/>
          <w:szCs w:val="17"/>
        </w:rPr>
        <w:t>Dated: 28 May 2020</w:t>
      </w:r>
    </w:p>
    <w:p w:rsidR="00934A23" w:rsidRPr="00934A23" w:rsidRDefault="00934A23" w:rsidP="00934A23">
      <w:pPr>
        <w:spacing w:after="0"/>
        <w:jc w:val="right"/>
        <w:rPr>
          <w:rFonts w:eastAsia="Times New Roman"/>
          <w:smallCaps/>
          <w:szCs w:val="20"/>
        </w:rPr>
      </w:pPr>
      <w:r w:rsidRPr="00934A23">
        <w:rPr>
          <w:rFonts w:eastAsia="Times New Roman"/>
          <w:smallCaps/>
          <w:szCs w:val="20"/>
        </w:rPr>
        <w:t>Bree Balmer</w:t>
      </w:r>
    </w:p>
    <w:p w:rsidR="00934A23" w:rsidRPr="00934A23" w:rsidRDefault="00934A23" w:rsidP="00934A23">
      <w:pPr>
        <w:spacing w:after="0"/>
        <w:jc w:val="right"/>
        <w:rPr>
          <w:rFonts w:eastAsia="Times New Roman"/>
          <w:szCs w:val="17"/>
        </w:rPr>
      </w:pPr>
      <w:r w:rsidRPr="00934A23">
        <w:rPr>
          <w:rFonts w:eastAsia="Times New Roman"/>
          <w:szCs w:val="17"/>
        </w:rPr>
        <w:t>Prosecutions Coordinator</w:t>
      </w:r>
    </w:p>
    <w:p w:rsidR="00934A23" w:rsidRPr="00934A23" w:rsidRDefault="00934A23" w:rsidP="00934A23">
      <w:pPr>
        <w:pBdr>
          <w:top w:val="single" w:sz="4" w:space="1" w:color="auto"/>
        </w:pBdr>
        <w:spacing w:before="100" w:after="0" w:line="14" w:lineRule="exact"/>
        <w:jc w:val="center"/>
        <w:rPr>
          <w:rFonts w:eastAsia="Times New Roman"/>
          <w:szCs w:val="17"/>
        </w:rPr>
      </w:pPr>
    </w:p>
    <w:p w:rsidR="00934A23" w:rsidRPr="00934A23" w:rsidRDefault="00934A23" w:rsidP="00934A2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635E4E" w:rsidRPr="00635E4E" w:rsidRDefault="00635E4E" w:rsidP="00635E4E">
      <w:pPr>
        <w:jc w:val="center"/>
        <w:rPr>
          <w:caps/>
          <w:szCs w:val="17"/>
        </w:rPr>
      </w:pPr>
      <w:r w:rsidRPr="00635E4E">
        <w:rPr>
          <w:caps/>
          <w:szCs w:val="17"/>
        </w:rPr>
        <w:t>FISHERIES MANAGEMENT ACT 2007</w:t>
      </w:r>
    </w:p>
    <w:p w:rsidR="00635E4E" w:rsidRPr="00635E4E" w:rsidRDefault="00635E4E" w:rsidP="00635E4E">
      <w:pPr>
        <w:jc w:val="center"/>
        <w:rPr>
          <w:smallCaps/>
          <w:szCs w:val="17"/>
        </w:rPr>
      </w:pPr>
      <w:r w:rsidRPr="00635E4E">
        <w:rPr>
          <w:smallCaps/>
          <w:szCs w:val="17"/>
        </w:rPr>
        <w:t>Section 90 (2)</w:t>
      </w:r>
    </w:p>
    <w:p w:rsidR="00635E4E" w:rsidRPr="00635E4E" w:rsidRDefault="00635E4E" w:rsidP="00635E4E">
      <w:pPr>
        <w:jc w:val="center"/>
        <w:rPr>
          <w:i/>
          <w:szCs w:val="17"/>
        </w:rPr>
      </w:pPr>
      <w:r w:rsidRPr="00635E4E">
        <w:rPr>
          <w:i/>
          <w:szCs w:val="17"/>
        </w:rPr>
        <w:t>Items Seized</w:t>
      </w:r>
    </w:p>
    <w:p w:rsidR="00635E4E" w:rsidRPr="00635E4E" w:rsidRDefault="00635E4E" w:rsidP="00635E4E">
      <w:pPr>
        <w:pStyle w:val="GG-body"/>
      </w:pPr>
      <w:r w:rsidRPr="00635E4E">
        <w:t xml:space="preserve">Notice is hereby given pursuant to Section 90 (2) of the </w:t>
      </w:r>
      <w:r w:rsidRPr="00635E4E">
        <w:rPr>
          <w:i/>
        </w:rPr>
        <w:t>Fisheries Management Act, 2007</w:t>
      </w:r>
      <w:r w:rsidRPr="00635E4E">
        <w:t>, that the following items have been seized by Officers of the Department of Primary Industries and Regions SA, Fisheries and Aquaculture at BEACHPORT on 22/02/2020.</w:t>
      </w:r>
    </w:p>
    <w:p w:rsidR="00635E4E" w:rsidRPr="00635E4E" w:rsidRDefault="00635E4E" w:rsidP="00FC7B18">
      <w:pPr>
        <w:numPr>
          <w:ilvl w:val="0"/>
          <w:numId w:val="11"/>
        </w:numPr>
        <w:spacing w:line="240" w:lineRule="auto"/>
        <w:ind w:left="426" w:hanging="284"/>
        <w:contextualSpacing/>
        <w:rPr>
          <w:rFonts w:eastAsia="Times New Roman"/>
          <w:b/>
          <w:szCs w:val="24"/>
        </w:rPr>
      </w:pPr>
      <w:r w:rsidRPr="00635E4E">
        <w:rPr>
          <w:rFonts w:eastAsia="Times New Roman"/>
          <w:b/>
          <w:szCs w:val="24"/>
        </w:rPr>
        <w:t>Double ring drop net, broken green net with white float displaying S178 “hound” written in black marker on float. Tag attached to float with no legible info.</w:t>
      </w:r>
    </w:p>
    <w:p w:rsidR="00635E4E" w:rsidRPr="00635E4E" w:rsidRDefault="00635E4E" w:rsidP="00635E4E">
      <w:pPr>
        <w:pStyle w:val="GG-body"/>
      </w:pPr>
      <w:r w:rsidRPr="00635E4E">
        <w:t xml:space="preserve">The above items were suspected to have been used, or intended to be used, in contravention of the </w:t>
      </w:r>
      <w:r w:rsidRPr="00635E4E">
        <w:rPr>
          <w:i/>
        </w:rPr>
        <w:t>Fisheries Management Act, 2007</w:t>
      </w:r>
      <w:r w:rsidRPr="00635E4E">
        <w:t>, and were taken into possession at:</w:t>
      </w:r>
    </w:p>
    <w:p w:rsidR="00635E4E" w:rsidRPr="00635E4E" w:rsidRDefault="00635E4E" w:rsidP="00635E4E">
      <w:pPr>
        <w:ind w:left="142"/>
        <w:rPr>
          <w:rFonts w:eastAsia="Times New Roman"/>
          <w:b/>
          <w:szCs w:val="17"/>
        </w:rPr>
      </w:pPr>
      <w:r w:rsidRPr="00635E4E">
        <w:rPr>
          <w:rFonts w:eastAsia="Times New Roman"/>
          <w:b/>
          <w:szCs w:val="17"/>
        </w:rPr>
        <w:t>BEACHPORT</w:t>
      </w:r>
    </w:p>
    <w:p w:rsidR="00635E4E" w:rsidRPr="00635E4E" w:rsidRDefault="00635E4E" w:rsidP="00635E4E">
      <w:pPr>
        <w:pStyle w:val="GG-body"/>
      </w:pPr>
      <w:r w:rsidRPr="00635E4E">
        <w:t>After the expiration of one month from the date of this notice the items listed above shall, on the order of the Minister for Agriculture, Food and Fisheries, be forfeited to the Crown and shall be either disposed of by sale or destruction.</w:t>
      </w:r>
    </w:p>
    <w:p w:rsidR="00635E4E" w:rsidRPr="00635E4E" w:rsidRDefault="00635E4E" w:rsidP="00635E4E">
      <w:pPr>
        <w:pStyle w:val="GG-body"/>
      </w:pPr>
      <w:r w:rsidRPr="00635E4E">
        <w:t xml:space="preserve">The above items may be viewed at the </w:t>
      </w:r>
      <w:r w:rsidRPr="00635E4E">
        <w:rPr>
          <w:b/>
        </w:rPr>
        <w:t>Kingston</w:t>
      </w:r>
      <w:r w:rsidRPr="00635E4E">
        <w:t xml:space="preserve"> office of the Department of Primary Industries and Regions SA, Fisheries and Aquaculture.</w:t>
      </w:r>
    </w:p>
    <w:p w:rsidR="00635E4E" w:rsidRPr="00635E4E" w:rsidRDefault="00635E4E" w:rsidP="00635E4E">
      <w:pPr>
        <w:spacing w:after="0"/>
        <w:rPr>
          <w:rFonts w:eastAsia="Times New Roman"/>
          <w:szCs w:val="17"/>
        </w:rPr>
      </w:pPr>
      <w:r w:rsidRPr="00635E4E">
        <w:rPr>
          <w:rFonts w:eastAsia="Times New Roman"/>
          <w:szCs w:val="17"/>
        </w:rPr>
        <w:t>Dated: 29 May 2020</w:t>
      </w:r>
    </w:p>
    <w:p w:rsidR="00635E4E" w:rsidRPr="00635E4E" w:rsidRDefault="00635E4E" w:rsidP="00635E4E">
      <w:pPr>
        <w:spacing w:after="0"/>
        <w:jc w:val="right"/>
        <w:rPr>
          <w:rFonts w:eastAsia="Times New Roman"/>
          <w:smallCaps/>
          <w:szCs w:val="20"/>
        </w:rPr>
      </w:pPr>
      <w:r w:rsidRPr="00635E4E">
        <w:rPr>
          <w:rFonts w:eastAsia="Times New Roman"/>
          <w:smallCaps/>
          <w:szCs w:val="20"/>
        </w:rPr>
        <w:t>Bree Balmer</w:t>
      </w:r>
    </w:p>
    <w:p w:rsidR="00635E4E" w:rsidRPr="00635E4E" w:rsidRDefault="00635E4E" w:rsidP="00635E4E">
      <w:pPr>
        <w:spacing w:after="0"/>
        <w:jc w:val="right"/>
        <w:rPr>
          <w:rFonts w:eastAsia="Times New Roman"/>
          <w:szCs w:val="17"/>
        </w:rPr>
      </w:pPr>
      <w:r w:rsidRPr="00635E4E">
        <w:rPr>
          <w:rFonts w:eastAsia="Times New Roman"/>
          <w:szCs w:val="17"/>
        </w:rPr>
        <w:t>Prosecutions Coordinator</w:t>
      </w:r>
    </w:p>
    <w:p w:rsidR="00635E4E" w:rsidRPr="00635E4E" w:rsidRDefault="00635E4E" w:rsidP="00635E4E">
      <w:pPr>
        <w:pBdr>
          <w:top w:val="single" w:sz="4" w:space="1" w:color="auto"/>
        </w:pBdr>
        <w:spacing w:before="100" w:after="0" w:line="14" w:lineRule="exact"/>
        <w:jc w:val="center"/>
        <w:rPr>
          <w:rFonts w:eastAsia="Times New Roman"/>
          <w:szCs w:val="17"/>
        </w:rPr>
      </w:pPr>
    </w:p>
    <w:p w:rsidR="00635E4E" w:rsidRPr="00635E4E" w:rsidRDefault="00635E4E" w:rsidP="00635E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635E4E" w:rsidRPr="00635E4E" w:rsidRDefault="00635E4E" w:rsidP="00635E4E">
      <w:pPr>
        <w:jc w:val="center"/>
        <w:rPr>
          <w:caps/>
          <w:szCs w:val="17"/>
        </w:rPr>
      </w:pPr>
      <w:r w:rsidRPr="00635E4E">
        <w:rPr>
          <w:caps/>
          <w:szCs w:val="17"/>
        </w:rPr>
        <w:t>FISHERIES MANAGEMENT ACT 2007</w:t>
      </w:r>
    </w:p>
    <w:p w:rsidR="00635E4E" w:rsidRPr="00635E4E" w:rsidRDefault="00635E4E" w:rsidP="00635E4E">
      <w:pPr>
        <w:jc w:val="center"/>
        <w:rPr>
          <w:smallCaps/>
          <w:szCs w:val="17"/>
        </w:rPr>
      </w:pPr>
      <w:r w:rsidRPr="00635E4E">
        <w:rPr>
          <w:smallCaps/>
          <w:szCs w:val="17"/>
        </w:rPr>
        <w:t>Section 90 (2)</w:t>
      </w:r>
    </w:p>
    <w:p w:rsidR="00635E4E" w:rsidRPr="00635E4E" w:rsidRDefault="00635E4E" w:rsidP="00635E4E">
      <w:pPr>
        <w:jc w:val="center"/>
        <w:rPr>
          <w:i/>
          <w:szCs w:val="17"/>
        </w:rPr>
      </w:pPr>
      <w:r w:rsidRPr="00635E4E">
        <w:rPr>
          <w:i/>
          <w:szCs w:val="17"/>
        </w:rPr>
        <w:t>Items Seized</w:t>
      </w:r>
    </w:p>
    <w:p w:rsidR="00635E4E" w:rsidRPr="00635E4E" w:rsidRDefault="00635E4E" w:rsidP="00635E4E">
      <w:pPr>
        <w:pStyle w:val="GG-body"/>
      </w:pPr>
      <w:r w:rsidRPr="00635E4E">
        <w:t xml:space="preserve">Notice is hereby given pursuant to Section 90 (2) of the </w:t>
      </w:r>
      <w:r w:rsidRPr="00635E4E">
        <w:rPr>
          <w:i/>
        </w:rPr>
        <w:t>Fisheries Management Act, 2007</w:t>
      </w:r>
      <w:r w:rsidRPr="00635E4E">
        <w:t>, that the following items have been seized by Officers of the Department of Primary Industries and Regions SA, Fisheries and Aquaculture at BEACHPORT on 22/02/2020.</w:t>
      </w:r>
    </w:p>
    <w:p w:rsidR="00635E4E" w:rsidRPr="00635E4E" w:rsidRDefault="00635E4E" w:rsidP="00FC7B18">
      <w:pPr>
        <w:numPr>
          <w:ilvl w:val="0"/>
          <w:numId w:val="12"/>
        </w:numPr>
        <w:spacing w:line="240" w:lineRule="auto"/>
        <w:ind w:left="426" w:hanging="284"/>
        <w:contextualSpacing/>
        <w:rPr>
          <w:rFonts w:eastAsia="Times New Roman"/>
          <w:b/>
          <w:szCs w:val="24"/>
        </w:rPr>
      </w:pPr>
      <w:r w:rsidRPr="00635E4E">
        <w:rPr>
          <w:rFonts w:eastAsia="Times New Roman"/>
          <w:b/>
          <w:szCs w:val="24"/>
        </w:rPr>
        <w:t>Single ring Rock Lobster pot with black neck, red bait basket, black bait basket and orange rope with an orange float displaying no. S200.</w:t>
      </w:r>
    </w:p>
    <w:p w:rsidR="00635E4E" w:rsidRPr="00635E4E" w:rsidRDefault="00635E4E" w:rsidP="00635E4E">
      <w:pPr>
        <w:pStyle w:val="GG-body"/>
      </w:pPr>
      <w:r w:rsidRPr="00635E4E">
        <w:t xml:space="preserve">The above items were suspected to have been used, or intended to be used, in contravention of the </w:t>
      </w:r>
      <w:r w:rsidRPr="00635E4E">
        <w:rPr>
          <w:i/>
        </w:rPr>
        <w:t>Fisheries Management Act, 2007</w:t>
      </w:r>
      <w:r w:rsidRPr="00635E4E">
        <w:t>, and were taken into possession at:</w:t>
      </w:r>
    </w:p>
    <w:p w:rsidR="00635E4E" w:rsidRPr="00635E4E" w:rsidRDefault="00635E4E" w:rsidP="00635E4E">
      <w:pPr>
        <w:ind w:left="142"/>
        <w:rPr>
          <w:rFonts w:eastAsia="Times New Roman"/>
          <w:b/>
          <w:szCs w:val="17"/>
        </w:rPr>
      </w:pPr>
      <w:r w:rsidRPr="00635E4E">
        <w:rPr>
          <w:rFonts w:eastAsia="Times New Roman"/>
          <w:b/>
          <w:szCs w:val="17"/>
        </w:rPr>
        <w:t>BEACHPORT</w:t>
      </w:r>
    </w:p>
    <w:p w:rsidR="00635E4E" w:rsidRPr="00635E4E" w:rsidRDefault="00635E4E" w:rsidP="00635E4E">
      <w:pPr>
        <w:pStyle w:val="GG-body"/>
      </w:pPr>
      <w:r w:rsidRPr="00635E4E">
        <w:t>After the expiration of one month from the date of this notice the items listed above shall, on the order of the Minister for Agriculture, Food and Fisheries, be forfeited to the Crown and shall be either disposed of by sale or destruction.</w:t>
      </w:r>
    </w:p>
    <w:p w:rsidR="00635E4E" w:rsidRPr="00635E4E" w:rsidRDefault="00635E4E" w:rsidP="00635E4E">
      <w:pPr>
        <w:rPr>
          <w:rFonts w:eastAsia="Times New Roman"/>
          <w:szCs w:val="17"/>
        </w:rPr>
      </w:pPr>
      <w:r w:rsidRPr="00635E4E">
        <w:rPr>
          <w:rFonts w:eastAsia="Times New Roman"/>
          <w:szCs w:val="17"/>
        </w:rPr>
        <w:t xml:space="preserve">The above items may be viewed at the </w:t>
      </w:r>
      <w:r w:rsidRPr="00635E4E">
        <w:rPr>
          <w:rFonts w:eastAsia="Times New Roman"/>
          <w:b/>
          <w:szCs w:val="17"/>
        </w:rPr>
        <w:t xml:space="preserve">Kingston </w:t>
      </w:r>
      <w:r w:rsidRPr="00635E4E">
        <w:rPr>
          <w:rFonts w:eastAsia="Times New Roman"/>
          <w:szCs w:val="17"/>
        </w:rPr>
        <w:t>office of the Department of Primary Industries and Regions SA, Fisheries and Aquaculture.</w:t>
      </w:r>
    </w:p>
    <w:p w:rsidR="00635E4E" w:rsidRPr="00635E4E" w:rsidRDefault="00635E4E" w:rsidP="00635E4E">
      <w:pPr>
        <w:spacing w:after="0"/>
        <w:rPr>
          <w:rFonts w:eastAsia="Times New Roman"/>
          <w:szCs w:val="17"/>
        </w:rPr>
      </w:pPr>
      <w:r w:rsidRPr="00635E4E">
        <w:rPr>
          <w:rFonts w:eastAsia="Times New Roman"/>
          <w:szCs w:val="17"/>
        </w:rPr>
        <w:t>Dated: 28 May 2020</w:t>
      </w:r>
    </w:p>
    <w:p w:rsidR="00635E4E" w:rsidRPr="00635E4E" w:rsidRDefault="00635E4E" w:rsidP="00635E4E">
      <w:pPr>
        <w:spacing w:after="0"/>
        <w:jc w:val="right"/>
        <w:rPr>
          <w:rFonts w:eastAsia="Times New Roman"/>
          <w:smallCaps/>
          <w:szCs w:val="20"/>
        </w:rPr>
      </w:pPr>
      <w:r w:rsidRPr="00635E4E">
        <w:rPr>
          <w:rFonts w:eastAsia="Times New Roman"/>
          <w:smallCaps/>
          <w:szCs w:val="20"/>
        </w:rPr>
        <w:t>Bree Balmer</w:t>
      </w:r>
    </w:p>
    <w:p w:rsidR="00635E4E" w:rsidRPr="00635E4E" w:rsidRDefault="00635E4E" w:rsidP="00635E4E">
      <w:pPr>
        <w:spacing w:after="0"/>
        <w:jc w:val="right"/>
        <w:rPr>
          <w:rFonts w:eastAsia="Times New Roman"/>
          <w:szCs w:val="17"/>
        </w:rPr>
      </w:pPr>
      <w:r w:rsidRPr="00635E4E">
        <w:rPr>
          <w:rFonts w:eastAsia="Times New Roman"/>
          <w:szCs w:val="17"/>
        </w:rPr>
        <w:t>Prosecutions Coordinator</w:t>
      </w:r>
    </w:p>
    <w:p w:rsidR="00635E4E" w:rsidRPr="00635E4E" w:rsidRDefault="00635E4E" w:rsidP="00635E4E">
      <w:pPr>
        <w:pBdr>
          <w:top w:val="single" w:sz="4" w:space="1" w:color="auto"/>
        </w:pBdr>
        <w:spacing w:before="100" w:after="0" w:line="14" w:lineRule="exact"/>
        <w:jc w:val="center"/>
        <w:rPr>
          <w:rFonts w:eastAsia="Times New Roman"/>
          <w:szCs w:val="17"/>
        </w:rPr>
      </w:pPr>
    </w:p>
    <w:p w:rsidR="00635E4E" w:rsidRPr="00635E4E" w:rsidRDefault="00635E4E" w:rsidP="00635E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635E4E" w:rsidRPr="00635E4E" w:rsidRDefault="00635E4E" w:rsidP="00635E4E">
      <w:pPr>
        <w:jc w:val="center"/>
        <w:rPr>
          <w:caps/>
          <w:szCs w:val="17"/>
        </w:rPr>
      </w:pPr>
      <w:r w:rsidRPr="00635E4E">
        <w:rPr>
          <w:caps/>
          <w:szCs w:val="17"/>
        </w:rPr>
        <w:t>FISHERIES MANAGEMENT ACT 2007</w:t>
      </w:r>
    </w:p>
    <w:p w:rsidR="00635E4E" w:rsidRPr="00635E4E" w:rsidRDefault="00635E4E" w:rsidP="00635E4E">
      <w:pPr>
        <w:jc w:val="center"/>
        <w:rPr>
          <w:smallCaps/>
          <w:szCs w:val="17"/>
        </w:rPr>
      </w:pPr>
      <w:r w:rsidRPr="00635E4E">
        <w:rPr>
          <w:smallCaps/>
          <w:szCs w:val="17"/>
        </w:rPr>
        <w:t>Section 90 (2)</w:t>
      </w:r>
    </w:p>
    <w:p w:rsidR="00635E4E" w:rsidRPr="00635E4E" w:rsidRDefault="00635E4E" w:rsidP="00635E4E">
      <w:pPr>
        <w:jc w:val="center"/>
        <w:rPr>
          <w:i/>
          <w:szCs w:val="17"/>
        </w:rPr>
      </w:pPr>
      <w:r w:rsidRPr="00635E4E">
        <w:rPr>
          <w:i/>
          <w:szCs w:val="17"/>
        </w:rPr>
        <w:t>Items Seized</w:t>
      </w:r>
    </w:p>
    <w:p w:rsidR="00635E4E" w:rsidRPr="00635E4E" w:rsidRDefault="00635E4E" w:rsidP="00635E4E">
      <w:pPr>
        <w:rPr>
          <w:rFonts w:eastAsia="Times New Roman"/>
          <w:szCs w:val="17"/>
        </w:rPr>
      </w:pPr>
      <w:r w:rsidRPr="00635E4E">
        <w:rPr>
          <w:rFonts w:eastAsia="Times New Roman"/>
          <w:szCs w:val="17"/>
        </w:rPr>
        <w:t xml:space="preserve">Notice is hereby given pursuant to Section 90 (2) of the </w:t>
      </w:r>
      <w:r w:rsidRPr="00635E4E">
        <w:rPr>
          <w:rFonts w:eastAsia="Times New Roman"/>
          <w:i/>
          <w:szCs w:val="17"/>
        </w:rPr>
        <w:t>Fisheries Management Act, 2007</w:t>
      </w:r>
      <w:r w:rsidRPr="00635E4E">
        <w:rPr>
          <w:rFonts w:eastAsia="Times New Roman"/>
          <w:szCs w:val="17"/>
        </w:rPr>
        <w:t>, that the following items have been seized by Officers of the Department of Primary Industries and Regions SA, Fisheries and Aquaculture at BRIGHTON JETTY on 31/01/2020.</w:t>
      </w:r>
    </w:p>
    <w:p w:rsidR="00635E4E" w:rsidRPr="00635E4E" w:rsidRDefault="00635E4E" w:rsidP="00FC7B18">
      <w:pPr>
        <w:numPr>
          <w:ilvl w:val="0"/>
          <w:numId w:val="13"/>
        </w:numPr>
        <w:ind w:left="426" w:hanging="284"/>
        <w:rPr>
          <w:rFonts w:eastAsia="Times New Roman"/>
          <w:b/>
          <w:szCs w:val="24"/>
        </w:rPr>
      </w:pPr>
      <w:r w:rsidRPr="00635E4E">
        <w:rPr>
          <w:rFonts w:eastAsia="Times New Roman"/>
          <w:b/>
          <w:szCs w:val="24"/>
        </w:rPr>
        <w:t>Black/red 6’6 Jarvis Walker intruder spinning rod with an intruder reel and yellow line attached to a white/orange float with a pin jag.</w:t>
      </w:r>
    </w:p>
    <w:p w:rsidR="00635E4E" w:rsidRPr="00635E4E" w:rsidRDefault="00635E4E" w:rsidP="00FC7B18">
      <w:pPr>
        <w:numPr>
          <w:ilvl w:val="0"/>
          <w:numId w:val="13"/>
        </w:numPr>
        <w:ind w:left="426" w:hanging="284"/>
        <w:rPr>
          <w:rFonts w:eastAsia="Times New Roman"/>
          <w:b/>
          <w:szCs w:val="24"/>
        </w:rPr>
      </w:pPr>
      <w:r w:rsidRPr="00635E4E">
        <w:rPr>
          <w:rFonts w:eastAsia="Times New Roman"/>
          <w:b/>
          <w:szCs w:val="24"/>
        </w:rPr>
        <w:t>Blue 6” rigged handcaster with yellow line attached to a white/red float with a pin jag.</w:t>
      </w:r>
    </w:p>
    <w:p w:rsidR="00635E4E" w:rsidRPr="00635E4E" w:rsidRDefault="00635E4E" w:rsidP="00FC7B18">
      <w:pPr>
        <w:numPr>
          <w:ilvl w:val="0"/>
          <w:numId w:val="13"/>
        </w:numPr>
        <w:ind w:left="426" w:hanging="284"/>
        <w:rPr>
          <w:rFonts w:eastAsia="Times New Roman"/>
          <w:b/>
          <w:szCs w:val="24"/>
        </w:rPr>
      </w:pPr>
      <w:r w:rsidRPr="00635E4E">
        <w:rPr>
          <w:rFonts w:eastAsia="Times New Roman"/>
          <w:b/>
          <w:szCs w:val="24"/>
        </w:rPr>
        <w:t>Blue 6” Rigged handcaster with blue line attached to an orange/black squid jag.</w:t>
      </w:r>
    </w:p>
    <w:p w:rsidR="00635E4E" w:rsidRPr="00635E4E" w:rsidRDefault="00635E4E" w:rsidP="00FC7B18">
      <w:pPr>
        <w:numPr>
          <w:ilvl w:val="0"/>
          <w:numId w:val="13"/>
        </w:numPr>
        <w:ind w:left="426" w:hanging="284"/>
        <w:rPr>
          <w:rFonts w:eastAsia="Times New Roman"/>
          <w:b/>
          <w:szCs w:val="24"/>
        </w:rPr>
      </w:pPr>
      <w:r w:rsidRPr="00635E4E">
        <w:rPr>
          <w:rFonts w:eastAsia="Times New Roman"/>
          <w:b/>
          <w:szCs w:val="24"/>
        </w:rPr>
        <w:t>Double ring Crab net with green rope and black bait basket.</w:t>
      </w:r>
    </w:p>
    <w:p w:rsidR="00635E4E" w:rsidRPr="00635E4E" w:rsidRDefault="00635E4E" w:rsidP="00635E4E">
      <w:pPr>
        <w:pStyle w:val="GG-body"/>
      </w:pPr>
      <w:r w:rsidRPr="00635E4E">
        <w:lastRenderedPageBreak/>
        <w:t xml:space="preserve">The above items were suspected to have been used, or intended to be used, in contravention of the </w:t>
      </w:r>
      <w:r w:rsidRPr="00635E4E">
        <w:rPr>
          <w:i/>
        </w:rPr>
        <w:t>Fisheries Management Act, 2007</w:t>
      </w:r>
      <w:r w:rsidRPr="00635E4E">
        <w:t>, and were taken into possession at:</w:t>
      </w:r>
    </w:p>
    <w:p w:rsidR="00635E4E" w:rsidRPr="00635E4E" w:rsidRDefault="00635E4E" w:rsidP="00635E4E">
      <w:pPr>
        <w:ind w:left="142"/>
        <w:rPr>
          <w:rFonts w:eastAsia="Times New Roman"/>
          <w:b/>
          <w:szCs w:val="17"/>
        </w:rPr>
      </w:pPr>
      <w:r w:rsidRPr="00635E4E">
        <w:rPr>
          <w:rFonts w:eastAsia="Times New Roman"/>
          <w:b/>
          <w:szCs w:val="24"/>
        </w:rPr>
        <w:t>BRIGHTON JETTY</w:t>
      </w:r>
    </w:p>
    <w:p w:rsidR="00635E4E" w:rsidRPr="00635E4E" w:rsidRDefault="00635E4E" w:rsidP="00635E4E">
      <w:pPr>
        <w:rPr>
          <w:rFonts w:eastAsia="Times New Roman"/>
          <w:szCs w:val="17"/>
        </w:rPr>
      </w:pPr>
      <w:r w:rsidRPr="00635E4E">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635E4E" w:rsidRPr="00635E4E" w:rsidRDefault="00635E4E" w:rsidP="00635E4E">
      <w:pPr>
        <w:rPr>
          <w:rFonts w:eastAsia="Times New Roman"/>
          <w:szCs w:val="17"/>
        </w:rPr>
      </w:pPr>
      <w:r w:rsidRPr="00635E4E">
        <w:rPr>
          <w:rFonts w:eastAsia="Times New Roman"/>
          <w:szCs w:val="17"/>
        </w:rPr>
        <w:t xml:space="preserve">The above items may be viewed at the </w:t>
      </w:r>
      <w:r w:rsidRPr="00635E4E">
        <w:rPr>
          <w:rFonts w:eastAsia="Times New Roman"/>
          <w:b/>
          <w:szCs w:val="24"/>
        </w:rPr>
        <w:t>Largs North</w:t>
      </w:r>
      <w:r w:rsidRPr="00635E4E">
        <w:rPr>
          <w:rFonts w:eastAsia="Times New Roman"/>
          <w:b/>
          <w:szCs w:val="17"/>
        </w:rPr>
        <w:t xml:space="preserve"> </w:t>
      </w:r>
      <w:r w:rsidRPr="00635E4E">
        <w:rPr>
          <w:rFonts w:eastAsia="Times New Roman"/>
          <w:szCs w:val="17"/>
        </w:rPr>
        <w:t>office of the Department of Primary Industries and Regions SA, Fisheries and Aquaculture.</w:t>
      </w:r>
    </w:p>
    <w:p w:rsidR="00635E4E" w:rsidRPr="00635E4E" w:rsidRDefault="00635E4E" w:rsidP="00635E4E">
      <w:pPr>
        <w:spacing w:after="0"/>
        <w:rPr>
          <w:rFonts w:eastAsia="Times New Roman"/>
          <w:szCs w:val="17"/>
        </w:rPr>
      </w:pPr>
      <w:r w:rsidRPr="00635E4E">
        <w:rPr>
          <w:rFonts w:eastAsia="Times New Roman"/>
          <w:szCs w:val="17"/>
        </w:rPr>
        <w:t>Dated: 28 May 2020</w:t>
      </w:r>
    </w:p>
    <w:p w:rsidR="00635E4E" w:rsidRPr="00635E4E" w:rsidRDefault="00635E4E" w:rsidP="00635E4E">
      <w:pPr>
        <w:spacing w:after="0"/>
        <w:jc w:val="right"/>
        <w:rPr>
          <w:rFonts w:eastAsia="Times New Roman"/>
          <w:smallCaps/>
          <w:szCs w:val="20"/>
        </w:rPr>
      </w:pPr>
      <w:r w:rsidRPr="00635E4E">
        <w:rPr>
          <w:rFonts w:eastAsia="Times New Roman"/>
          <w:smallCaps/>
          <w:szCs w:val="20"/>
        </w:rPr>
        <w:t>Bree Balmer</w:t>
      </w:r>
    </w:p>
    <w:p w:rsidR="00635E4E" w:rsidRPr="00635E4E" w:rsidRDefault="00635E4E" w:rsidP="00635E4E">
      <w:pPr>
        <w:spacing w:after="0"/>
        <w:jc w:val="right"/>
        <w:rPr>
          <w:rFonts w:eastAsia="Times New Roman"/>
          <w:szCs w:val="17"/>
        </w:rPr>
      </w:pPr>
      <w:r w:rsidRPr="00635E4E">
        <w:rPr>
          <w:rFonts w:eastAsia="Times New Roman"/>
          <w:szCs w:val="17"/>
        </w:rPr>
        <w:t>Prosecutions Coordinator</w:t>
      </w:r>
    </w:p>
    <w:p w:rsidR="00635E4E" w:rsidRPr="00635E4E" w:rsidRDefault="00635E4E" w:rsidP="00635E4E">
      <w:pPr>
        <w:pBdr>
          <w:top w:val="single" w:sz="4" w:space="1" w:color="auto"/>
        </w:pBdr>
        <w:spacing w:before="100" w:after="0" w:line="14" w:lineRule="exact"/>
        <w:jc w:val="center"/>
        <w:rPr>
          <w:rFonts w:eastAsia="Times New Roman"/>
          <w:szCs w:val="17"/>
        </w:rPr>
      </w:pPr>
    </w:p>
    <w:p w:rsidR="00635E4E" w:rsidRPr="00635E4E" w:rsidRDefault="00635E4E" w:rsidP="00635E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FC7B18" w:rsidRPr="00FC7B18" w:rsidRDefault="00FC7B18" w:rsidP="00FC7B18">
      <w:pPr>
        <w:jc w:val="center"/>
        <w:rPr>
          <w:caps/>
          <w:szCs w:val="17"/>
        </w:rPr>
      </w:pPr>
      <w:r w:rsidRPr="00FC7B18">
        <w:rPr>
          <w:caps/>
          <w:szCs w:val="17"/>
        </w:rPr>
        <w:t>FISHERIES MANAGEMENT ACT 2007</w:t>
      </w:r>
    </w:p>
    <w:p w:rsidR="00FC7B18" w:rsidRPr="00FC7B18" w:rsidRDefault="00FC7B18" w:rsidP="00FC7B18">
      <w:pPr>
        <w:jc w:val="center"/>
        <w:rPr>
          <w:smallCaps/>
          <w:szCs w:val="17"/>
        </w:rPr>
      </w:pPr>
      <w:r w:rsidRPr="00FC7B18">
        <w:rPr>
          <w:smallCaps/>
          <w:szCs w:val="17"/>
        </w:rPr>
        <w:t>Section 90 (2)</w:t>
      </w:r>
    </w:p>
    <w:p w:rsidR="00FC7B18" w:rsidRPr="00FC7B18" w:rsidRDefault="00FC7B18" w:rsidP="00FC7B18">
      <w:pPr>
        <w:jc w:val="center"/>
        <w:rPr>
          <w:i/>
          <w:szCs w:val="17"/>
        </w:rPr>
      </w:pPr>
      <w:r w:rsidRPr="00FC7B18">
        <w:rPr>
          <w:i/>
          <w:szCs w:val="17"/>
        </w:rPr>
        <w:t>Items Seized</w:t>
      </w:r>
    </w:p>
    <w:p w:rsidR="00FC7B18" w:rsidRPr="00FC7B18" w:rsidRDefault="00FC7B18" w:rsidP="00FC7B18">
      <w:pPr>
        <w:pStyle w:val="GG-body"/>
      </w:pPr>
      <w:r w:rsidRPr="00FC7B18">
        <w:t xml:space="preserve">Notice is hereby given pursuant to Section 90 (2) of the </w:t>
      </w:r>
      <w:r w:rsidRPr="00FC7B18">
        <w:rPr>
          <w:i/>
        </w:rPr>
        <w:t>Fisheries Management Act, 2007</w:t>
      </w:r>
      <w:r w:rsidRPr="00FC7B18">
        <w:t>, that the following items have been seized by Officers of the Department of Primary Industries and Regions SA, Fisheries and Aquaculture at CAPE DOUGLAS on 27/01/2020.</w:t>
      </w:r>
    </w:p>
    <w:p w:rsidR="00FC7B18" w:rsidRPr="00FC7B18" w:rsidRDefault="00FC7B18" w:rsidP="00FC7B18">
      <w:pPr>
        <w:numPr>
          <w:ilvl w:val="0"/>
          <w:numId w:val="14"/>
        </w:numPr>
        <w:spacing w:line="240" w:lineRule="auto"/>
        <w:ind w:left="426" w:hanging="284"/>
        <w:contextualSpacing/>
        <w:rPr>
          <w:rFonts w:eastAsia="Times New Roman"/>
          <w:b/>
          <w:szCs w:val="24"/>
        </w:rPr>
      </w:pPr>
      <w:r w:rsidRPr="00FC7B18">
        <w:rPr>
          <w:rFonts w:eastAsia="Times New Roman"/>
          <w:b/>
          <w:szCs w:val="24"/>
        </w:rPr>
        <w:t>Drop net, orange rope, white float and black bait basket.</w:t>
      </w:r>
    </w:p>
    <w:p w:rsidR="00FC7B18" w:rsidRPr="00FC7B18" w:rsidRDefault="00FC7B18" w:rsidP="00FC7B18">
      <w:pPr>
        <w:numPr>
          <w:ilvl w:val="0"/>
          <w:numId w:val="14"/>
        </w:numPr>
        <w:spacing w:line="240" w:lineRule="auto"/>
        <w:ind w:left="426" w:hanging="284"/>
        <w:contextualSpacing/>
        <w:rPr>
          <w:rFonts w:eastAsia="Times New Roman"/>
          <w:b/>
          <w:szCs w:val="24"/>
        </w:rPr>
      </w:pPr>
      <w:r w:rsidRPr="00FC7B18">
        <w:rPr>
          <w:rFonts w:eastAsia="Times New Roman"/>
          <w:b/>
          <w:szCs w:val="24"/>
        </w:rPr>
        <w:t>Drop net, turquoise rope, white float and black bait basket.</w:t>
      </w:r>
    </w:p>
    <w:p w:rsidR="00FC7B18" w:rsidRPr="00FC7B18" w:rsidRDefault="00FC7B18" w:rsidP="00FC7B18">
      <w:pPr>
        <w:pStyle w:val="GG-body"/>
      </w:pPr>
      <w:r w:rsidRPr="00FC7B18">
        <w:t xml:space="preserve">The above items were suspected to have been used, or intended to be used, in contravention of the </w:t>
      </w:r>
      <w:r w:rsidRPr="00FC7B18">
        <w:rPr>
          <w:i/>
        </w:rPr>
        <w:t>Fisheries Management Act, 2007</w:t>
      </w:r>
      <w:r w:rsidRPr="00FC7B18">
        <w:t>, and were taken into possession at:</w:t>
      </w:r>
    </w:p>
    <w:p w:rsidR="00FC7B18" w:rsidRPr="00FC7B18" w:rsidRDefault="00FC7B18" w:rsidP="00FC7B18">
      <w:pPr>
        <w:ind w:left="142"/>
        <w:rPr>
          <w:rFonts w:eastAsia="Times New Roman"/>
          <w:b/>
          <w:szCs w:val="17"/>
        </w:rPr>
      </w:pPr>
      <w:r w:rsidRPr="00FC7B18">
        <w:rPr>
          <w:rFonts w:eastAsia="Times New Roman"/>
          <w:b/>
          <w:szCs w:val="17"/>
        </w:rPr>
        <w:t>CAPE DOUGLAS</w:t>
      </w:r>
    </w:p>
    <w:p w:rsidR="00FC7B18" w:rsidRPr="00FC7B18" w:rsidRDefault="00FC7B18" w:rsidP="00FC7B18">
      <w:pPr>
        <w:pStyle w:val="GG-body"/>
      </w:pPr>
      <w:r w:rsidRPr="00FC7B18">
        <w:t>After the expiration of one month from the date of this notice the items listed above shall, on the order of the Minister for Agriculture, Food and Fisheries, be forfeited to the Crown and shall be either disposed of by sale or destruction.</w:t>
      </w:r>
    </w:p>
    <w:p w:rsidR="00FC7B18" w:rsidRPr="00FC7B18" w:rsidRDefault="00FC7B18" w:rsidP="00FC7B18">
      <w:pPr>
        <w:rPr>
          <w:rFonts w:eastAsia="Times New Roman"/>
          <w:szCs w:val="17"/>
        </w:rPr>
      </w:pPr>
      <w:r w:rsidRPr="00FC7B18">
        <w:rPr>
          <w:rFonts w:eastAsia="Times New Roman"/>
          <w:szCs w:val="17"/>
        </w:rPr>
        <w:t xml:space="preserve">The above items may be viewed at the </w:t>
      </w:r>
      <w:r w:rsidRPr="00FC7B18">
        <w:rPr>
          <w:rFonts w:eastAsia="Times New Roman"/>
          <w:b/>
          <w:szCs w:val="17"/>
        </w:rPr>
        <w:t xml:space="preserve">Mount Gambier </w:t>
      </w:r>
      <w:r w:rsidRPr="00FC7B18">
        <w:rPr>
          <w:rFonts w:eastAsia="Times New Roman"/>
          <w:szCs w:val="17"/>
        </w:rPr>
        <w:t>office of the Department of Primary Industries and Regions SA, Fisheries and Aquaculture.</w:t>
      </w:r>
    </w:p>
    <w:p w:rsidR="00FC7B18" w:rsidRPr="00FC7B18" w:rsidRDefault="00FC7B18" w:rsidP="00FC7B18">
      <w:pPr>
        <w:spacing w:after="0"/>
        <w:rPr>
          <w:rFonts w:eastAsia="Times New Roman"/>
          <w:szCs w:val="17"/>
        </w:rPr>
      </w:pPr>
      <w:r w:rsidRPr="00FC7B18">
        <w:rPr>
          <w:rFonts w:eastAsia="Times New Roman"/>
          <w:szCs w:val="17"/>
        </w:rPr>
        <w:t>Dated: 28 May 2020</w:t>
      </w:r>
    </w:p>
    <w:p w:rsidR="00FC7B18" w:rsidRPr="00FC7B18" w:rsidRDefault="00FC7B18" w:rsidP="00FC7B18">
      <w:pPr>
        <w:spacing w:after="0"/>
        <w:jc w:val="right"/>
        <w:rPr>
          <w:rFonts w:eastAsia="Times New Roman"/>
          <w:smallCaps/>
          <w:szCs w:val="20"/>
        </w:rPr>
      </w:pPr>
      <w:r w:rsidRPr="00FC7B18">
        <w:rPr>
          <w:rFonts w:eastAsia="Times New Roman"/>
          <w:smallCaps/>
          <w:szCs w:val="20"/>
        </w:rPr>
        <w:t>Bree Balmer</w:t>
      </w:r>
    </w:p>
    <w:p w:rsidR="00FC7B18" w:rsidRPr="00FC7B18" w:rsidRDefault="00FC7B18" w:rsidP="00FC7B18">
      <w:pPr>
        <w:spacing w:after="0"/>
        <w:jc w:val="right"/>
        <w:rPr>
          <w:rFonts w:eastAsia="Times New Roman"/>
          <w:szCs w:val="17"/>
        </w:rPr>
      </w:pPr>
      <w:r w:rsidRPr="00FC7B18">
        <w:rPr>
          <w:rFonts w:eastAsia="Times New Roman"/>
          <w:szCs w:val="17"/>
        </w:rPr>
        <w:t>Prosecutions Coordinator</w:t>
      </w:r>
    </w:p>
    <w:p w:rsidR="00FC7B18" w:rsidRPr="00FC7B18" w:rsidRDefault="00FC7B18" w:rsidP="00FC7B18">
      <w:pPr>
        <w:pBdr>
          <w:top w:val="single" w:sz="4" w:space="1" w:color="auto"/>
        </w:pBdr>
        <w:spacing w:before="100" w:after="0" w:line="14" w:lineRule="exact"/>
        <w:jc w:val="center"/>
        <w:rPr>
          <w:rFonts w:eastAsia="Times New Roman"/>
          <w:szCs w:val="17"/>
        </w:rPr>
      </w:pPr>
    </w:p>
    <w:p w:rsidR="00221E0D" w:rsidRDefault="00221E0D"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C7B18" w:rsidRPr="00FC7B18" w:rsidRDefault="00FC7B18" w:rsidP="00FC7B18">
      <w:pPr>
        <w:jc w:val="center"/>
        <w:rPr>
          <w:caps/>
          <w:szCs w:val="17"/>
        </w:rPr>
      </w:pPr>
      <w:r w:rsidRPr="00FC7B18">
        <w:rPr>
          <w:caps/>
          <w:szCs w:val="17"/>
        </w:rPr>
        <w:t>FISHERIES MANAGEMENT ACT 2007</w:t>
      </w:r>
    </w:p>
    <w:p w:rsidR="00FC7B18" w:rsidRPr="00FC7B18" w:rsidRDefault="00FC7B18" w:rsidP="00FC7B18">
      <w:pPr>
        <w:jc w:val="center"/>
        <w:rPr>
          <w:smallCaps/>
          <w:szCs w:val="17"/>
        </w:rPr>
      </w:pPr>
      <w:r w:rsidRPr="00FC7B18">
        <w:rPr>
          <w:smallCaps/>
          <w:szCs w:val="17"/>
        </w:rPr>
        <w:t>Section 90 (2)</w:t>
      </w:r>
    </w:p>
    <w:p w:rsidR="00FC7B18" w:rsidRPr="00FC7B18" w:rsidRDefault="00FC7B18" w:rsidP="00FC7B18">
      <w:pPr>
        <w:jc w:val="center"/>
        <w:rPr>
          <w:i/>
          <w:szCs w:val="17"/>
        </w:rPr>
      </w:pPr>
      <w:r w:rsidRPr="00FC7B18">
        <w:rPr>
          <w:i/>
          <w:szCs w:val="17"/>
        </w:rPr>
        <w:t>Items Seized</w:t>
      </w:r>
    </w:p>
    <w:p w:rsidR="00FC7B18" w:rsidRPr="00FC7B18" w:rsidRDefault="00FC7B18" w:rsidP="00FC7B18">
      <w:pPr>
        <w:rPr>
          <w:rFonts w:eastAsia="Times New Roman"/>
          <w:szCs w:val="17"/>
        </w:rPr>
      </w:pPr>
      <w:r w:rsidRPr="00FC7B18">
        <w:rPr>
          <w:rFonts w:eastAsia="Times New Roman"/>
          <w:szCs w:val="17"/>
        </w:rPr>
        <w:t xml:space="preserve">Notice is hereby given pursuant to Section 90 (2) of the </w:t>
      </w:r>
      <w:r w:rsidRPr="00FC7B18">
        <w:rPr>
          <w:rFonts w:eastAsia="Times New Roman"/>
          <w:i/>
          <w:szCs w:val="17"/>
        </w:rPr>
        <w:t>Fisheries Management Act, 2007</w:t>
      </w:r>
      <w:r w:rsidRPr="00FC7B18">
        <w:rPr>
          <w:rFonts w:eastAsia="Times New Roman"/>
          <w:szCs w:val="17"/>
        </w:rPr>
        <w:t>, that the following items have been seized by Officers of the Department of Primary Industries and Regions SA, Fisheries and Aquaculture at CAPE DUTTON on 16/03/2019.</w:t>
      </w:r>
    </w:p>
    <w:p w:rsidR="00FC7B18" w:rsidRPr="00FC7B18" w:rsidRDefault="00FC7B18" w:rsidP="00FC7B18">
      <w:pPr>
        <w:numPr>
          <w:ilvl w:val="0"/>
          <w:numId w:val="15"/>
        </w:numPr>
        <w:tabs>
          <w:tab w:val="left" w:pos="426"/>
        </w:tabs>
        <w:ind w:left="426" w:hanging="284"/>
        <w:rPr>
          <w:rFonts w:eastAsia="Times New Roman"/>
          <w:b/>
          <w:szCs w:val="17"/>
        </w:rPr>
      </w:pPr>
      <w:r w:rsidRPr="00FC7B18">
        <w:rPr>
          <w:rFonts w:eastAsia="Times New Roman"/>
          <w:b/>
          <w:szCs w:val="17"/>
        </w:rPr>
        <w:t>Rock Lobster pot with red neck, covered in black mesh, 4 litre white buoy, a length of green rope, black bait basket and toggle.</w:t>
      </w:r>
    </w:p>
    <w:p w:rsidR="00FC7B18" w:rsidRPr="00FC7B18" w:rsidRDefault="00FC7B18" w:rsidP="00FC7B18">
      <w:pPr>
        <w:pStyle w:val="GG-body"/>
      </w:pPr>
      <w:r w:rsidRPr="00FC7B18">
        <w:t xml:space="preserve">The above items were suspected to have been used, or intended to be used, in contravention of the </w:t>
      </w:r>
      <w:r w:rsidRPr="00FC7B18">
        <w:rPr>
          <w:i/>
        </w:rPr>
        <w:t>Fisheries Management Act, 2007</w:t>
      </w:r>
      <w:r w:rsidRPr="00FC7B18">
        <w:t>, and were taken into possession at:</w:t>
      </w:r>
    </w:p>
    <w:p w:rsidR="00FC7B18" w:rsidRPr="00FC7B18" w:rsidRDefault="00FC7B18" w:rsidP="00FC7B18">
      <w:pPr>
        <w:ind w:left="142"/>
        <w:rPr>
          <w:rFonts w:eastAsia="Times New Roman"/>
          <w:b/>
          <w:szCs w:val="17"/>
        </w:rPr>
      </w:pPr>
      <w:r w:rsidRPr="00FC7B18">
        <w:rPr>
          <w:rFonts w:eastAsia="Times New Roman"/>
          <w:b/>
          <w:szCs w:val="17"/>
        </w:rPr>
        <w:t>CAPE DUTTON</w:t>
      </w:r>
    </w:p>
    <w:p w:rsidR="00FC7B18" w:rsidRPr="00FC7B18" w:rsidRDefault="00FC7B18" w:rsidP="00FC7B18">
      <w:pPr>
        <w:rPr>
          <w:rFonts w:eastAsia="Times New Roman"/>
          <w:szCs w:val="17"/>
        </w:rPr>
      </w:pPr>
      <w:r w:rsidRPr="00FC7B18">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FC7B18" w:rsidRPr="00FC7B18" w:rsidRDefault="00FC7B18" w:rsidP="00FC7B18">
      <w:pPr>
        <w:rPr>
          <w:rFonts w:eastAsia="Times New Roman"/>
          <w:szCs w:val="17"/>
        </w:rPr>
      </w:pPr>
      <w:r w:rsidRPr="00FC7B18">
        <w:rPr>
          <w:rFonts w:eastAsia="Times New Roman"/>
          <w:szCs w:val="17"/>
        </w:rPr>
        <w:t xml:space="preserve">The above items may be viewed at the </w:t>
      </w:r>
      <w:r w:rsidRPr="00FC7B18">
        <w:rPr>
          <w:rFonts w:eastAsia="Times New Roman"/>
          <w:b/>
          <w:szCs w:val="24"/>
        </w:rPr>
        <w:t>Largs North</w:t>
      </w:r>
      <w:r w:rsidRPr="00FC7B18">
        <w:rPr>
          <w:rFonts w:eastAsia="Times New Roman"/>
          <w:szCs w:val="24"/>
        </w:rPr>
        <w:t xml:space="preserve"> </w:t>
      </w:r>
      <w:r w:rsidRPr="00FC7B18">
        <w:rPr>
          <w:rFonts w:eastAsia="Times New Roman"/>
          <w:szCs w:val="17"/>
        </w:rPr>
        <w:t>office of the Department of Primary Industries and Regions SA, Fisheries and Aquaculture.</w:t>
      </w:r>
    </w:p>
    <w:p w:rsidR="00FC7B18" w:rsidRPr="00FC7B18" w:rsidRDefault="00FC7B18" w:rsidP="00FC7B18">
      <w:pPr>
        <w:spacing w:after="0"/>
        <w:rPr>
          <w:rFonts w:eastAsia="Times New Roman"/>
          <w:szCs w:val="17"/>
        </w:rPr>
      </w:pPr>
      <w:r w:rsidRPr="00FC7B18">
        <w:rPr>
          <w:rFonts w:eastAsia="Times New Roman"/>
          <w:szCs w:val="17"/>
        </w:rPr>
        <w:t>Dated: 28 May 2020</w:t>
      </w:r>
    </w:p>
    <w:p w:rsidR="00FC7B18" w:rsidRPr="00FC7B18" w:rsidRDefault="00FC7B18" w:rsidP="00FC7B18">
      <w:pPr>
        <w:spacing w:after="0"/>
        <w:jc w:val="right"/>
        <w:rPr>
          <w:rFonts w:eastAsia="Times New Roman"/>
          <w:smallCaps/>
          <w:szCs w:val="20"/>
        </w:rPr>
      </w:pPr>
      <w:r w:rsidRPr="00FC7B18">
        <w:rPr>
          <w:rFonts w:eastAsia="Times New Roman"/>
          <w:smallCaps/>
          <w:szCs w:val="20"/>
        </w:rPr>
        <w:t>Bree Balmer</w:t>
      </w:r>
    </w:p>
    <w:p w:rsidR="00FC7B18" w:rsidRPr="00FC7B18" w:rsidRDefault="00FC7B18" w:rsidP="00FC7B18">
      <w:pPr>
        <w:spacing w:after="0"/>
        <w:jc w:val="right"/>
        <w:rPr>
          <w:rFonts w:eastAsia="Times New Roman"/>
          <w:szCs w:val="17"/>
        </w:rPr>
      </w:pPr>
      <w:r w:rsidRPr="00FC7B18">
        <w:rPr>
          <w:rFonts w:eastAsia="Times New Roman"/>
          <w:szCs w:val="17"/>
        </w:rPr>
        <w:t>Prosecutions Coordinator</w:t>
      </w:r>
    </w:p>
    <w:p w:rsidR="00FC7B18" w:rsidRPr="00FC7B18" w:rsidRDefault="00FC7B18" w:rsidP="00FC7B18">
      <w:pPr>
        <w:pBdr>
          <w:top w:val="single" w:sz="4" w:space="1" w:color="auto"/>
        </w:pBdr>
        <w:spacing w:before="100" w:after="0" w:line="14" w:lineRule="exact"/>
        <w:jc w:val="center"/>
        <w:rPr>
          <w:rFonts w:eastAsia="Times New Roman"/>
          <w:szCs w:val="17"/>
        </w:rPr>
      </w:pPr>
    </w:p>
    <w:p w:rsidR="00FC7B18" w:rsidRDefault="00FC7B18"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C7B18" w:rsidRPr="00FC7B18" w:rsidRDefault="00FC7B18" w:rsidP="00FC7B18">
      <w:pPr>
        <w:jc w:val="center"/>
        <w:rPr>
          <w:caps/>
          <w:szCs w:val="17"/>
        </w:rPr>
      </w:pPr>
      <w:r w:rsidRPr="00FC7B18">
        <w:rPr>
          <w:caps/>
          <w:szCs w:val="17"/>
        </w:rPr>
        <w:t>FISHERIES MANAGEMENT ACT 2007</w:t>
      </w:r>
    </w:p>
    <w:p w:rsidR="00FC7B18" w:rsidRPr="00FC7B18" w:rsidRDefault="00FC7B18" w:rsidP="00FC7B18">
      <w:pPr>
        <w:jc w:val="center"/>
        <w:rPr>
          <w:smallCaps/>
          <w:szCs w:val="17"/>
        </w:rPr>
      </w:pPr>
      <w:r w:rsidRPr="00FC7B18">
        <w:rPr>
          <w:smallCaps/>
          <w:szCs w:val="17"/>
        </w:rPr>
        <w:t>Section 90 (2)</w:t>
      </w:r>
    </w:p>
    <w:p w:rsidR="00FC7B18" w:rsidRPr="00FC7B18" w:rsidRDefault="00FC7B18" w:rsidP="00FC7B18">
      <w:pPr>
        <w:jc w:val="center"/>
        <w:rPr>
          <w:i/>
          <w:szCs w:val="17"/>
        </w:rPr>
      </w:pPr>
      <w:r w:rsidRPr="00FC7B18">
        <w:rPr>
          <w:i/>
          <w:szCs w:val="17"/>
        </w:rPr>
        <w:t>Items Seized</w:t>
      </w:r>
    </w:p>
    <w:p w:rsidR="00FC7B18" w:rsidRPr="00FC7B18" w:rsidRDefault="00FC7B18" w:rsidP="00FC7B18">
      <w:pPr>
        <w:rPr>
          <w:rFonts w:eastAsia="Times New Roman"/>
          <w:szCs w:val="17"/>
        </w:rPr>
      </w:pPr>
      <w:r w:rsidRPr="00FC7B18">
        <w:rPr>
          <w:rFonts w:eastAsia="Times New Roman"/>
          <w:szCs w:val="17"/>
        </w:rPr>
        <w:t xml:space="preserve">Notice is hereby given pursuant to Section 90 (2) of the </w:t>
      </w:r>
      <w:r w:rsidRPr="00FC7B18">
        <w:rPr>
          <w:rFonts w:eastAsia="Times New Roman"/>
          <w:i/>
          <w:szCs w:val="17"/>
        </w:rPr>
        <w:t>Fisheries Management Act, 2007</w:t>
      </w:r>
      <w:r w:rsidRPr="00FC7B18">
        <w:rPr>
          <w:rFonts w:eastAsia="Times New Roman"/>
          <w:szCs w:val="17"/>
        </w:rPr>
        <w:t>, that the following items have been seized by Officers of the Department of Primary Industries and Regions SA, Fisheries and Aquaculture at COFFIN BAY on 20/02/2020.</w:t>
      </w:r>
    </w:p>
    <w:p w:rsidR="00FC7B18" w:rsidRPr="00FC7B18" w:rsidRDefault="00FC7B18" w:rsidP="0062440F">
      <w:pPr>
        <w:numPr>
          <w:ilvl w:val="0"/>
          <w:numId w:val="16"/>
        </w:numPr>
        <w:spacing w:line="240" w:lineRule="auto"/>
        <w:ind w:left="426" w:hanging="284"/>
        <w:contextualSpacing/>
        <w:rPr>
          <w:rFonts w:eastAsia="Times New Roman"/>
          <w:b/>
          <w:szCs w:val="24"/>
        </w:rPr>
      </w:pPr>
      <w:r w:rsidRPr="00FC7B18">
        <w:rPr>
          <w:rFonts w:eastAsia="Times New Roman"/>
          <w:b/>
          <w:szCs w:val="24"/>
        </w:rPr>
        <w:t>Rock Lobster pot with red neck.</w:t>
      </w:r>
    </w:p>
    <w:p w:rsidR="00FC7B18" w:rsidRPr="00FC7B18" w:rsidRDefault="00FC7B18" w:rsidP="00FC7B18">
      <w:pPr>
        <w:pStyle w:val="GG-body"/>
      </w:pPr>
      <w:r w:rsidRPr="00FC7B18">
        <w:t xml:space="preserve">The above items were suspected to have been used, or intended to be used, in contravention of the </w:t>
      </w:r>
      <w:r w:rsidRPr="00FC7B18">
        <w:rPr>
          <w:i/>
        </w:rPr>
        <w:t>Fisheries Management Act, 2007</w:t>
      </w:r>
      <w:r w:rsidRPr="00FC7B18">
        <w:t>, and were taken into possession at:</w:t>
      </w:r>
    </w:p>
    <w:p w:rsidR="00FC7B18" w:rsidRPr="00FC7B18" w:rsidRDefault="00FC7B18" w:rsidP="00FC7B18">
      <w:pPr>
        <w:ind w:left="142"/>
        <w:rPr>
          <w:rFonts w:eastAsia="Times New Roman"/>
          <w:b/>
          <w:szCs w:val="17"/>
        </w:rPr>
      </w:pPr>
      <w:r w:rsidRPr="00FC7B18">
        <w:rPr>
          <w:rFonts w:eastAsia="Times New Roman"/>
          <w:b/>
          <w:szCs w:val="17"/>
        </w:rPr>
        <w:t>COFFIN BAY</w:t>
      </w:r>
    </w:p>
    <w:p w:rsidR="00FC7B18" w:rsidRPr="00FC7B18" w:rsidRDefault="00FC7B18" w:rsidP="00FC7B18">
      <w:pPr>
        <w:rPr>
          <w:rFonts w:eastAsia="Times New Roman"/>
          <w:szCs w:val="17"/>
        </w:rPr>
      </w:pPr>
      <w:r w:rsidRPr="00FC7B18">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FC7B18" w:rsidRPr="00FC7B18" w:rsidRDefault="00FC7B18" w:rsidP="00FC7B18">
      <w:pPr>
        <w:rPr>
          <w:rFonts w:eastAsia="Times New Roman"/>
          <w:szCs w:val="17"/>
        </w:rPr>
      </w:pPr>
      <w:r w:rsidRPr="00FC7B18">
        <w:rPr>
          <w:rFonts w:eastAsia="Times New Roman"/>
          <w:szCs w:val="17"/>
        </w:rPr>
        <w:t xml:space="preserve">The above items may be viewed at the </w:t>
      </w:r>
      <w:r w:rsidRPr="00FC7B18">
        <w:rPr>
          <w:rFonts w:eastAsia="Times New Roman"/>
          <w:b/>
          <w:szCs w:val="24"/>
        </w:rPr>
        <w:t>Port Lincoln</w:t>
      </w:r>
      <w:r w:rsidRPr="00FC7B18">
        <w:rPr>
          <w:rFonts w:eastAsia="Times New Roman"/>
          <w:b/>
          <w:szCs w:val="17"/>
        </w:rPr>
        <w:t xml:space="preserve"> </w:t>
      </w:r>
      <w:r w:rsidRPr="00FC7B18">
        <w:rPr>
          <w:rFonts w:eastAsia="Times New Roman"/>
          <w:szCs w:val="17"/>
        </w:rPr>
        <w:t>office of the Department of Primary Industries and Regions SA, Fisheries and Aquaculture.</w:t>
      </w:r>
    </w:p>
    <w:p w:rsidR="00FC7B18" w:rsidRPr="00FC7B18" w:rsidRDefault="00FC7B18" w:rsidP="00FC7B18">
      <w:pPr>
        <w:spacing w:after="0"/>
        <w:rPr>
          <w:rFonts w:eastAsia="Times New Roman"/>
          <w:szCs w:val="17"/>
        </w:rPr>
      </w:pPr>
      <w:r w:rsidRPr="00FC7B18">
        <w:rPr>
          <w:rFonts w:eastAsia="Times New Roman"/>
          <w:szCs w:val="17"/>
        </w:rPr>
        <w:t>Dated: 29 May 2020</w:t>
      </w:r>
    </w:p>
    <w:p w:rsidR="00FC7B18" w:rsidRPr="00FC7B18" w:rsidRDefault="00FC7B18" w:rsidP="00FC7B18">
      <w:pPr>
        <w:spacing w:after="0"/>
        <w:jc w:val="right"/>
        <w:rPr>
          <w:rFonts w:eastAsia="Times New Roman"/>
          <w:smallCaps/>
          <w:szCs w:val="20"/>
        </w:rPr>
      </w:pPr>
      <w:r w:rsidRPr="00FC7B18">
        <w:rPr>
          <w:rFonts w:eastAsia="Times New Roman"/>
          <w:smallCaps/>
          <w:szCs w:val="20"/>
        </w:rPr>
        <w:t>Bree Balmer</w:t>
      </w:r>
    </w:p>
    <w:p w:rsidR="00FC7B18" w:rsidRPr="00FC7B18" w:rsidRDefault="00FC7B18" w:rsidP="00FC7B18">
      <w:pPr>
        <w:spacing w:after="0"/>
        <w:jc w:val="right"/>
        <w:rPr>
          <w:rFonts w:eastAsia="Times New Roman"/>
          <w:szCs w:val="17"/>
        </w:rPr>
      </w:pPr>
      <w:r w:rsidRPr="00FC7B18">
        <w:rPr>
          <w:rFonts w:eastAsia="Times New Roman"/>
          <w:szCs w:val="17"/>
        </w:rPr>
        <w:t>Prosecutions Coordinator</w:t>
      </w:r>
    </w:p>
    <w:p w:rsidR="00FC7B18" w:rsidRPr="00FC7B18" w:rsidRDefault="00FC7B18" w:rsidP="00FC7B18">
      <w:pPr>
        <w:pBdr>
          <w:top w:val="single" w:sz="4" w:space="1" w:color="auto"/>
        </w:pBdr>
        <w:spacing w:before="100" w:after="0" w:line="14" w:lineRule="exact"/>
        <w:jc w:val="center"/>
        <w:rPr>
          <w:rFonts w:eastAsia="Times New Roman"/>
          <w:szCs w:val="17"/>
        </w:rPr>
      </w:pPr>
    </w:p>
    <w:p w:rsidR="00FC7B18" w:rsidRPr="00FC7B18" w:rsidRDefault="00FC7B18" w:rsidP="00FC7B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FC7B18" w:rsidRPr="00FC7B18" w:rsidRDefault="00FC7B18" w:rsidP="00FC7B18">
      <w:pPr>
        <w:jc w:val="center"/>
        <w:rPr>
          <w:caps/>
          <w:szCs w:val="17"/>
        </w:rPr>
      </w:pPr>
      <w:r w:rsidRPr="00FC7B18">
        <w:rPr>
          <w:caps/>
          <w:szCs w:val="17"/>
        </w:rPr>
        <w:lastRenderedPageBreak/>
        <w:t>FISHERIES MANAGEMENT ACT 2007</w:t>
      </w:r>
    </w:p>
    <w:p w:rsidR="00FC7B18" w:rsidRPr="00FC7B18" w:rsidRDefault="00FC7B18" w:rsidP="00FC7B18">
      <w:pPr>
        <w:jc w:val="center"/>
        <w:rPr>
          <w:smallCaps/>
          <w:szCs w:val="17"/>
        </w:rPr>
      </w:pPr>
      <w:r w:rsidRPr="00FC7B18">
        <w:rPr>
          <w:smallCaps/>
          <w:szCs w:val="17"/>
        </w:rPr>
        <w:t>Section 90 (2)</w:t>
      </w:r>
    </w:p>
    <w:p w:rsidR="00FC7B18" w:rsidRPr="00FC7B18" w:rsidRDefault="00FC7B18" w:rsidP="00FC7B18">
      <w:pPr>
        <w:jc w:val="center"/>
        <w:rPr>
          <w:i/>
          <w:szCs w:val="17"/>
        </w:rPr>
      </w:pPr>
      <w:r w:rsidRPr="00FC7B18">
        <w:rPr>
          <w:i/>
          <w:szCs w:val="17"/>
        </w:rPr>
        <w:t>Items Seized</w:t>
      </w:r>
    </w:p>
    <w:p w:rsidR="00FC7B18" w:rsidRPr="00FC7B18" w:rsidRDefault="00FC7B18" w:rsidP="00FC7B18">
      <w:pPr>
        <w:rPr>
          <w:rFonts w:eastAsia="Times New Roman"/>
          <w:szCs w:val="17"/>
        </w:rPr>
      </w:pPr>
      <w:r w:rsidRPr="00FC7B18">
        <w:rPr>
          <w:rFonts w:eastAsia="Times New Roman"/>
          <w:szCs w:val="17"/>
        </w:rPr>
        <w:t xml:space="preserve">Notice is hereby given pursuant to Section 90 (2) of the </w:t>
      </w:r>
      <w:r w:rsidRPr="00FC7B18">
        <w:rPr>
          <w:rFonts w:eastAsia="Times New Roman"/>
          <w:i/>
          <w:szCs w:val="17"/>
        </w:rPr>
        <w:t>Fisheries Management Act, 2007</w:t>
      </w:r>
      <w:r w:rsidRPr="00FC7B18">
        <w:rPr>
          <w:rFonts w:eastAsia="Times New Roman"/>
          <w:szCs w:val="17"/>
        </w:rPr>
        <w:t>, that the following items have been seized by Officers of the Department of Primary Industries and Regions SA, Fisheries and Aquaculture at GRANGE on 18/05/2020.</w:t>
      </w:r>
    </w:p>
    <w:p w:rsidR="00FC7B18" w:rsidRPr="00FC7B18" w:rsidRDefault="00FC7B18" w:rsidP="0062440F">
      <w:pPr>
        <w:numPr>
          <w:ilvl w:val="0"/>
          <w:numId w:val="17"/>
        </w:numPr>
        <w:ind w:left="426" w:hanging="284"/>
        <w:rPr>
          <w:rFonts w:eastAsia="Times New Roman"/>
          <w:b/>
          <w:szCs w:val="24"/>
        </w:rPr>
      </w:pPr>
      <w:r w:rsidRPr="00FC7B18">
        <w:rPr>
          <w:rFonts w:eastAsia="Times New Roman"/>
          <w:b/>
          <w:szCs w:val="24"/>
        </w:rPr>
        <w:t>Double ring drop net with green mesh and dark green poly rope attached to blue and yellow poly rope, with one white 6” buoy purchase sticker and barcode still attached.</w:t>
      </w:r>
    </w:p>
    <w:p w:rsidR="00FC7B18" w:rsidRPr="00FC7B18" w:rsidRDefault="00FC7B18" w:rsidP="00FC7B18">
      <w:pPr>
        <w:tabs>
          <w:tab w:val="left" w:pos="426"/>
        </w:tabs>
        <w:rPr>
          <w:rFonts w:eastAsia="Times New Roman"/>
          <w:szCs w:val="17"/>
        </w:rPr>
      </w:pPr>
      <w:r w:rsidRPr="00FC7B18">
        <w:rPr>
          <w:rFonts w:eastAsia="Times New Roman"/>
          <w:szCs w:val="17"/>
        </w:rPr>
        <w:t xml:space="preserve">The above items were suspected to have been used, or intended to be used, in contravention of the </w:t>
      </w:r>
      <w:r w:rsidRPr="00FC7B18">
        <w:rPr>
          <w:rFonts w:eastAsia="Times New Roman"/>
          <w:i/>
          <w:szCs w:val="17"/>
        </w:rPr>
        <w:t>Fisheries Management Act, 2007</w:t>
      </w:r>
      <w:r w:rsidRPr="00FC7B18">
        <w:rPr>
          <w:rFonts w:eastAsia="Times New Roman"/>
          <w:szCs w:val="17"/>
        </w:rPr>
        <w:t>, and were taken into possession at:</w:t>
      </w:r>
    </w:p>
    <w:p w:rsidR="00FC7B18" w:rsidRPr="00FC7B18" w:rsidRDefault="00FC7B18" w:rsidP="00FC7B18">
      <w:pPr>
        <w:ind w:left="142"/>
        <w:rPr>
          <w:rFonts w:eastAsia="Times New Roman"/>
          <w:b/>
          <w:szCs w:val="17"/>
        </w:rPr>
      </w:pPr>
      <w:r w:rsidRPr="00FC7B18">
        <w:rPr>
          <w:rFonts w:eastAsia="Times New Roman"/>
          <w:b/>
          <w:szCs w:val="24"/>
        </w:rPr>
        <w:t>GRANGE</w:t>
      </w:r>
    </w:p>
    <w:p w:rsidR="00FC7B18" w:rsidRPr="00FC7B18" w:rsidRDefault="00FC7B18" w:rsidP="00FC7B18">
      <w:pPr>
        <w:rPr>
          <w:rFonts w:eastAsia="Times New Roman"/>
          <w:szCs w:val="17"/>
        </w:rPr>
      </w:pPr>
      <w:r w:rsidRPr="00FC7B18">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FC7B18" w:rsidRPr="00FC7B18" w:rsidRDefault="00FC7B18" w:rsidP="00FC7B18">
      <w:pPr>
        <w:rPr>
          <w:rFonts w:eastAsia="Times New Roman"/>
          <w:szCs w:val="17"/>
        </w:rPr>
      </w:pPr>
      <w:r w:rsidRPr="00FC7B18">
        <w:rPr>
          <w:rFonts w:eastAsia="Times New Roman"/>
          <w:szCs w:val="17"/>
        </w:rPr>
        <w:t xml:space="preserve">The above items may be viewed at the </w:t>
      </w:r>
      <w:r w:rsidRPr="00FC7B18">
        <w:rPr>
          <w:rFonts w:eastAsia="Times New Roman"/>
          <w:b/>
          <w:szCs w:val="24"/>
        </w:rPr>
        <w:t>Largs North</w:t>
      </w:r>
      <w:r w:rsidRPr="00FC7B18">
        <w:rPr>
          <w:rFonts w:eastAsia="Times New Roman"/>
          <w:b/>
          <w:szCs w:val="17"/>
        </w:rPr>
        <w:t xml:space="preserve"> </w:t>
      </w:r>
      <w:r w:rsidRPr="00FC7B18">
        <w:rPr>
          <w:rFonts w:eastAsia="Times New Roman"/>
          <w:szCs w:val="17"/>
        </w:rPr>
        <w:t>office of the Department of Primary Industries and Regions SA, Fisheries and Aquaculture.</w:t>
      </w:r>
    </w:p>
    <w:p w:rsidR="00FC7B18" w:rsidRPr="00FC7B18" w:rsidRDefault="00FC7B18" w:rsidP="00FC7B18">
      <w:pPr>
        <w:spacing w:after="0"/>
        <w:rPr>
          <w:rFonts w:eastAsia="Times New Roman"/>
          <w:szCs w:val="17"/>
        </w:rPr>
      </w:pPr>
      <w:r w:rsidRPr="00FC7B18">
        <w:rPr>
          <w:rFonts w:eastAsia="Times New Roman"/>
          <w:szCs w:val="17"/>
        </w:rPr>
        <w:t>Dated: 28 May 2020</w:t>
      </w:r>
    </w:p>
    <w:p w:rsidR="00FC7B18" w:rsidRPr="00FC7B18" w:rsidRDefault="00FC7B18" w:rsidP="00FC7B18">
      <w:pPr>
        <w:spacing w:after="0"/>
        <w:jc w:val="right"/>
        <w:rPr>
          <w:rFonts w:eastAsia="Times New Roman"/>
          <w:smallCaps/>
          <w:szCs w:val="20"/>
        </w:rPr>
      </w:pPr>
      <w:r w:rsidRPr="00FC7B18">
        <w:rPr>
          <w:rFonts w:eastAsia="Times New Roman"/>
          <w:smallCaps/>
          <w:szCs w:val="20"/>
        </w:rPr>
        <w:t>Bree Balmer</w:t>
      </w:r>
    </w:p>
    <w:p w:rsidR="00FC7B18" w:rsidRPr="00FC7B18" w:rsidRDefault="00FC7B18" w:rsidP="00FC7B18">
      <w:pPr>
        <w:spacing w:after="0"/>
        <w:jc w:val="right"/>
        <w:rPr>
          <w:rFonts w:eastAsia="Times New Roman"/>
          <w:szCs w:val="17"/>
        </w:rPr>
      </w:pPr>
      <w:r w:rsidRPr="00FC7B18">
        <w:rPr>
          <w:rFonts w:eastAsia="Times New Roman"/>
          <w:szCs w:val="17"/>
        </w:rPr>
        <w:t>Prosecutions Coordinator</w:t>
      </w:r>
    </w:p>
    <w:p w:rsidR="00FC7B18" w:rsidRPr="00FC7B18" w:rsidRDefault="00FC7B18" w:rsidP="00FC7B18">
      <w:pPr>
        <w:pBdr>
          <w:top w:val="single" w:sz="4" w:space="1" w:color="auto"/>
        </w:pBdr>
        <w:spacing w:before="100" w:after="0" w:line="14" w:lineRule="exact"/>
        <w:jc w:val="center"/>
        <w:rPr>
          <w:rFonts w:eastAsia="Times New Roman"/>
          <w:szCs w:val="17"/>
        </w:rPr>
      </w:pPr>
    </w:p>
    <w:p w:rsidR="00FC7B18" w:rsidRDefault="00FC7B18"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45E75" w:rsidRPr="00845E75" w:rsidRDefault="00845E75" w:rsidP="00845E75">
      <w:pPr>
        <w:jc w:val="center"/>
        <w:rPr>
          <w:caps/>
          <w:szCs w:val="17"/>
        </w:rPr>
      </w:pPr>
      <w:r w:rsidRPr="00845E75">
        <w:rPr>
          <w:caps/>
          <w:szCs w:val="17"/>
        </w:rPr>
        <w:t>FISHERIES MANAGEMENT ACT 2007</w:t>
      </w:r>
    </w:p>
    <w:p w:rsidR="00845E75" w:rsidRPr="00845E75" w:rsidRDefault="00845E75" w:rsidP="00845E75">
      <w:pPr>
        <w:jc w:val="center"/>
        <w:rPr>
          <w:smallCaps/>
          <w:szCs w:val="17"/>
        </w:rPr>
      </w:pPr>
      <w:r w:rsidRPr="00845E75">
        <w:rPr>
          <w:smallCaps/>
          <w:szCs w:val="17"/>
        </w:rPr>
        <w:t>Section 90 (2)</w:t>
      </w:r>
    </w:p>
    <w:p w:rsidR="00845E75" w:rsidRPr="00845E75" w:rsidRDefault="00845E75" w:rsidP="00845E75">
      <w:pPr>
        <w:jc w:val="center"/>
        <w:rPr>
          <w:i/>
          <w:szCs w:val="17"/>
        </w:rPr>
      </w:pPr>
      <w:r w:rsidRPr="00845E75">
        <w:rPr>
          <w:i/>
          <w:szCs w:val="17"/>
        </w:rPr>
        <w:t>Items Seized</w:t>
      </w:r>
    </w:p>
    <w:p w:rsidR="00845E75" w:rsidRPr="00845E75" w:rsidRDefault="00845E75" w:rsidP="00845E75">
      <w:pPr>
        <w:pStyle w:val="GG-body"/>
      </w:pPr>
      <w:r w:rsidRPr="00845E75">
        <w:t xml:space="preserve">Notice is hereby given pursuant to Section 90 (2) of the </w:t>
      </w:r>
      <w:r w:rsidRPr="00845E75">
        <w:rPr>
          <w:i/>
        </w:rPr>
        <w:t>Fisheries Management Act, 2007</w:t>
      </w:r>
      <w:r w:rsidRPr="00845E75">
        <w:t>, that the following items have been seized by Officers of the Department of Primary Industries and Regions SA, Fisheries and Aquaculture at GREENLY ISLAND on 13/03/2018.</w:t>
      </w:r>
    </w:p>
    <w:p w:rsidR="00845E75" w:rsidRPr="00845E75" w:rsidRDefault="00845E75" w:rsidP="00845E75">
      <w:pPr>
        <w:numPr>
          <w:ilvl w:val="0"/>
          <w:numId w:val="18"/>
        </w:numPr>
        <w:ind w:left="426" w:hanging="284"/>
        <w:contextualSpacing/>
        <w:rPr>
          <w:rFonts w:eastAsia="Times New Roman"/>
          <w:b/>
          <w:szCs w:val="24"/>
        </w:rPr>
      </w:pPr>
      <w:r w:rsidRPr="00845E75">
        <w:rPr>
          <w:rFonts w:eastAsia="Times New Roman"/>
          <w:b/>
          <w:szCs w:val="24"/>
        </w:rPr>
        <w:t>2 Rock Lobster pots with red necks.</w:t>
      </w:r>
    </w:p>
    <w:p w:rsidR="00845E75" w:rsidRPr="00845E75" w:rsidRDefault="00845E75" w:rsidP="00845E75">
      <w:pPr>
        <w:pStyle w:val="GG-body"/>
      </w:pPr>
      <w:r w:rsidRPr="00845E75">
        <w:t xml:space="preserve">The above items were suspected to have been used, or intended to be used, in contravention of the </w:t>
      </w:r>
      <w:r w:rsidRPr="00845E75">
        <w:rPr>
          <w:i/>
        </w:rPr>
        <w:t>Fisheries Management Act, 2007</w:t>
      </w:r>
      <w:r w:rsidRPr="00845E75">
        <w:t>, and were taken into possession at:</w:t>
      </w:r>
    </w:p>
    <w:p w:rsidR="00845E75" w:rsidRPr="00845E75" w:rsidRDefault="00845E75" w:rsidP="00845E75">
      <w:pPr>
        <w:ind w:left="142"/>
        <w:rPr>
          <w:rFonts w:eastAsia="Times New Roman"/>
          <w:b/>
          <w:szCs w:val="17"/>
        </w:rPr>
      </w:pPr>
      <w:r w:rsidRPr="00845E75">
        <w:rPr>
          <w:rFonts w:eastAsia="Times New Roman"/>
          <w:b/>
          <w:szCs w:val="17"/>
        </w:rPr>
        <w:t>GREENLY ISLAND</w:t>
      </w:r>
    </w:p>
    <w:p w:rsidR="00845E75" w:rsidRPr="00845E75" w:rsidRDefault="00845E75" w:rsidP="00845E75">
      <w:pPr>
        <w:rPr>
          <w:rFonts w:eastAsia="Times New Roman"/>
          <w:szCs w:val="17"/>
        </w:rPr>
      </w:pPr>
      <w:r w:rsidRPr="00845E75">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845E75" w:rsidRPr="00845E75" w:rsidRDefault="00845E75" w:rsidP="00845E75">
      <w:pPr>
        <w:rPr>
          <w:rFonts w:eastAsia="Times New Roman"/>
          <w:szCs w:val="17"/>
        </w:rPr>
      </w:pPr>
      <w:r w:rsidRPr="00845E75">
        <w:rPr>
          <w:rFonts w:eastAsia="Times New Roman"/>
          <w:szCs w:val="17"/>
        </w:rPr>
        <w:t xml:space="preserve">The above items may be viewed at the </w:t>
      </w:r>
      <w:r w:rsidRPr="00845E75">
        <w:rPr>
          <w:rFonts w:eastAsia="Times New Roman"/>
          <w:b/>
          <w:szCs w:val="17"/>
        </w:rPr>
        <w:t xml:space="preserve">Port Lincoln </w:t>
      </w:r>
      <w:r w:rsidRPr="00845E75">
        <w:rPr>
          <w:rFonts w:eastAsia="Times New Roman"/>
          <w:szCs w:val="17"/>
        </w:rPr>
        <w:t>office of the Department of Primary Industries and Regions SA, Fisheries and Aquaculture.</w:t>
      </w:r>
    </w:p>
    <w:p w:rsidR="00845E75" w:rsidRPr="00845E75" w:rsidRDefault="00845E75" w:rsidP="00845E75">
      <w:pPr>
        <w:spacing w:after="0"/>
        <w:rPr>
          <w:rFonts w:eastAsia="Times New Roman"/>
          <w:szCs w:val="17"/>
        </w:rPr>
      </w:pPr>
      <w:r w:rsidRPr="00845E75">
        <w:rPr>
          <w:rFonts w:eastAsia="Times New Roman"/>
          <w:szCs w:val="17"/>
        </w:rPr>
        <w:t>Dated: 29 May 2020</w:t>
      </w:r>
    </w:p>
    <w:p w:rsidR="00845E75" w:rsidRPr="00845E75" w:rsidRDefault="00845E75" w:rsidP="00845E75">
      <w:pPr>
        <w:spacing w:after="0"/>
        <w:jc w:val="right"/>
        <w:rPr>
          <w:rFonts w:eastAsia="Times New Roman"/>
          <w:smallCaps/>
          <w:szCs w:val="20"/>
        </w:rPr>
      </w:pPr>
      <w:r w:rsidRPr="00845E75">
        <w:rPr>
          <w:rFonts w:eastAsia="Times New Roman"/>
          <w:smallCaps/>
          <w:szCs w:val="20"/>
        </w:rPr>
        <w:t>Bree Balmer</w:t>
      </w:r>
    </w:p>
    <w:p w:rsidR="00845E75" w:rsidRPr="00845E75" w:rsidRDefault="00845E75" w:rsidP="00845E75">
      <w:pPr>
        <w:spacing w:after="0"/>
        <w:jc w:val="right"/>
        <w:rPr>
          <w:rFonts w:eastAsia="Times New Roman"/>
          <w:szCs w:val="17"/>
        </w:rPr>
      </w:pPr>
      <w:r w:rsidRPr="00845E75">
        <w:rPr>
          <w:rFonts w:eastAsia="Times New Roman"/>
          <w:szCs w:val="17"/>
        </w:rPr>
        <w:t>Prosecutions Coordinator</w:t>
      </w:r>
    </w:p>
    <w:p w:rsidR="00845E75" w:rsidRPr="00845E75" w:rsidRDefault="00845E75" w:rsidP="00845E75">
      <w:pPr>
        <w:pBdr>
          <w:top w:val="single" w:sz="4" w:space="1" w:color="auto"/>
        </w:pBdr>
        <w:spacing w:before="100" w:after="0" w:line="14" w:lineRule="exact"/>
        <w:jc w:val="center"/>
        <w:rPr>
          <w:rFonts w:eastAsia="Times New Roman"/>
          <w:szCs w:val="17"/>
        </w:rPr>
      </w:pPr>
    </w:p>
    <w:p w:rsidR="00FC7B18" w:rsidRDefault="00FC7B18"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45E75" w:rsidRPr="00845E75" w:rsidRDefault="00845E75" w:rsidP="00845E75">
      <w:pPr>
        <w:jc w:val="center"/>
        <w:rPr>
          <w:caps/>
          <w:szCs w:val="17"/>
        </w:rPr>
      </w:pPr>
      <w:r w:rsidRPr="00845E75">
        <w:rPr>
          <w:caps/>
          <w:szCs w:val="17"/>
        </w:rPr>
        <w:t>FISHERIES MANAGEMENT ACT 2007</w:t>
      </w:r>
    </w:p>
    <w:p w:rsidR="00845E75" w:rsidRPr="00845E75" w:rsidRDefault="00845E75" w:rsidP="00845E75">
      <w:pPr>
        <w:jc w:val="center"/>
        <w:rPr>
          <w:smallCaps/>
          <w:szCs w:val="17"/>
        </w:rPr>
      </w:pPr>
      <w:r w:rsidRPr="00845E75">
        <w:rPr>
          <w:smallCaps/>
          <w:szCs w:val="17"/>
        </w:rPr>
        <w:t>Section 90 (2)</w:t>
      </w:r>
    </w:p>
    <w:p w:rsidR="00845E75" w:rsidRPr="00845E75" w:rsidRDefault="00845E75" w:rsidP="00845E75">
      <w:pPr>
        <w:jc w:val="center"/>
        <w:rPr>
          <w:i/>
          <w:szCs w:val="17"/>
        </w:rPr>
      </w:pPr>
      <w:r w:rsidRPr="00845E75">
        <w:rPr>
          <w:i/>
          <w:szCs w:val="17"/>
        </w:rPr>
        <w:t>Items Seized</w:t>
      </w:r>
    </w:p>
    <w:p w:rsidR="00845E75" w:rsidRPr="00845E75" w:rsidRDefault="00845E75" w:rsidP="00845E75">
      <w:pPr>
        <w:rPr>
          <w:rFonts w:eastAsia="Times New Roman"/>
          <w:szCs w:val="17"/>
        </w:rPr>
      </w:pPr>
      <w:r w:rsidRPr="00845E75">
        <w:rPr>
          <w:rFonts w:eastAsia="Times New Roman"/>
          <w:szCs w:val="17"/>
        </w:rPr>
        <w:t xml:space="preserve">Notice is hereby given pursuant to Section 90 (2) of the </w:t>
      </w:r>
      <w:r w:rsidRPr="00845E75">
        <w:rPr>
          <w:rFonts w:eastAsia="Times New Roman"/>
          <w:i/>
          <w:szCs w:val="17"/>
        </w:rPr>
        <w:t>Fisheries Management Act, 2007</w:t>
      </w:r>
      <w:r w:rsidRPr="00845E75">
        <w:rPr>
          <w:rFonts w:eastAsia="Times New Roman"/>
          <w:szCs w:val="17"/>
        </w:rPr>
        <w:t>, that the following items have been seized by Officers of the Department of Primary Industries and Regions SA, Fisheries and Aquaculture at KINGS ROCK CAPE JAFFA on 26/02/2020.</w:t>
      </w:r>
    </w:p>
    <w:p w:rsidR="00845E75" w:rsidRPr="00845E75" w:rsidRDefault="00845E75" w:rsidP="00845E75">
      <w:pPr>
        <w:numPr>
          <w:ilvl w:val="0"/>
          <w:numId w:val="19"/>
        </w:numPr>
        <w:spacing w:line="240" w:lineRule="auto"/>
        <w:ind w:left="426" w:hanging="284"/>
        <w:contextualSpacing/>
        <w:rPr>
          <w:rFonts w:eastAsia="Times New Roman"/>
          <w:b/>
          <w:szCs w:val="24"/>
        </w:rPr>
      </w:pPr>
      <w:r w:rsidRPr="00845E75">
        <w:rPr>
          <w:rFonts w:eastAsia="Times New Roman"/>
          <w:b/>
          <w:szCs w:val="24"/>
        </w:rPr>
        <w:t>2 Rock Lobster pots, both with red necks, white rope, stainless mesh and red bait baskets.</w:t>
      </w:r>
    </w:p>
    <w:p w:rsidR="00845E75" w:rsidRPr="00845E75" w:rsidRDefault="00845E75" w:rsidP="00845E75">
      <w:pPr>
        <w:pStyle w:val="GG-body"/>
      </w:pPr>
      <w:r w:rsidRPr="00845E75">
        <w:t xml:space="preserve">The above items were suspected to have been used, or intended to be used, in contravention of the </w:t>
      </w:r>
      <w:r w:rsidRPr="00845E75">
        <w:rPr>
          <w:i/>
        </w:rPr>
        <w:t>Fisheries Management Act, 2007</w:t>
      </w:r>
      <w:r w:rsidRPr="00845E75">
        <w:t>, and were taken into possession at:</w:t>
      </w:r>
    </w:p>
    <w:p w:rsidR="00845E75" w:rsidRPr="00845E75" w:rsidRDefault="00845E75" w:rsidP="00845E75">
      <w:pPr>
        <w:ind w:left="142"/>
        <w:rPr>
          <w:rFonts w:eastAsia="Times New Roman"/>
          <w:b/>
          <w:szCs w:val="17"/>
        </w:rPr>
      </w:pPr>
      <w:r w:rsidRPr="00845E75">
        <w:rPr>
          <w:rFonts w:eastAsia="Times New Roman"/>
          <w:b/>
          <w:szCs w:val="17"/>
        </w:rPr>
        <w:t>KINGS ROCK, CAPE JAFFA</w:t>
      </w:r>
    </w:p>
    <w:p w:rsidR="00845E75" w:rsidRPr="00845E75" w:rsidRDefault="00845E75" w:rsidP="00845E75">
      <w:pPr>
        <w:rPr>
          <w:rFonts w:eastAsia="Times New Roman"/>
          <w:szCs w:val="17"/>
        </w:rPr>
      </w:pPr>
      <w:r w:rsidRPr="00845E75">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845E75" w:rsidRPr="00845E75" w:rsidRDefault="00845E75" w:rsidP="00845E75">
      <w:pPr>
        <w:rPr>
          <w:rFonts w:eastAsia="Times New Roman"/>
          <w:szCs w:val="17"/>
        </w:rPr>
      </w:pPr>
      <w:r w:rsidRPr="00845E75">
        <w:rPr>
          <w:rFonts w:eastAsia="Times New Roman"/>
          <w:szCs w:val="17"/>
        </w:rPr>
        <w:t xml:space="preserve">The above items may be viewed at the </w:t>
      </w:r>
      <w:r w:rsidRPr="00845E75">
        <w:rPr>
          <w:rFonts w:eastAsia="Times New Roman"/>
          <w:b/>
          <w:szCs w:val="17"/>
        </w:rPr>
        <w:t xml:space="preserve">Kingston </w:t>
      </w:r>
      <w:r w:rsidRPr="00845E75">
        <w:rPr>
          <w:rFonts w:eastAsia="Times New Roman"/>
          <w:szCs w:val="17"/>
        </w:rPr>
        <w:t>office of the Department of Primary Industries and Regions SA, Fisheries and Aquaculture.</w:t>
      </w:r>
    </w:p>
    <w:p w:rsidR="00845E75" w:rsidRPr="00845E75" w:rsidRDefault="00845E75" w:rsidP="00845E75">
      <w:pPr>
        <w:spacing w:after="0"/>
        <w:rPr>
          <w:rFonts w:eastAsia="Times New Roman"/>
          <w:szCs w:val="17"/>
        </w:rPr>
      </w:pPr>
      <w:r w:rsidRPr="00845E75">
        <w:rPr>
          <w:rFonts w:eastAsia="Times New Roman"/>
          <w:szCs w:val="17"/>
        </w:rPr>
        <w:t>Dated: 28 May 2020</w:t>
      </w:r>
    </w:p>
    <w:p w:rsidR="00845E75" w:rsidRPr="00845E75" w:rsidRDefault="00845E75" w:rsidP="00845E75">
      <w:pPr>
        <w:spacing w:after="0"/>
        <w:jc w:val="right"/>
        <w:rPr>
          <w:rFonts w:eastAsia="Times New Roman"/>
          <w:smallCaps/>
          <w:szCs w:val="20"/>
        </w:rPr>
      </w:pPr>
      <w:r w:rsidRPr="00845E75">
        <w:rPr>
          <w:rFonts w:eastAsia="Times New Roman"/>
          <w:smallCaps/>
          <w:szCs w:val="20"/>
        </w:rPr>
        <w:t>Bree Balmer</w:t>
      </w:r>
    </w:p>
    <w:p w:rsidR="00845E75" w:rsidRPr="00845E75" w:rsidRDefault="00845E75" w:rsidP="00845E75">
      <w:pPr>
        <w:spacing w:after="0"/>
        <w:jc w:val="right"/>
        <w:rPr>
          <w:rFonts w:eastAsia="Times New Roman"/>
          <w:szCs w:val="17"/>
        </w:rPr>
      </w:pPr>
      <w:r w:rsidRPr="00845E75">
        <w:rPr>
          <w:rFonts w:eastAsia="Times New Roman"/>
          <w:szCs w:val="17"/>
        </w:rPr>
        <w:t>Prosecutions Coordinator</w:t>
      </w:r>
    </w:p>
    <w:p w:rsidR="00845E75" w:rsidRPr="00845E75" w:rsidRDefault="00845E75" w:rsidP="00845E75">
      <w:pPr>
        <w:pBdr>
          <w:top w:val="single" w:sz="4" w:space="1" w:color="auto"/>
        </w:pBdr>
        <w:spacing w:before="100" w:after="0" w:line="14" w:lineRule="exact"/>
        <w:jc w:val="center"/>
        <w:rPr>
          <w:rFonts w:eastAsia="Times New Roman"/>
          <w:szCs w:val="17"/>
        </w:rPr>
      </w:pPr>
    </w:p>
    <w:p w:rsidR="00845E75" w:rsidRDefault="00845E75"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2440F" w:rsidRPr="0062440F" w:rsidRDefault="0062440F" w:rsidP="0062440F">
      <w:pPr>
        <w:jc w:val="center"/>
        <w:rPr>
          <w:caps/>
          <w:szCs w:val="17"/>
        </w:rPr>
      </w:pPr>
      <w:r w:rsidRPr="0062440F">
        <w:rPr>
          <w:caps/>
          <w:szCs w:val="17"/>
        </w:rPr>
        <w:t>FISHERIES MANAGEMENT ACT 2007</w:t>
      </w:r>
    </w:p>
    <w:p w:rsidR="0062440F" w:rsidRPr="0062440F" w:rsidRDefault="0062440F" w:rsidP="0062440F">
      <w:pPr>
        <w:jc w:val="center"/>
        <w:rPr>
          <w:smallCaps/>
          <w:szCs w:val="17"/>
        </w:rPr>
      </w:pPr>
      <w:r w:rsidRPr="0062440F">
        <w:rPr>
          <w:smallCaps/>
          <w:szCs w:val="17"/>
        </w:rPr>
        <w:t>Section 90 (2)</w:t>
      </w:r>
    </w:p>
    <w:p w:rsidR="0062440F" w:rsidRPr="0062440F" w:rsidRDefault="0062440F" w:rsidP="0062440F">
      <w:pPr>
        <w:jc w:val="center"/>
        <w:rPr>
          <w:i/>
          <w:szCs w:val="17"/>
        </w:rPr>
      </w:pPr>
      <w:r w:rsidRPr="0062440F">
        <w:rPr>
          <w:i/>
          <w:szCs w:val="17"/>
        </w:rPr>
        <w:t>Items Seized</w:t>
      </w:r>
    </w:p>
    <w:p w:rsidR="0062440F" w:rsidRPr="0062440F" w:rsidRDefault="0062440F" w:rsidP="0062440F">
      <w:pPr>
        <w:rPr>
          <w:rFonts w:eastAsia="Times New Roman"/>
          <w:szCs w:val="17"/>
        </w:rPr>
      </w:pPr>
      <w:r w:rsidRPr="0062440F">
        <w:rPr>
          <w:rFonts w:eastAsia="Times New Roman"/>
          <w:szCs w:val="17"/>
        </w:rPr>
        <w:t xml:space="preserve">Notice is hereby given pursuant to Section 90 (2) of the </w:t>
      </w:r>
      <w:r w:rsidRPr="0062440F">
        <w:rPr>
          <w:rFonts w:eastAsia="Times New Roman"/>
          <w:i/>
          <w:szCs w:val="17"/>
        </w:rPr>
        <w:t>Fisheries Management Act, 2007</w:t>
      </w:r>
      <w:r w:rsidRPr="0062440F">
        <w:rPr>
          <w:rFonts w:eastAsia="Times New Roman"/>
          <w:szCs w:val="17"/>
        </w:rPr>
        <w:t>, that the following items have been seized by Officers of the Department of Primary Industries and Regions SA, Fisheries and Aquaculture at ORWELL ROCKS on 6/03/2020.</w:t>
      </w:r>
    </w:p>
    <w:p w:rsidR="0062440F" w:rsidRPr="0062440F" w:rsidRDefault="0062440F" w:rsidP="0062440F">
      <w:pPr>
        <w:numPr>
          <w:ilvl w:val="0"/>
          <w:numId w:val="20"/>
        </w:numPr>
        <w:ind w:left="426" w:hanging="284"/>
        <w:rPr>
          <w:rFonts w:eastAsia="Times New Roman"/>
          <w:b/>
          <w:szCs w:val="24"/>
        </w:rPr>
      </w:pPr>
      <w:r w:rsidRPr="0062440F">
        <w:rPr>
          <w:rFonts w:eastAsia="Times New Roman"/>
          <w:b/>
          <w:szCs w:val="24"/>
        </w:rPr>
        <w:t>Rock Lobster pot with red neck, orange rope, 2 small white floats, a blue berley pot with “Peds” written on neck of pot.</w:t>
      </w:r>
    </w:p>
    <w:p w:rsidR="0062440F" w:rsidRPr="0062440F" w:rsidRDefault="0062440F" w:rsidP="0062440F">
      <w:pPr>
        <w:tabs>
          <w:tab w:val="left" w:pos="426"/>
        </w:tabs>
        <w:rPr>
          <w:rFonts w:eastAsia="Times New Roman"/>
          <w:szCs w:val="17"/>
        </w:rPr>
      </w:pPr>
      <w:r w:rsidRPr="0062440F">
        <w:rPr>
          <w:rFonts w:eastAsia="Times New Roman"/>
          <w:szCs w:val="17"/>
        </w:rPr>
        <w:t xml:space="preserve">The above items were suspected to have been used, or intended to be used, in contravention of the </w:t>
      </w:r>
      <w:r w:rsidRPr="0062440F">
        <w:rPr>
          <w:rFonts w:eastAsia="Times New Roman"/>
          <w:i/>
          <w:szCs w:val="17"/>
        </w:rPr>
        <w:t>Fisheries Management Act, 2007</w:t>
      </w:r>
      <w:r w:rsidRPr="0062440F">
        <w:rPr>
          <w:rFonts w:eastAsia="Times New Roman"/>
          <w:szCs w:val="17"/>
        </w:rPr>
        <w:t>, and were taken into possession at:</w:t>
      </w:r>
    </w:p>
    <w:p w:rsidR="0062440F" w:rsidRPr="0062440F" w:rsidRDefault="0062440F" w:rsidP="0062440F">
      <w:pPr>
        <w:ind w:left="142"/>
        <w:rPr>
          <w:rFonts w:eastAsia="Times New Roman"/>
          <w:b/>
          <w:szCs w:val="17"/>
        </w:rPr>
      </w:pPr>
      <w:r w:rsidRPr="0062440F">
        <w:rPr>
          <w:rFonts w:eastAsia="Times New Roman"/>
          <w:b/>
          <w:szCs w:val="24"/>
        </w:rPr>
        <w:t>ORWELL ROCKS</w:t>
      </w:r>
    </w:p>
    <w:p w:rsidR="0062440F" w:rsidRPr="0062440F" w:rsidRDefault="0062440F" w:rsidP="0062440F">
      <w:pPr>
        <w:rPr>
          <w:rFonts w:eastAsia="Times New Roman"/>
          <w:szCs w:val="17"/>
        </w:rPr>
      </w:pPr>
      <w:r w:rsidRPr="0062440F">
        <w:rPr>
          <w:rFonts w:eastAsia="Times New Roman"/>
          <w:szCs w:val="17"/>
        </w:rPr>
        <w:lastRenderedPageBreak/>
        <w:t>After the expiration of one month from the date of this notice the items listed above shall, on the order of the Minister for Agriculture, Food and Fisheries, be forfeited to the Crown and shall be either disposed of by sale or destruction.</w:t>
      </w:r>
    </w:p>
    <w:p w:rsidR="0062440F" w:rsidRPr="0062440F" w:rsidRDefault="0062440F" w:rsidP="0062440F">
      <w:pPr>
        <w:rPr>
          <w:rFonts w:eastAsia="Times New Roman"/>
          <w:szCs w:val="17"/>
        </w:rPr>
      </w:pPr>
      <w:r w:rsidRPr="0062440F">
        <w:rPr>
          <w:rFonts w:eastAsia="Times New Roman"/>
          <w:szCs w:val="17"/>
        </w:rPr>
        <w:t xml:space="preserve">The above items may be viewed at the </w:t>
      </w:r>
      <w:r w:rsidRPr="0062440F">
        <w:rPr>
          <w:rFonts w:eastAsia="Times New Roman"/>
          <w:b/>
          <w:szCs w:val="24"/>
        </w:rPr>
        <w:t>Mount Gambier</w:t>
      </w:r>
      <w:r w:rsidRPr="0062440F">
        <w:rPr>
          <w:rFonts w:eastAsia="Times New Roman"/>
          <w:b/>
          <w:szCs w:val="17"/>
        </w:rPr>
        <w:t xml:space="preserve"> </w:t>
      </w:r>
      <w:r w:rsidRPr="0062440F">
        <w:rPr>
          <w:rFonts w:eastAsia="Times New Roman"/>
          <w:szCs w:val="17"/>
        </w:rPr>
        <w:t>office of the Department of Primary Industries and Regions SA, Fisheries and Aquaculture.</w:t>
      </w:r>
    </w:p>
    <w:p w:rsidR="0062440F" w:rsidRPr="0062440F" w:rsidRDefault="0062440F" w:rsidP="0062440F">
      <w:pPr>
        <w:spacing w:after="0"/>
        <w:rPr>
          <w:rFonts w:eastAsia="Times New Roman"/>
          <w:szCs w:val="17"/>
        </w:rPr>
      </w:pPr>
      <w:r w:rsidRPr="0062440F">
        <w:rPr>
          <w:rFonts w:eastAsia="Times New Roman"/>
          <w:szCs w:val="17"/>
        </w:rPr>
        <w:t>Dated: 28 May 2020</w:t>
      </w:r>
    </w:p>
    <w:p w:rsidR="0062440F" w:rsidRPr="0062440F" w:rsidRDefault="0062440F" w:rsidP="0062440F">
      <w:pPr>
        <w:spacing w:after="0"/>
        <w:jc w:val="right"/>
        <w:rPr>
          <w:rFonts w:eastAsia="Times New Roman"/>
          <w:smallCaps/>
          <w:szCs w:val="20"/>
        </w:rPr>
      </w:pPr>
      <w:r w:rsidRPr="0062440F">
        <w:rPr>
          <w:rFonts w:eastAsia="Times New Roman"/>
          <w:smallCaps/>
          <w:szCs w:val="20"/>
        </w:rPr>
        <w:t>Bree Balmer</w:t>
      </w:r>
    </w:p>
    <w:p w:rsidR="0062440F" w:rsidRPr="0062440F" w:rsidRDefault="0062440F" w:rsidP="0062440F">
      <w:pPr>
        <w:spacing w:after="0"/>
        <w:jc w:val="right"/>
        <w:rPr>
          <w:rFonts w:eastAsia="Times New Roman"/>
          <w:szCs w:val="17"/>
        </w:rPr>
      </w:pPr>
      <w:r w:rsidRPr="0062440F">
        <w:rPr>
          <w:rFonts w:eastAsia="Times New Roman"/>
          <w:szCs w:val="17"/>
        </w:rPr>
        <w:t>Prosecutions Coordinator</w:t>
      </w:r>
    </w:p>
    <w:p w:rsidR="0062440F" w:rsidRPr="0062440F" w:rsidRDefault="0062440F" w:rsidP="0062440F">
      <w:pPr>
        <w:pBdr>
          <w:top w:val="single" w:sz="4" w:space="1" w:color="auto"/>
        </w:pBdr>
        <w:spacing w:before="100" w:after="0" w:line="14" w:lineRule="exact"/>
        <w:jc w:val="center"/>
        <w:rPr>
          <w:rFonts w:eastAsia="Times New Roman"/>
          <w:szCs w:val="17"/>
        </w:rPr>
      </w:pPr>
    </w:p>
    <w:p w:rsidR="00845E75" w:rsidRDefault="00845E75"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2440F" w:rsidRPr="0062440F" w:rsidRDefault="0062440F" w:rsidP="0062440F">
      <w:pPr>
        <w:jc w:val="center"/>
        <w:rPr>
          <w:caps/>
          <w:szCs w:val="17"/>
        </w:rPr>
      </w:pPr>
      <w:r w:rsidRPr="0062440F">
        <w:rPr>
          <w:caps/>
          <w:szCs w:val="17"/>
        </w:rPr>
        <w:t>FISHERIES MANAGEMENT ACT 2007</w:t>
      </w:r>
    </w:p>
    <w:p w:rsidR="0062440F" w:rsidRPr="0062440F" w:rsidRDefault="0062440F" w:rsidP="0062440F">
      <w:pPr>
        <w:jc w:val="center"/>
        <w:rPr>
          <w:smallCaps/>
          <w:szCs w:val="17"/>
        </w:rPr>
      </w:pPr>
      <w:r w:rsidRPr="0062440F">
        <w:rPr>
          <w:smallCaps/>
          <w:szCs w:val="17"/>
        </w:rPr>
        <w:t>Section 90 (2)</w:t>
      </w:r>
    </w:p>
    <w:p w:rsidR="0062440F" w:rsidRPr="0062440F" w:rsidRDefault="0062440F" w:rsidP="0062440F">
      <w:pPr>
        <w:jc w:val="center"/>
        <w:rPr>
          <w:i/>
          <w:szCs w:val="17"/>
        </w:rPr>
      </w:pPr>
      <w:r w:rsidRPr="0062440F">
        <w:rPr>
          <w:i/>
          <w:szCs w:val="17"/>
        </w:rPr>
        <w:t>Items Seized</w:t>
      </w:r>
    </w:p>
    <w:p w:rsidR="0062440F" w:rsidRPr="0062440F" w:rsidRDefault="0062440F" w:rsidP="0062440F">
      <w:pPr>
        <w:pStyle w:val="GG-body"/>
      </w:pPr>
      <w:r w:rsidRPr="0062440F">
        <w:t xml:space="preserve">Notice is hereby given pursuant to Section 90 (2) of the </w:t>
      </w:r>
      <w:r w:rsidRPr="0062440F">
        <w:rPr>
          <w:i/>
        </w:rPr>
        <w:t>Fisheries Management Act, 2007</w:t>
      </w:r>
      <w:r w:rsidRPr="0062440F">
        <w:t>, that the following items have been seized by Officers of the Department of Primary Industries and Regions SA, Fisheries and Aquaculture at PARINGA SANDBAR on 21/10/2019.</w:t>
      </w:r>
    </w:p>
    <w:p w:rsidR="0062440F" w:rsidRPr="0062440F" w:rsidRDefault="0062440F" w:rsidP="0062440F">
      <w:pPr>
        <w:numPr>
          <w:ilvl w:val="0"/>
          <w:numId w:val="21"/>
        </w:numPr>
        <w:spacing w:line="240" w:lineRule="auto"/>
        <w:ind w:left="426" w:hanging="284"/>
        <w:contextualSpacing/>
        <w:rPr>
          <w:rFonts w:eastAsia="Times New Roman"/>
          <w:b/>
          <w:szCs w:val="24"/>
        </w:rPr>
      </w:pPr>
      <w:r w:rsidRPr="0062440F">
        <w:rPr>
          <w:rFonts w:eastAsia="Times New Roman"/>
          <w:b/>
          <w:szCs w:val="24"/>
        </w:rPr>
        <w:t>Shrimp trap with a length of rope attached.</w:t>
      </w:r>
    </w:p>
    <w:p w:rsidR="0062440F" w:rsidRPr="0062440F" w:rsidRDefault="0062440F" w:rsidP="0062440F">
      <w:pPr>
        <w:pStyle w:val="GG-body"/>
      </w:pPr>
      <w:r w:rsidRPr="0062440F">
        <w:t xml:space="preserve">The above items were suspected to have been used, or intended to be used, in contravention of the </w:t>
      </w:r>
      <w:r w:rsidRPr="0062440F">
        <w:rPr>
          <w:i/>
        </w:rPr>
        <w:t>Fisheries Management Act, 2007</w:t>
      </w:r>
      <w:r w:rsidRPr="0062440F">
        <w:t>, and were taken into possession at:</w:t>
      </w:r>
    </w:p>
    <w:p w:rsidR="0062440F" w:rsidRPr="0062440F" w:rsidRDefault="0062440F" w:rsidP="0062440F">
      <w:pPr>
        <w:ind w:left="142"/>
        <w:rPr>
          <w:rFonts w:eastAsia="Times New Roman"/>
          <w:b/>
          <w:szCs w:val="17"/>
        </w:rPr>
      </w:pPr>
      <w:r w:rsidRPr="0062440F">
        <w:rPr>
          <w:rFonts w:eastAsia="Times New Roman"/>
          <w:b/>
          <w:szCs w:val="24"/>
        </w:rPr>
        <w:t>PARINGA SANDBAR</w:t>
      </w:r>
    </w:p>
    <w:p w:rsidR="0062440F" w:rsidRPr="0062440F" w:rsidRDefault="0062440F" w:rsidP="0062440F">
      <w:pPr>
        <w:pStyle w:val="GG-body"/>
      </w:pPr>
      <w:r w:rsidRPr="0062440F">
        <w:t>After the expiration of one month from the date of this notice the items listed above shall, on the order of the Minister for Agriculture, Food and Fisheries, be forfeited to the Crown and shall be either disposed of by sale or destruction.</w:t>
      </w:r>
    </w:p>
    <w:p w:rsidR="0062440F" w:rsidRPr="0062440F" w:rsidRDefault="0062440F" w:rsidP="0062440F">
      <w:pPr>
        <w:rPr>
          <w:rFonts w:eastAsia="Times New Roman"/>
          <w:szCs w:val="17"/>
        </w:rPr>
      </w:pPr>
      <w:r w:rsidRPr="0062440F">
        <w:rPr>
          <w:rFonts w:eastAsia="Times New Roman"/>
          <w:szCs w:val="17"/>
        </w:rPr>
        <w:t xml:space="preserve">The above items may be viewed at the </w:t>
      </w:r>
      <w:r w:rsidRPr="0062440F">
        <w:rPr>
          <w:rFonts w:eastAsia="Times New Roman"/>
          <w:b/>
          <w:szCs w:val="24"/>
        </w:rPr>
        <w:t>Largs North</w:t>
      </w:r>
      <w:r w:rsidRPr="0062440F">
        <w:rPr>
          <w:rFonts w:eastAsia="Times New Roman"/>
          <w:b/>
          <w:szCs w:val="17"/>
        </w:rPr>
        <w:t xml:space="preserve"> </w:t>
      </w:r>
      <w:r w:rsidRPr="0062440F">
        <w:rPr>
          <w:rFonts w:eastAsia="Times New Roman"/>
          <w:szCs w:val="17"/>
        </w:rPr>
        <w:t>office of the Department of Primary Industries and Regions SA, Fisheries and Aquaculture.</w:t>
      </w:r>
    </w:p>
    <w:p w:rsidR="0062440F" w:rsidRPr="0062440F" w:rsidRDefault="0062440F" w:rsidP="0062440F">
      <w:pPr>
        <w:spacing w:after="0"/>
        <w:rPr>
          <w:rFonts w:eastAsia="Times New Roman"/>
          <w:szCs w:val="17"/>
        </w:rPr>
      </w:pPr>
      <w:r w:rsidRPr="0062440F">
        <w:rPr>
          <w:rFonts w:eastAsia="Times New Roman"/>
          <w:szCs w:val="17"/>
        </w:rPr>
        <w:t>Dated: 28 May 2020</w:t>
      </w:r>
    </w:p>
    <w:p w:rsidR="0062440F" w:rsidRPr="0062440F" w:rsidRDefault="0062440F" w:rsidP="0062440F">
      <w:pPr>
        <w:spacing w:after="0"/>
        <w:jc w:val="right"/>
        <w:rPr>
          <w:rFonts w:eastAsia="Times New Roman"/>
          <w:smallCaps/>
          <w:szCs w:val="20"/>
        </w:rPr>
      </w:pPr>
      <w:r w:rsidRPr="0062440F">
        <w:rPr>
          <w:rFonts w:eastAsia="Times New Roman"/>
          <w:smallCaps/>
          <w:szCs w:val="20"/>
        </w:rPr>
        <w:t>Bree Balmer</w:t>
      </w:r>
    </w:p>
    <w:p w:rsidR="0062440F" w:rsidRPr="0062440F" w:rsidRDefault="0062440F" w:rsidP="0062440F">
      <w:pPr>
        <w:spacing w:after="0"/>
        <w:jc w:val="right"/>
        <w:rPr>
          <w:rFonts w:eastAsia="Times New Roman"/>
          <w:szCs w:val="17"/>
        </w:rPr>
      </w:pPr>
      <w:r w:rsidRPr="0062440F">
        <w:rPr>
          <w:rFonts w:eastAsia="Times New Roman"/>
          <w:szCs w:val="17"/>
        </w:rPr>
        <w:t>Prosecutions Coordinator</w:t>
      </w:r>
    </w:p>
    <w:p w:rsidR="0062440F" w:rsidRPr="0062440F" w:rsidRDefault="0062440F" w:rsidP="0062440F">
      <w:pPr>
        <w:pBdr>
          <w:top w:val="single" w:sz="4" w:space="1" w:color="auto"/>
        </w:pBdr>
        <w:spacing w:before="100" w:after="0" w:line="14" w:lineRule="exact"/>
        <w:jc w:val="center"/>
        <w:rPr>
          <w:rFonts w:eastAsia="Times New Roman"/>
          <w:szCs w:val="17"/>
        </w:rPr>
      </w:pPr>
    </w:p>
    <w:p w:rsidR="0062440F" w:rsidRDefault="0062440F"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2440F" w:rsidRPr="0062440F" w:rsidRDefault="0062440F" w:rsidP="0062440F">
      <w:pPr>
        <w:jc w:val="center"/>
        <w:rPr>
          <w:caps/>
          <w:szCs w:val="17"/>
        </w:rPr>
      </w:pPr>
      <w:r w:rsidRPr="0062440F">
        <w:rPr>
          <w:caps/>
          <w:szCs w:val="17"/>
        </w:rPr>
        <w:t>FISHERIES MANAGEMENT ACT 2007</w:t>
      </w:r>
    </w:p>
    <w:p w:rsidR="0062440F" w:rsidRPr="0062440F" w:rsidRDefault="0062440F" w:rsidP="0062440F">
      <w:pPr>
        <w:jc w:val="center"/>
        <w:rPr>
          <w:smallCaps/>
          <w:szCs w:val="17"/>
        </w:rPr>
      </w:pPr>
      <w:r w:rsidRPr="0062440F">
        <w:rPr>
          <w:smallCaps/>
          <w:szCs w:val="17"/>
        </w:rPr>
        <w:t>Section 90 (2)</w:t>
      </w:r>
    </w:p>
    <w:p w:rsidR="0062440F" w:rsidRPr="0062440F" w:rsidRDefault="0062440F" w:rsidP="0062440F">
      <w:pPr>
        <w:jc w:val="center"/>
        <w:rPr>
          <w:i/>
          <w:szCs w:val="17"/>
        </w:rPr>
      </w:pPr>
      <w:r w:rsidRPr="0062440F">
        <w:rPr>
          <w:i/>
          <w:szCs w:val="17"/>
        </w:rPr>
        <w:t>Items Seized</w:t>
      </w:r>
    </w:p>
    <w:p w:rsidR="0062440F" w:rsidRPr="0062440F" w:rsidRDefault="0062440F" w:rsidP="0062440F">
      <w:pPr>
        <w:pStyle w:val="GG-body"/>
      </w:pPr>
      <w:r w:rsidRPr="0062440F">
        <w:t xml:space="preserve">Notice is hereby given pursuant to Section 90 (2) of the </w:t>
      </w:r>
      <w:r w:rsidRPr="0062440F">
        <w:rPr>
          <w:i/>
        </w:rPr>
        <w:t>Fisheries Management Act, 2007</w:t>
      </w:r>
      <w:r w:rsidRPr="0062440F">
        <w:t>, that the following items have been seized by Officers of the Department of Primary Industries and Regions SA, Fisheries and Aquaculture at POINT PEARCE on 19/12/2018.</w:t>
      </w:r>
    </w:p>
    <w:p w:rsidR="0062440F" w:rsidRPr="0062440F" w:rsidRDefault="0062440F" w:rsidP="0062440F">
      <w:pPr>
        <w:tabs>
          <w:tab w:val="left" w:pos="426"/>
        </w:tabs>
        <w:spacing w:after="70"/>
        <w:ind w:left="142"/>
        <w:rPr>
          <w:rFonts w:eastAsia="Times New Roman"/>
          <w:b/>
          <w:szCs w:val="17"/>
        </w:rPr>
      </w:pPr>
      <w:r w:rsidRPr="0062440F">
        <w:rPr>
          <w:rFonts w:eastAsia="Times New Roman"/>
          <w:b/>
          <w:szCs w:val="17"/>
        </w:rPr>
        <w:t>1)</w:t>
      </w:r>
      <w:r w:rsidRPr="0062440F">
        <w:rPr>
          <w:rFonts w:eastAsia="Times New Roman"/>
          <w:b/>
          <w:szCs w:val="17"/>
        </w:rPr>
        <w:tab/>
        <w:t>Blue esky container.</w:t>
      </w:r>
    </w:p>
    <w:p w:rsidR="0062440F" w:rsidRPr="0062440F" w:rsidRDefault="0062440F" w:rsidP="0062440F">
      <w:pPr>
        <w:tabs>
          <w:tab w:val="left" w:pos="426"/>
        </w:tabs>
        <w:spacing w:after="70"/>
        <w:ind w:left="142"/>
        <w:rPr>
          <w:rFonts w:eastAsia="Times New Roman"/>
          <w:b/>
          <w:szCs w:val="17"/>
        </w:rPr>
      </w:pPr>
      <w:r w:rsidRPr="0062440F">
        <w:rPr>
          <w:rFonts w:eastAsia="Times New Roman"/>
          <w:b/>
          <w:szCs w:val="17"/>
        </w:rPr>
        <w:t>2)</w:t>
      </w:r>
      <w:r w:rsidRPr="0062440F">
        <w:rPr>
          <w:rFonts w:eastAsia="Times New Roman"/>
          <w:b/>
          <w:szCs w:val="17"/>
        </w:rPr>
        <w:tab/>
        <w:t>Black mask and snorkel.</w:t>
      </w:r>
    </w:p>
    <w:p w:rsidR="0062440F" w:rsidRPr="0062440F" w:rsidRDefault="0062440F" w:rsidP="0062440F">
      <w:pPr>
        <w:tabs>
          <w:tab w:val="left" w:pos="426"/>
        </w:tabs>
        <w:spacing w:after="70"/>
        <w:ind w:left="142"/>
        <w:rPr>
          <w:rFonts w:eastAsia="Times New Roman"/>
          <w:b/>
          <w:szCs w:val="17"/>
        </w:rPr>
      </w:pPr>
      <w:r w:rsidRPr="0062440F">
        <w:rPr>
          <w:rFonts w:eastAsia="Times New Roman"/>
          <w:b/>
          <w:szCs w:val="17"/>
        </w:rPr>
        <w:t>3)</w:t>
      </w:r>
      <w:r w:rsidRPr="0062440F">
        <w:rPr>
          <w:rFonts w:eastAsia="Times New Roman"/>
          <w:b/>
          <w:szCs w:val="17"/>
        </w:rPr>
        <w:tab/>
        <w:t>Yellow fin.</w:t>
      </w:r>
    </w:p>
    <w:p w:rsidR="0062440F" w:rsidRPr="0062440F" w:rsidRDefault="0062440F" w:rsidP="0062440F">
      <w:pPr>
        <w:tabs>
          <w:tab w:val="left" w:pos="426"/>
        </w:tabs>
        <w:spacing w:after="70"/>
        <w:ind w:left="142"/>
        <w:rPr>
          <w:rFonts w:eastAsia="Times New Roman"/>
          <w:b/>
          <w:szCs w:val="17"/>
        </w:rPr>
      </w:pPr>
      <w:r w:rsidRPr="0062440F">
        <w:rPr>
          <w:rFonts w:eastAsia="Times New Roman"/>
          <w:b/>
          <w:szCs w:val="17"/>
        </w:rPr>
        <w:t>4)</w:t>
      </w:r>
      <w:r w:rsidRPr="0062440F">
        <w:rPr>
          <w:rFonts w:eastAsia="Times New Roman"/>
          <w:b/>
          <w:szCs w:val="17"/>
        </w:rPr>
        <w:tab/>
        <w:t xml:space="preserve">Empty black catch bag. </w:t>
      </w:r>
    </w:p>
    <w:p w:rsidR="0062440F" w:rsidRPr="0062440F" w:rsidRDefault="0062440F" w:rsidP="0062440F">
      <w:pPr>
        <w:tabs>
          <w:tab w:val="left" w:pos="426"/>
        </w:tabs>
        <w:spacing w:after="70"/>
        <w:ind w:left="142"/>
        <w:rPr>
          <w:rFonts w:eastAsia="Times New Roman"/>
          <w:b/>
          <w:szCs w:val="17"/>
        </w:rPr>
      </w:pPr>
      <w:r w:rsidRPr="0062440F">
        <w:rPr>
          <w:rFonts w:eastAsia="Times New Roman"/>
          <w:b/>
          <w:szCs w:val="17"/>
        </w:rPr>
        <w:t>5)</w:t>
      </w:r>
      <w:r w:rsidRPr="0062440F">
        <w:rPr>
          <w:rFonts w:eastAsia="Times New Roman"/>
          <w:b/>
          <w:szCs w:val="17"/>
        </w:rPr>
        <w:tab/>
        <w:t xml:space="preserve">Yellow handled ab bars. </w:t>
      </w:r>
    </w:p>
    <w:p w:rsidR="0062440F" w:rsidRPr="0062440F" w:rsidRDefault="0062440F" w:rsidP="0062440F">
      <w:pPr>
        <w:tabs>
          <w:tab w:val="left" w:pos="426"/>
        </w:tabs>
        <w:ind w:left="142"/>
        <w:rPr>
          <w:rFonts w:eastAsia="Times New Roman"/>
          <w:b/>
          <w:szCs w:val="17"/>
        </w:rPr>
      </w:pPr>
      <w:r w:rsidRPr="0062440F">
        <w:rPr>
          <w:rFonts w:eastAsia="Times New Roman"/>
          <w:b/>
          <w:szCs w:val="17"/>
        </w:rPr>
        <w:t>6)</w:t>
      </w:r>
      <w:r w:rsidRPr="0062440F">
        <w:rPr>
          <w:rFonts w:eastAsia="Times New Roman"/>
          <w:b/>
          <w:szCs w:val="17"/>
        </w:rPr>
        <w:tab/>
        <w:t>Blue snorkel.</w:t>
      </w:r>
    </w:p>
    <w:p w:rsidR="0062440F" w:rsidRPr="0062440F" w:rsidRDefault="0062440F" w:rsidP="0062440F">
      <w:pPr>
        <w:pStyle w:val="GG-body"/>
      </w:pPr>
      <w:r w:rsidRPr="0062440F">
        <w:t xml:space="preserve">The above items were suspected to have been used, or intended to be used, in contravention of the </w:t>
      </w:r>
      <w:r w:rsidRPr="0062440F">
        <w:rPr>
          <w:i/>
        </w:rPr>
        <w:t>Fisheries Management Act, 2007</w:t>
      </w:r>
      <w:r w:rsidRPr="0062440F">
        <w:t>, and were taken into possession at:</w:t>
      </w:r>
    </w:p>
    <w:p w:rsidR="0062440F" w:rsidRPr="0062440F" w:rsidRDefault="0062440F" w:rsidP="0062440F">
      <w:pPr>
        <w:ind w:left="142"/>
        <w:rPr>
          <w:rFonts w:eastAsia="Times New Roman"/>
          <w:b/>
          <w:szCs w:val="17"/>
        </w:rPr>
      </w:pPr>
      <w:r w:rsidRPr="0062440F">
        <w:rPr>
          <w:rFonts w:eastAsia="Times New Roman"/>
          <w:b/>
          <w:szCs w:val="17"/>
        </w:rPr>
        <w:t xml:space="preserve">POINT PEARCE </w:t>
      </w:r>
    </w:p>
    <w:p w:rsidR="0062440F" w:rsidRPr="0062440F" w:rsidRDefault="0062440F" w:rsidP="0062440F">
      <w:pPr>
        <w:pStyle w:val="GG-body"/>
      </w:pPr>
      <w:r w:rsidRPr="0062440F">
        <w:t>After the expiration of one month from the date of this notice the items listed above shall, on the order of the Minister for Agriculture, Food and Fisheries, be forfeited to the Crown and shall be either disposed of by sale or destruction.</w:t>
      </w:r>
    </w:p>
    <w:p w:rsidR="0062440F" w:rsidRPr="0062440F" w:rsidRDefault="0062440F" w:rsidP="0062440F">
      <w:pPr>
        <w:rPr>
          <w:rFonts w:eastAsia="Times New Roman"/>
          <w:szCs w:val="17"/>
        </w:rPr>
      </w:pPr>
      <w:r w:rsidRPr="0062440F">
        <w:rPr>
          <w:rFonts w:eastAsia="Times New Roman"/>
          <w:szCs w:val="17"/>
        </w:rPr>
        <w:t xml:space="preserve">The above items may be viewed at the </w:t>
      </w:r>
      <w:r w:rsidRPr="0062440F">
        <w:rPr>
          <w:rFonts w:eastAsia="Times New Roman"/>
          <w:b/>
          <w:szCs w:val="17"/>
        </w:rPr>
        <w:t>Moonta</w:t>
      </w:r>
      <w:r w:rsidRPr="0062440F">
        <w:rPr>
          <w:rFonts w:eastAsia="Times New Roman"/>
          <w:szCs w:val="17"/>
        </w:rPr>
        <w:t xml:space="preserve"> office of the Department of Primary Industries and Regions SA, Fisheries and Aquaculture.</w:t>
      </w:r>
    </w:p>
    <w:p w:rsidR="0062440F" w:rsidRPr="0062440F" w:rsidRDefault="0062440F" w:rsidP="0062440F">
      <w:pPr>
        <w:spacing w:after="0"/>
        <w:rPr>
          <w:rFonts w:eastAsia="Times New Roman"/>
          <w:szCs w:val="17"/>
        </w:rPr>
      </w:pPr>
      <w:r w:rsidRPr="0062440F">
        <w:rPr>
          <w:rFonts w:eastAsia="Times New Roman"/>
          <w:szCs w:val="17"/>
        </w:rPr>
        <w:t>Dated: 28 May 2020</w:t>
      </w:r>
    </w:p>
    <w:p w:rsidR="0062440F" w:rsidRPr="0062440F" w:rsidRDefault="0062440F" w:rsidP="0062440F">
      <w:pPr>
        <w:spacing w:after="0"/>
        <w:jc w:val="right"/>
        <w:rPr>
          <w:rFonts w:eastAsia="Times New Roman"/>
          <w:smallCaps/>
          <w:szCs w:val="20"/>
        </w:rPr>
      </w:pPr>
      <w:r w:rsidRPr="0062440F">
        <w:rPr>
          <w:rFonts w:eastAsia="Times New Roman"/>
          <w:smallCaps/>
          <w:szCs w:val="20"/>
        </w:rPr>
        <w:t>Bree Balmer</w:t>
      </w:r>
    </w:p>
    <w:p w:rsidR="0062440F" w:rsidRPr="0062440F" w:rsidRDefault="0062440F" w:rsidP="0062440F">
      <w:pPr>
        <w:spacing w:after="0"/>
        <w:jc w:val="right"/>
        <w:rPr>
          <w:rFonts w:eastAsia="Times New Roman"/>
          <w:szCs w:val="17"/>
        </w:rPr>
      </w:pPr>
      <w:r w:rsidRPr="0062440F">
        <w:rPr>
          <w:rFonts w:eastAsia="Times New Roman"/>
          <w:szCs w:val="17"/>
        </w:rPr>
        <w:t>Prosecutions Coordinator</w:t>
      </w:r>
    </w:p>
    <w:p w:rsidR="0062440F" w:rsidRPr="0062440F" w:rsidRDefault="0062440F" w:rsidP="0062440F">
      <w:pPr>
        <w:pBdr>
          <w:top w:val="single" w:sz="4" w:space="1" w:color="auto"/>
        </w:pBdr>
        <w:spacing w:before="100" w:after="0" w:line="14" w:lineRule="exact"/>
        <w:jc w:val="center"/>
        <w:rPr>
          <w:rFonts w:eastAsia="Times New Roman"/>
          <w:szCs w:val="17"/>
        </w:rPr>
      </w:pPr>
    </w:p>
    <w:p w:rsidR="0062440F" w:rsidRDefault="0062440F"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2440F" w:rsidRPr="0062440F" w:rsidRDefault="0062440F" w:rsidP="0062440F">
      <w:pPr>
        <w:jc w:val="center"/>
        <w:rPr>
          <w:caps/>
          <w:szCs w:val="17"/>
        </w:rPr>
      </w:pPr>
      <w:r w:rsidRPr="0062440F">
        <w:rPr>
          <w:caps/>
          <w:szCs w:val="17"/>
        </w:rPr>
        <w:t>FISHERIES MANAGEMENT ACT 2007</w:t>
      </w:r>
    </w:p>
    <w:p w:rsidR="0062440F" w:rsidRPr="0062440F" w:rsidRDefault="0062440F" w:rsidP="0062440F">
      <w:pPr>
        <w:jc w:val="center"/>
        <w:rPr>
          <w:smallCaps/>
          <w:szCs w:val="17"/>
        </w:rPr>
      </w:pPr>
      <w:r w:rsidRPr="0062440F">
        <w:rPr>
          <w:smallCaps/>
          <w:szCs w:val="17"/>
        </w:rPr>
        <w:t>Section 90 (2)</w:t>
      </w:r>
    </w:p>
    <w:p w:rsidR="0062440F" w:rsidRPr="0062440F" w:rsidRDefault="0062440F" w:rsidP="0062440F">
      <w:pPr>
        <w:jc w:val="center"/>
        <w:rPr>
          <w:i/>
          <w:szCs w:val="17"/>
        </w:rPr>
      </w:pPr>
      <w:r w:rsidRPr="0062440F">
        <w:rPr>
          <w:i/>
          <w:szCs w:val="17"/>
        </w:rPr>
        <w:t>Items Seized</w:t>
      </w:r>
    </w:p>
    <w:p w:rsidR="0062440F" w:rsidRPr="0062440F" w:rsidRDefault="0062440F" w:rsidP="0062440F">
      <w:pPr>
        <w:rPr>
          <w:rFonts w:eastAsia="Times New Roman"/>
          <w:szCs w:val="17"/>
        </w:rPr>
      </w:pPr>
      <w:r w:rsidRPr="0062440F">
        <w:rPr>
          <w:rFonts w:eastAsia="Times New Roman"/>
          <w:szCs w:val="17"/>
        </w:rPr>
        <w:t xml:space="preserve">Notice is hereby given pursuant to Section 90 (2) of the </w:t>
      </w:r>
      <w:r w:rsidRPr="0062440F">
        <w:rPr>
          <w:rFonts w:eastAsia="Times New Roman"/>
          <w:i/>
          <w:szCs w:val="17"/>
        </w:rPr>
        <w:t>Fisheries Management Act, 2007</w:t>
      </w:r>
      <w:r w:rsidRPr="0062440F">
        <w:rPr>
          <w:rFonts w:eastAsia="Times New Roman"/>
          <w:szCs w:val="17"/>
        </w:rPr>
        <w:t>, that the following items have been seized by Officers of the Department of Primary Industries and Regions SA, Fisheries and Aquaculture at PORT MACDONNELL on 19/02/2020.</w:t>
      </w:r>
    </w:p>
    <w:p w:rsidR="0062440F" w:rsidRPr="0062440F" w:rsidRDefault="0062440F" w:rsidP="0062440F">
      <w:pPr>
        <w:numPr>
          <w:ilvl w:val="0"/>
          <w:numId w:val="22"/>
        </w:numPr>
        <w:ind w:left="426" w:hanging="284"/>
        <w:rPr>
          <w:rFonts w:eastAsia="Times New Roman"/>
          <w:b/>
          <w:szCs w:val="24"/>
        </w:rPr>
      </w:pPr>
      <w:r w:rsidRPr="0062440F">
        <w:rPr>
          <w:rFonts w:eastAsia="Times New Roman"/>
          <w:b/>
          <w:szCs w:val="24"/>
        </w:rPr>
        <w:t>Rock Lobster pot with red neck containing drilled holes - S083 marking in neck drilled out. Red 4L float, yellow rope, black bait basket and red bait basket. PIRSA 2018/19 recreation registration tag attached, # 147277.</w:t>
      </w:r>
    </w:p>
    <w:p w:rsidR="0062440F" w:rsidRPr="0062440F" w:rsidRDefault="0062440F" w:rsidP="0062440F">
      <w:pPr>
        <w:pStyle w:val="GG-body"/>
      </w:pPr>
      <w:r w:rsidRPr="0062440F">
        <w:t xml:space="preserve">The above items were suspected to have been used, or intended to be used, in contravention of the </w:t>
      </w:r>
      <w:r w:rsidRPr="0062440F">
        <w:rPr>
          <w:i/>
        </w:rPr>
        <w:t>Fisheries Management Act, 2007</w:t>
      </w:r>
      <w:r w:rsidRPr="0062440F">
        <w:t>, and were taken into possession at:</w:t>
      </w:r>
    </w:p>
    <w:p w:rsidR="0062440F" w:rsidRPr="0062440F" w:rsidRDefault="0062440F" w:rsidP="0062440F">
      <w:pPr>
        <w:ind w:left="142"/>
        <w:rPr>
          <w:rFonts w:eastAsia="Times New Roman"/>
          <w:b/>
          <w:szCs w:val="17"/>
        </w:rPr>
      </w:pPr>
      <w:r w:rsidRPr="0062440F">
        <w:rPr>
          <w:rFonts w:eastAsia="Times New Roman"/>
          <w:b/>
          <w:szCs w:val="24"/>
        </w:rPr>
        <w:t>PORT MACDONNELL</w:t>
      </w:r>
    </w:p>
    <w:p w:rsidR="0062440F" w:rsidRPr="0062440F" w:rsidRDefault="0062440F" w:rsidP="0062440F">
      <w:pPr>
        <w:rPr>
          <w:rFonts w:eastAsia="Times New Roman"/>
          <w:szCs w:val="17"/>
        </w:rPr>
      </w:pPr>
      <w:r w:rsidRPr="0062440F">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62440F" w:rsidRPr="0062440F" w:rsidRDefault="0062440F" w:rsidP="0062440F">
      <w:pPr>
        <w:rPr>
          <w:rFonts w:eastAsia="Times New Roman"/>
          <w:szCs w:val="17"/>
        </w:rPr>
      </w:pPr>
      <w:r w:rsidRPr="0062440F">
        <w:rPr>
          <w:rFonts w:eastAsia="Times New Roman"/>
          <w:szCs w:val="17"/>
        </w:rPr>
        <w:t xml:space="preserve">The above items may be viewed at the </w:t>
      </w:r>
      <w:r w:rsidRPr="0062440F">
        <w:rPr>
          <w:rFonts w:eastAsia="Times New Roman"/>
          <w:b/>
          <w:szCs w:val="24"/>
        </w:rPr>
        <w:t>Mount Gambier</w:t>
      </w:r>
      <w:r w:rsidRPr="0062440F">
        <w:rPr>
          <w:rFonts w:eastAsia="Times New Roman"/>
          <w:b/>
          <w:szCs w:val="17"/>
        </w:rPr>
        <w:t xml:space="preserve"> </w:t>
      </w:r>
      <w:r w:rsidRPr="0062440F">
        <w:rPr>
          <w:rFonts w:eastAsia="Times New Roman"/>
          <w:szCs w:val="17"/>
        </w:rPr>
        <w:t>office of the Department of Primary Industries and Regions SA, Fisheries and Aquaculture.</w:t>
      </w:r>
    </w:p>
    <w:p w:rsidR="0062440F" w:rsidRPr="0062440F" w:rsidRDefault="0062440F" w:rsidP="0062440F">
      <w:pPr>
        <w:spacing w:after="0"/>
        <w:rPr>
          <w:rFonts w:eastAsia="Times New Roman"/>
          <w:szCs w:val="17"/>
        </w:rPr>
      </w:pPr>
      <w:r w:rsidRPr="0062440F">
        <w:rPr>
          <w:rFonts w:eastAsia="Times New Roman"/>
          <w:szCs w:val="17"/>
        </w:rPr>
        <w:t>Dated: 28 May 2020</w:t>
      </w:r>
    </w:p>
    <w:p w:rsidR="0062440F" w:rsidRPr="0062440F" w:rsidRDefault="0062440F" w:rsidP="0062440F">
      <w:pPr>
        <w:spacing w:after="0"/>
        <w:jc w:val="right"/>
        <w:rPr>
          <w:rFonts w:eastAsia="Times New Roman"/>
          <w:smallCaps/>
          <w:szCs w:val="20"/>
        </w:rPr>
      </w:pPr>
      <w:r w:rsidRPr="0062440F">
        <w:rPr>
          <w:rFonts w:eastAsia="Times New Roman"/>
          <w:smallCaps/>
          <w:szCs w:val="20"/>
        </w:rPr>
        <w:t>Bree Balmer</w:t>
      </w:r>
    </w:p>
    <w:p w:rsidR="0062440F" w:rsidRPr="0062440F" w:rsidRDefault="0062440F" w:rsidP="0062440F">
      <w:pPr>
        <w:spacing w:after="0"/>
        <w:jc w:val="right"/>
        <w:rPr>
          <w:rFonts w:eastAsia="Times New Roman"/>
          <w:szCs w:val="17"/>
        </w:rPr>
      </w:pPr>
      <w:r w:rsidRPr="0062440F">
        <w:rPr>
          <w:rFonts w:eastAsia="Times New Roman"/>
          <w:szCs w:val="17"/>
        </w:rPr>
        <w:t>Prosecutions Coordinator</w:t>
      </w:r>
    </w:p>
    <w:p w:rsidR="0062440F" w:rsidRPr="0062440F" w:rsidRDefault="0062440F" w:rsidP="0062440F">
      <w:pPr>
        <w:pBdr>
          <w:top w:val="single" w:sz="4" w:space="1" w:color="auto"/>
        </w:pBdr>
        <w:spacing w:before="100" w:after="0" w:line="14" w:lineRule="exact"/>
        <w:jc w:val="center"/>
        <w:rPr>
          <w:rFonts w:eastAsia="Times New Roman"/>
          <w:szCs w:val="17"/>
        </w:rPr>
      </w:pPr>
    </w:p>
    <w:p w:rsidR="000C7E56" w:rsidRPr="000C7E56" w:rsidRDefault="000C7E56" w:rsidP="000C7E56">
      <w:pPr>
        <w:jc w:val="center"/>
        <w:rPr>
          <w:caps/>
          <w:szCs w:val="17"/>
        </w:rPr>
      </w:pPr>
      <w:r w:rsidRPr="000C7E56">
        <w:rPr>
          <w:caps/>
          <w:szCs w:val="17"/>
        </w:rPr>
        <w:lastRenderedPageBreak/>
        <w:t>FISHERIES MANAGEMENT ACT 2007</w:t>
      </w:r>
    </w:p>
    <w:p w:rsidR="000C7E56" w:rsidRPr="000C7E56" w:rsidRDefault="000C7E56" w:rsidP="000C7E56">
      <w:pPr>
        <w:jc w:val="center"/>
        <w:rPr>
          <w:smallCaps/>
          <w:szCs w:val="17"/>
        </w:rPr>
      </w:pPr>
      <w:r w:rsidRPr="000C7E56">
        <w:rPr>
          <w:smallCaps/>
          <w:szCs w:val="17"/>
        </w:rPr>
        <w:t>Section 90 (2)</w:t>
      </w:r>
    </w:p>
    <w:p w:rsidR="000C7E56" w:rsidRPr="000C7E56" w:rsidRDefault="000C7E56" w:rsidP="000C7E56">
      <w:pPr>
        <w:jc w:val="center"/>
        <w:rPr>
          <w:i/>
          <w:szCs w:val="17"/>
        </w:rPr>
      </w:pPr>
      <w:r w:rsidRPr="000C7E56">
        <w:rPr>
          <w:i/>
          <w:szCs w:val="17"/>
        </w:rPr>
        <w:t>Items Seized</w:t>
      </w:r>
    </w:p>
    <w:p w:rsidR="000C7E56" w:rsidRPr="000C7E56" w:rsidRDefault="000C7E56" w:rsidP="000C7E56">
      <w:pPr>
        <w:rPr>
          <w:rFonts w:eastAsia="Times New Roman"/>
          <w:szCs w:val="17"/>
        </w:rPr>
      </w:pPr>
      <w:r w:rsidRPr="000C7E56">
        <w:rPr>
          <w:rFonts w:eastAsia="Times New Roman"/>
          <w:szCs w:val="17"/>
        </w:rPr>
        <w:t xml:space="preserve">Notice is hereby given pursuant to Section 90 (2) of the </w:t>
      </w:r>
      <w:r w:rsidRPr="000C7E56">
        <w:rPr>
          <w:rFonts w:eastAsia="Times New Roman"/>
          <w:i/>
          <w:szCs w:val="17"/>
        </w:rPr>
        <w:t>Fisheries Management Act, 2007</w:t>
      </w:r>
      <w:r w:rsidRPr="000C7E56">
        <w:rPr>
          <w:rFonts w:eastAsia="Times New Roman"/>
          <w:szCs w:val="17"/>
        </w:rPr>
        <w:t>, that the following items have been seized by Officers of the Department of Primary Industries and Regions SA, Fisheries and Aquaculture at PORT MACDONNELL on 8/06/2018.</w:t>
      </w:r>
    </w:p>
    <w:p w:rsidR="000C7E56" w:rsidRPr="000C7E56" w:rsidRDefault="000C7E56" w:rsidP="000C7E56">
      <w:pPr>
        <w:numPr>
          <w:ilvl w:val="0"/>
          <w:numId w:val="23"/>
        </w:numPr>
        <w:ind w:left="426" w:hanging="284"/>
        <w:rPr>
          <w:rFonts w:eastAsia="Times New Roman"/>
          <w:b/>
          <w:szCs w:val="24"/>
        </w:rPr>
      </w:pPr>
      <w:r w:rsidRPr="000C7E56">
        <w:rPr>
          <w:rFonts w:eastAsia="Times New Roman"/>
          <w:b/>
          <w:szCs w:val="24"/>
        </w:rPr>
        <w:t>Rock lobster pot with red neck, blue/green rope and 4 litre red float.</w:t>
      </w:r>
    </w:p>
    <w:p w:rsidR="000C7E56" w:rsidRPr="000C7E56" w:rsidRDefault="000C7E56" w:rsidP="000C7E56">
      <w:pPr>
        <w:tabs>
          <w:tab w:val="left" w:pos="426"/>
        </w:tabs>
        <w:rPr>
          <w:rFonts w:eastAsia="Times New Roman"/>
          <w:szCs w:val="17"/>
        </w:rPr>
      </w:pPr>
      <w:r w:rsidRPr="000C7E56">
        <w:rPr>
          <w:rFonts w:eastAsia="Times New Roman"/>
          <w:szCs w:val="17"/>
        </w:rPr>
        <w:t xml:space="preserve">The above items were suspected to have been used, or intended to be used, in contravention of the </w:t>
      </w:r>
      <w:r w:rsidRPr="000C7E56">
        <w:rPr>
          <w:rFonts w:eastAsia="Times New Roman"/>
          <w:i/>
          <w:szCs w:val="17"/>
        </w:rPr>
        <w:t>Fisheries Management Act, 2007</w:t>
      </w:r>
      <w:r w:rsidRPr="000C7E56">
        <w:rPr>
          <w:rFonts w:eastAsia="Times New Roman"/>
          <w:szCs w:val="17"/>
        </w:rPr>
        <w:t>, and were taken into possession at:</w:t>
      </w:r>
    </w:p>
    <w:p w:rsidR="000C7E56" w:rsidRPr="000C7E56" w:rsidRDefault="000C7E56" w:rsidP="000C7E56">
      <w:pPr>
        <w:ind w:left="142"/>
        <w:rPr>
          <w:rFonts w:eastAsia="Times New Roman"/>
          <w:b/>
          <w:szCs w:val="17"/>
        </w:rPr>
      </w:pPr>
      <w:r w:rsidRPr="000C7E56">
        <w:rPr>
          <w:rFonts w:eastAsia="Times New Roman"/>
          <w:b/>
          <w:szCs w:val="17"/>
        </w:rPr>
        <w:t>PORT MACDONNELL</w:t>
      </w:r>
    </w:p>
    <w:p w:rsidR="000C7E56" w:rsidRPr="000C7E56" w:rsidRDefault="000C7E56" w:rsidP="000C7E56">
      <w:pPr>
        <w:pStyle w:val="GG-body"/>
      </w:pPr>
      <w:r w:rsidRPr="000C7E56">
        <w:t>After the expiration of one month from the date of this notice the items listed above shall, on the order of the Minister for Agriculture, Food and Fisheries, be forfeited to the Crown and shall be either disposed of by sale or destruction.</w:t>
      </w:r>
    </w:p>
    <w:p w:rsidR="000C7E56" w:rsidRPr="000C7E56" w:rsidRDefault="000C7E56" w:rsidP="000C7E56">
      <w:pPr>
        <w:rPr>
          <w:rFonts w:eastAsia="Times New Roman"/>
          <w:szCs w:val="17"/>
        </w:rPr>
      </w:pPr>
      <w:r w:rsidRPr="000C7E56">
        <w:rPr>
          <w:rFonts w:eastAsia="Times New Roman"/>
          <w:szCs w:val="17"/>
        </w:rPr>
        <w:t xml:space="preserve">The above items may be viewed at the </w:t>
      </w:r>
      <w:r w:rsidRPr="000C7E56">
        <w:rPr>
          <w:rFonts w:eastAsia="Times New Roman"/>
          <w:b/>
          <w:szCs w:val="17"/>
        </w:rPr>
        <w:t xml:space="preserve">Mount Gambier </w:t>
      </w:r>
      <w:r w:rsidRPr="000C7E56">
        <w:rPr>
          <w:rFonts w:eastAsia="Times New Roman"/>
          <w:szCs w:val="17"/>
        </w:rPr>
        <w:t>office of the Department of Primary Industries and Regions SA, Fisheries and Aquaculture.</w:t>
      </w:r>
    </w:p>
    <w:p w:rsidR="000C7E56" w:rsidRPr="000C7E56" w:rsidRDefault="000C7E56" w:rsidP="000C7E56">
      <w:pPr>
        <w:spacing w:after="0"/>
        <w:rPr>
          <w:rFonts w:eastAsia="Times New Roman"/>
          <w:szCs w:val="17"/>
        </w:rPr>
      </w:pPr>
      <w:r w:rsidRPr="000C7E56">
        <w:rPr>
          <w:rFonts w:eastAsia="Times New Roman"/>
          <w:szCs w:val="17"/>
        </w:rPr>
        <w:t>Dated: 28 May 2020</w:t>
      </w:r>
    </w:p>
    <w:p w:rsidR="000C7E56" w:rsidRPr="000C7E56" w:rsidRDefault="000C7E56" w:rsidP="000C7E56">
      <w:pPr>
        <w:spacing w:after="0"/>
        <w:jc w:val="right"/>
        <w:rPr>
          <w:rFonts w:eastAsia="Times New Roman"/>
          <w:smallCaps/>
          <w:szCs w:val="20"/>
        </w:rPr>
      </w:pPr>
      <w:r w:rsidRPr="000C7E56">
        <w:rPr>
          <w:rFonts w:eastAsia="Times New Roman"/>
          <w:smallCaps/>
          <w:szCs w:val="20"/>
        </w:rPr>
        <w:t>Bree Balmer</w:t>
      </w:r>
    </w:p>
    <w:p w:rsidR="000C7E56" w:rsidRPr="000C7E56" w:rsidRDefault="000C7E56" w:rsidP="000C7E56">
      <w:pPr>
        <w:spacing w:after="0"/>
        <w:jc w:val="right"/>
        <w:rPr>
          <w:rFonts w:eastAsia="Times New Roman"/>
          <w:szCs w:val="17"/>
        </w:rPr>
      </w:pPr>
      <w:r w:rsidRPr="000C7E56">
        <w:rPr>
          <w:rFonts w:eastAsia="Times New Roman"/>
          <w:szCs w:val="17"/>
        </w:rPr>
        <w:t>Prosecutions Coordinator</w:t>
      </w:r>
    </w:p>
    <w:p w:rsidR="000C7E56" w:rsidRPr="000C7E56" w:rsidRDefault="000C7E56" w:rsidP="000C7E56">
      <w:pPr>
        <w:pBdr>
          <w:top w:val="single" w:sz="4" w:space="1" w:color="auto"/>
        </w:pBdr>
        <w:spacing w:before="100" w:after="0" w:line="14" w:lineRule="exact"/>
        <w:jc w:val="center"/>
        <w:rPr>
          <w:rFonts w:eastAsia="Times New Roman"/>
          <w:szCs w:val="17"/>
        </w:rPr>
      </w:pPr>
    </w:p>
    <w:p w:rsidR="0062440F" w:rsidRDefault="0062440F"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C7E56" w:rsidRPr="000C7E56" w:rsidRDefault="000C7E56" w:rsidP="000C7E56">
      <w:pPr>
        <w:jc w:val="center"/>
        <w:rPr>
          <w:caps/>
          <w:szCs w:val="17"/>
        </w:rPr>
      </w:pPr>
      <w:r w:rsidRPr="000C7E56">
        <w:rPr>
          <w:caps/>
          <w:szCs w:val="17"/>
        </w:rPr>
        <w:t>FISHERIES MANAGEMENT ACT 2007</w:t>
      </w:r>
    </w:p>
    <w:p w:rsidR="000C7E56" w:rsidRPr="000C7E56" w:rsidRDefault="000C7E56" w:rsidP="000C7E56">
      <w:pPr>
        <w:jc w:val="center"/>
        <w:rPr>
          <w:smallCaps/>
          <w:szCs w:val="17"/>
        </w:rPr>
      </w:pPr>
      <w:r w:rsidRPr="000C7E56">
        <w:rPr>
          <w:smallCaps/>
          <w:szCs w:val="17"/>
        </w:rPr>
        <w:t>Section 90 (2)</w:t>
      </w:r>
    </w:p>
    <w:p w:rsidR="000C7E56" w:rsidRPr="000C7E56" w:rsidRDefault="000C7E56" w:rsidP="000C7E56">
      <w:pPr>
        <w:jc w:val="center"/>
        <w:rPr>
          <w:i/>
          <w:szCs w:val="17"/>
        </w:rPr>
      </w:pPr>
      <w:r w:rsidRPr="000C7E56">
        <w:rPr>
          <w:i/>
          <w:szCs w:val="17"/>
        </w:rPr>
        <w:t>Items Seized</w:t>
      </w:r>
    </w:p>
    <w:p w:rsidR="000C7E56" w:rsidRPr="000C7E56" w:rsidRDefault="000C7E56" w:rsidP="000C7E56">
      <w:pPr>
        <w:rPr>
          <w:rFonts w:eastAsia="Times New Roman"/>
          <w:szCs w:val="17"/>
        </w:rPr>
      </w:pPr>
      <w:r w:rsidRPr="000C7E56">
        <w:rPr>
          <w:rFonts w:eastAsia="Times New Roman"/>
          <w:szCs w:val="17"/>
        </w:rPr>
        <w:t xml:space="preserve">Notice is hereby given pursuant to Section 90 (2) of the </w:t>
      </w:r>
      <w:r w:rsidRPr="000C7E56">
        <w:rPr>
          <w:rFonts w:eastAsia="Times New Roman"/>
          <w:i/>
          <w:szCs w:val="17"/>
        </w:rPr>
        <w:t>Fisheries Management Act, 2007</w:t>
      </w:r>
      <w:r w:rsidRPr="000C7E56">
        <w:rPr>
          <w:rFonts w:eastAsia="Times New Roman"/>
          <w:szCs w:val="17"/>
        </w:rPr>
        <w:t>, that the following items have been seized by Officers of the Department of Primary Industries and Regions SA, Fisheries and Aquaculture at PORT WAKEFIELD on 25/03/2020.</w:t>
      </w:r>
    </w:p>
    <w:p w:rsidR="000C7E56" w:rsidRPr="000C7E56" w:rsidRDefault="000C7E56" w:rsidP="000C7E56">
      <w:pPr>
        <w:numPr>
          <w:ilvl w:val="0"/>
          <w:numId w:val="24"/>
        </w:numPr>
        <w:ind w:left="426" w:hanging="284"/>
        <w:rPr>
          <w:rFonts w:eastAsia="Times New Roman"/>
          <w:b/>
          <w:szCs w:val="24"/>
        </w:rPr>
      </w:pPr>
      <w:r w:rsidRPr="000C7E56">
        <w:rPr>
          <w:rFonts w:eastAsia="Times New Roman"/>
          <w:b/>
          <w:szCs w:val="24"/>
        </w:rPr>
        <w:t>Blue crate containing 3 layers of stainless steel hooks, on pink monofilament line, with clip separated by 2 hessian bags.</w:t>
      </w:r>
    </w:p>
    <w:p w:rsidR="000C7E56" w:rsidRPr="000C7E56" w:rsidRDefault="000C7E56" w:rsidP="000C7E56">
      <w:pPr>
        <w:numPr>
          <w:ilvl w:val="0"/>
          <w:numId w:val="24"/>
        </w:numPr>
        <w:ind w:left="426" w:hanging="284"/>
        <w:rPr>
          <w:rFonts w:eastAsia="Times New Roman"/>
          <w:b/>
          <w:spacing w:val="-2"/>
          <w:szCs w:val="24"/>
        </w:rPr>
      </w:pPr>
      <w:r w:rsidRPr="000C7E56">
        <w:rPr>
          <w:rFonts w:eastAsia="Times New Roman"/>
          <w:b/>
          <w:spacing w:val="-2"/>
          <w:szCs w:val="24"/>
        </w:rPr>
        <w:t>Blue container marked Altarnjak Choice with black handles, containing white rope, blue/yellow rope and brake drum anchor.</w:t>
      </w:r>
    </w:p>
    <w:p w:rsidR="000C7E56" w:rsidRPr="000C7E56" w:rsidRDefault="000C7E56" w:rsidP="000C7E56">
      <w:pPr>
        <w:numPr>
          <w:ilvl w:val="0"/>
          <w:numId w:val="24"/>
        </w:numPr>
        <w:ind w:left="426" w:hanging="284"/>
        <w:rPr>
          <w:rFonts w:eastAsia="Times New Roman"/>
          <w:b/>
          <w:szCs w:val="24"/>
        </w:rPr>
      </w:pPr>
      <w:r w:rsidRPr="000C7E56">
        <w:rPr>
          <w:rFonts w:eastAsia="Times New Roman"/>
          <w:b/>
          <w:szCs w:val="24"/>
        </w:rPr>
        <w:t>2 metal anchor rods with black rope and 1 stainless steel gaff &amp; 6” 1/2 football white float marked Fisheries with green pale monofilament 2mm line with regular white cord markings.</w:t>
      </w:r>
    </w:p>
    <w:p w:rsidR="000C7E56" w:rsidRPr="000C7E56" w:rsidRDefault="000C7E56" w:rsidP="000C7E56">
      <w:pPr>
        <w:tabs>
          <w:tab w:val="left" w:pos="426"/>
        </w:tabs>
        <w:rPr>
          <w:rFonts w:eastAsia="Times New Roman"/>
          <w:szCs w:val="17"/>
        </w:rPr>
      </w:pPr>
      <w:r w:rsidRPr="000C7E56">
        <w:rPr>
          <w:rFonts w:eastAsia="Times New Roman"/>
          <w:szCs w:val="17"/>
        </w:rPr>
        <w:t xml:space="preserve">The above items were suspected to have been used, or intended to be used, in contravention of the </w:t>
      </w:r>
      <w:r w:rsidRPr="000C7E56">
        <w:rPr>
          <w:rFonts w:eastAsia="Times New Roman"/>
          <w:i/>
          <w:szCs w:val="17"/>
        </w:rPr>
        <w:t>Fisheries Management Act, 2007</w:t>
      </w:r>
      <w:r w:rsidRPr="000C7E56">
        <w:rPr>
          <w:rFonts w:eastAsia="Times New Roman"/>
          <w:szCs w:val="17"/>
        </w:rPr>
        <w:t>, and were taken into possession at:</w:t>
      </w:r>
    </w:p>
    <w:p w:rsidR="000C7E56" w:rsidRPr="000C7E56" w:rsidRDefault="000C7E56" w:rsidP="000C7E56">
      <w:pPr>
        <w:ind w:left="142"/>
        <w:rPr>
          <w:rFonts w:eastAsia="Times New Roman"/>
          <w:b/>
          <w:szCs w:val="17"/>
        </w:rPr>
      </w:pPr>
      <w:r w:rsidRPr="000C7E56">
        <w:rPr>
          <w:rFonts w:eastAsia="Times New Roman"/>
          <w:b/>
          <w:szCs w:val="24"/>
        </w:rPr>
        <w:t>PORT WAKEFIELD</w:t>
      </w:r>
    </w:p>
    <w:p w:rsidR="000C7E56" w:rsidRPr="000C7E56" w:rsidRDefault="000C7E56" w:rsidP="000C7E56">
      <w:pPr>
        <w:rPr>
          <w:rFonts w:eastAsia="Times New Roman"/>
          <w:szCs w:val="17"/>
        </w:rPr>
      </w:pPr>
      <w:r w:rsidRPr="000C7E56">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0C7E56" w:rsidRPr="000C7E56" w:rsidRDefault="000C7E56" w:rsidP="000C7E56">
      <w:pPr>
        <w:rPr>
          <w:rFonts w:eastAsia="Times New Roman"/>
          <w:szCs w:val="17"/>
        </w:rPr>
      </w:pPr>
      <w:r w:rsidRPr="000C7E56">
        <w:rPr>
          <w:rFonts w:eastAsia="Times New Roman"/>
          <w:szCs w:val="17"/>
        </w:rPr>
        <w:t xml:space="preserve">The above items may be viewed at the </w:t>
      </w:r>
      <w:r w:rsidRPr="000C7E56">
        <w:rPr>
          <w:rFonts w:eastAsia="Times New Roman"/>
          <w:b/>
          <w:szCs w:val="24"/>
        </w:rPr>
        <w:t>Largs North</w:t>
      </w:r>
      <w:r w:rsidRPr="000C7E56">
        <w:rPr>
          <w:rFonts w:eastAsia="Times New Roman"/>
          <w:b/>
          <w:szCs w:val="17"/>
        </w:rPr>
        <w:t xml:space="preserve"> </w:t>
      </w:r>
      <w:r w:rsidRPr="000C7E56">
        <w:rPr>
          <w:rFonts w:eastAsia="Times New Roman"/>
          <w:szCs w:val="17"/>
        </w:rPr>
        <w:t>office of the Department of Primary Industries and Regions SA, Fisheries and Aquaculture.</w:t>
      </w:r>
    </w:p>
    <w:p w:rsidR="000C7E56" w:rsidRPr="000C7E56" w:rsidRDefault="000C7E56" w:rsidP="000C7E56">
      <w:pPr>
        <w:spacing w:after="0"/>
        <w:rPr>
          <w:rFonts w:eastAsia="Times New Roman"/>
          <w:szCs w:val="17"/>
        </w:rPr>
      </w:pPr>
      <w:r w:rsidRPr="000C7E56">
        <w:rPr>
          <w:rFonts w:eastAsia="Times New Roman"/>
          <w:szCs w:val="17"/>
        </w:rPr>
        <w:t>Dated: 28 May 2020</w:t>
      </w:r>
    </w:p>
    <w:p w:rsidR="000C7E56" w:rsidRPr="000C7E56" w:rsidRDefault="000C7E56" w:rsidP="000C7E56">
      <w:pPr>
        <w:spacing w:after="0"/>
        <w:jc w:val="right"/>
        <w:rPr>
          <w:rFonts w:eastAsia="Times New Roman"/>
          <w:smallCaps/>
          <w:szCs w:val="20"/>
        </w:rPr>
      </w:pPr>
      <w:r w:rsidRPr="000C7E56">
        <w:rPr>
          <w:rFonts w:eastAsia="Times New Roman"/>
          <w:smallCaps/>
          <w:szCs w:val="20"/>
        </w:rPr>
        <w:t>Bree Balmer</w:t>
      </w:r>
    </w:p>
    <w:p w:rsidR="000C7E56" w:rsidRPr="000C7E56" w:rsidRDefault="000C7E56" w:rsidP="000C7E56">
      <w:pPr>
        <w:spacing w:after="0"/>
        <w:jc w:val="right"/>
        <w:rPr>
          <w:rFonts w:eastAsia="Times New Roman"/>
          <w:szCs w:val="17"/>
        </w:rPr>
      </w:pPr>
      <w:r w:rsidRPr="000C7E56">
        <w:rPr>
          <w:rFonts w:eastAsia="Times New Roman"/>
          <w:szCs w:val="17"/>
        </w:rPr>
        <w:t>Prosecutions Coordinator</w:t>
      </w:r>
    </w:p>
    <w:p w:rsidR="000C7E56" w:rsidRPr="000C7E56" w:rsidRDefault="000C7E56" w:rsidP="000C7E56">
      <w:pPr>
        <w:pBdr>
          <w:top w:val="single" w:sz="4" w:space="1" w:color="auto"/>
        </w:pBdr>
        <w:spacing w:before="100" w:after="0" w:line="14" w:lineRule="exact"/>
        <w:jc w:val="center"/>
        <w:rPr>
          <w:rFonts w:eastAsia="Times New Roman"/>
          <w:szCs w:val="17"/>
        </w:rPr>
      </w:pPr>
    </w:p>
    <w:p w:rsidR="000C7E56" w:rsidRDefault="000C7E56"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C7E56" w:rsidRPr="000C7E56" w:rsidRDefault="000C7E56" w:rsidP="000C7E56">
      <w:pPr>
        <w:jc w:val="center"/>
        <w:rPr>
          <w:caps/>
          <w:szCs w:val="17"/>
        </w:rPr>
      </w:pPr>
      <w:r w:rsidRPr="000C7E56">
        <w:rPr>
          <w:caps/>
          <w:szCs w:val="17"/>
        </w:rPr>
        <w:t>FISHERIES MANAGEMENT ACT 2007</w:t>
      </w:r>
    </w:p>
    <w:p w:rsidR="000C7E56" w:rsidRPr="000C7E56" w:rsidRDefault="000C7E56" w:rsidP="000C7E56">
      <w:pPr>
        <w:jc w:val="center"/>
        <w:rPr>
          <w:smallCaps/>
          <w:szCs w:val="17"/>
        </w:rPr>
      </w:pPr>
      <w:r w:rsidRPr="000C7E56">
        <w:rPr>
          <w:smallCaps/>
          <w:szCs w:val="17"/>
        </w:rPr>
        <w:t>Section 90 (2)</w:t>
      </w:r>
    </w:p>
    <w:p w:rsidR="000C7E56" w:rsidRPr="000C7E56" w:rsidRDefault="000C7E56" w:rsidP="000C7E56">
      <w:pPr>
        <w:jc w:val="center"/>
        <w:rPr>
          <w:i/>
          <w:szCs w:val="17"/>
        </w:rPr>
      </w:pPr>
      <w:r w:rsidRPr="000C7E56">
        <w:rPr>
          <w:i/>
          <w:szCs w:val="17"/>
        </w:rPr>
        <w:t>Items Seized</w:t>
      </w:r>
    </w:p>
    <w:p w:rsidR="000C7E56" w:rsidRPr="000C7E56" w:rsidRDefault="000C7E56" w:rsidP="000C7E56">
      <w:pPr>
        <w:rPr>
          <w:rFonts w:eastAsia="Times New Roman"/>
          <w:szCs w:val="17"/>
        </w:rPr>
      </w:pPr>
      <w:r w:rsidRPr="000C7E56">
        <w:rPr>
          <w:rFonts w:eastAsia="Times New Roman"/>
          <w:szCs w:val="17"/>
        </w:rPr>
        <w:t xml:space="preserve">Notice is hereby given pursuant to Section 90 (2) of the </w:t>
      </w:r>
      <w:r w:rsidRPr="000C7E56">
        <w:rPr>
          <w:rFonts w:eastAsia="Times New Roman"/>
          <w:i/>
          <w:szCs w:val="17"/>
        </w:rPr>
        <w:t>Fisheries Management Act, 2007</w:t>
      </w:r>
      <w:r w:rsidRPr="000C7E56">
        <w:rPr>
          <w:rFonts w:eastAsia="Times New Roman"/>
          <w:szCs w:val="17"/>
        </w:rPr>
        <w:t>, that the following items have been seized by Officers of the Department of Primary Industries and Regions SA, Fisheries and Aquaculture at PORT WAKEFIELD on 25/03/2020.</w:t>
      </w:r>
    </w:p>
    <w:p w:rsidR="000C7E56" w:rsidRPr="000C7E56" w:rsidRDefault="000C7E56" w:rsidP="000C7E56">
      <w:pPr>
        <w:numPr>
          <w:ilvl w:val="0"/>
          <w:numId w:val="25"/>
        </w:numPr>
        <w:ind w:left="426" w:hanging="284"/>
        <w:rPr>
          <w:rFonts w:eastAsia="Times New Roman"/>
          <w:b/>
          <w:szCs w:val="24"/>
        </w:rPr>
      </w:pPr>
      <w:r w:rsidRPr="000C7E56">
        <w:rPr>
          <w:rFonts w:eastAsia="Times New Roman"/>
          <w:b/>
          <w:szCs w:val="24"/>
        </w:rPr>
        <w:t>Mesh net with white 8” float marked Fisheries Research Tracker and yellow noodle float with monofilament orange cork line. White rope lead line.</w:t>
      </w:r>
    </w:p>
    <w:p w:rsidR="000C7E56" w:rsidRPr="000C7E56" w:rsidRDefault="000C7E56" w:rsidP="000C7E56">
      <w:pPr>
        <w:numPr>
          <w:ilvl w:val="0"/>
          <w:numId w:val="25"/>
        </w:numPr>
        <w:ind w:left="426" w:hanging="284"/>
        <w:rPr>
          <w:rFonts w:eastAsia="Times New Roman"/>
          <w:b/>
          <w:szCs w:val="24"/>
        </w:rPr>
      </w:pPr>
      <w:r w:rsidRPr="000C7E56">
        <w:rPr>
          <w:rFonts w:eastAsia="Times New Roman"/>
          <w:b/>
          <w:szCs w:val="24"/>
        </w:rPr>
        <w:t>Large monofilament mesh net with orange cork line, lead line green rope, black cord and white rope. No floats attached.</w:t>
      </w:r>
    </w:p>
    <w:p w:rsidR="000C7E56" w:rsidRPr="000C7E56" w:rsidRDefault="000C7E56" w:rsidP="000C7E56">
      <w:pPr>
        <w:numPr>
          <w:ilvl w:val="0"/>
          <w:numId w:val="25"/>
        </w:numPr>
        <w:ind w:left="426" w:hanging="284"/>
        <w:rPr>
          <w:rFonts w:eastAsia="Times New Roman"/>
          <w:b/>
          <w:szCs w:val="24"/>
        </w:rPr>
      </w:pPr>
      <w:r w:rsidRPr="000C7E56">
        <w:rPr>
          <w:rFonts w:eastAsia="Times New Roman"/>
          <w:b/>
          <w:szCs w:val="24"/>
        </w:rPr>
        <w:t>Large monofilament mesh net with orange cork line, lead line, white rope and green cord. No floats attached.</w:t>
      </w:r>
    </w:p>
    <w:p w:rsidR="000C7E56" w:rsidRPr="000C7E56" w:rsidRDefault="000C7E56" w:rsidP="000C7E56">
      <w:pPr>
        <w:numPr>
          <w:ilvl w:val="0"/>
          <w:numId w:val="25"/>
        </w:numPr>
        <w:ind w:left="426" w:hanging="284"/>
        <w:rPr>
          <w:rFonts w:eastAsia="Times New Roman"/>
          <w:b/>
          <w:szCs w:val="24"/>
        </w:rPr>
      </w:pPr>
      <w:r w:rsidRPr="000C7E56">
        <w:rPr>
          <w:rFonts w:eastAsia="Times New Roman"/>
          <w:b/>
          <w:szCs w:val="24"/>
        </w:rPr>
        <w:t>Green tarp 3.4m x 1.8m.</w:t>
      </w:r>
    </w:p>
    <w:p w:rsidR="000C7E56" w:rsidRPr="000C7E56" w:rsidRDefault="000C7E56" w:rsidP="000C7E56">
      <w:pPr>
        <w:numPr>
          <w:ilvl w:val="0"/>
          <w:numId w:val="25"/>
        </w:numPr>
        <w:ind w:left="426" w:hanging="284"/>
        <w:rPr>
          <w:rFonts w:eastAsia="Times New Roman"/>
          <w:b/>
          <w:szCs w:val="24"/>
        </w:rPr>
      </w:pPr>
      <w:r w:rsidRPr="000C7E56">
        <w:rPr>
          <w:rFonts w:eastAsia="Times New Roman"/>
          <w:b/>
          <w:szCs w:val="24"/>
        </w:rPr>
        <w:t>Green tarp 3.35m x 1.78m.</w:t>
      </w:r>
    </w:p>
    <w:p w:rsidR="000C7E56" w:rsidRPr="000C7E56" w:rsidRDefault="000C7E56" w:rsidP="000C7E56">
      <w:pPr>
        <w:numPr>
          <w:ilvl w:val="0"/>
          <w:numId w:val="25"/>
        </w:numPr>
        <w:ind w:left="426" w:hanging="284"/>
        <w:rPr>
          <w:rFonts w:eastAsia="Times New Roman"/>
          <w:b/>
          <w:szCs w:val="24"/>
        </w:rPr>
      </w:pPr>
      <w:r w:rsidRPr="000C7E56">
        <w:rPr>
          <w:rFonts w:eastAsia="Times New Roman"/>
          <w:b/>
          <w:szCs w:val="24"/>
        </w:rPr>
        <w:t>Monofilament mesh net orange cork line with blue cord and rope attached. No floats attached.</w:t>
      </w:r>
    </w:p>
    <w:p w:rsidR="000C7E56" w:rsidRPr="000C7E56" w:rsidRDefault="000C7E56" w:rsidP="000C7E56">
      <w:pPr>
        <w:tabs>
          <w:tab w:val="left" w:pos="426"/>
        </w:tabs>
        <w:rPr>
          <w:rFonts w:eastAsia="Times New Roman"/>
          <w:szCs w:val="17"/>
        </w:rPr>
      </w:pPr>
      <w:r w:rsidRPr="000C7E56">
        <w:rPr>
          <w:rFonts w:eastAsia="Times New Roman"/>
          <w:szCs w:val="17"/>
        </w:rPr>
        <w:t xml:space="preserve">The above items were suspected to have been used, or intended to be used, in contravention of the </w:t>
      </w:r>
      <w:r w:rsidRPr="000C7E56">
        <w:rPr>
          <w:rFonts w:eastAsia="Times New Roman"/>
          <w:i/>
          <w:szCs w:val="17"/>
        </w:rPr>
        <w:t>Fisheries Management Act, 2007</w:t>
      </w:r>
      <w:r w:rsidRPr="000C7E56">
        <w:rPr>
          <w:rFonts w:eastAsia="Times New Roman"/>
          <w:szCs w:val="17"/>
        </w:rPr>
        <w:t>, and were taken into possession at:</w:t>
      </w:r>
    </w:p>
    <w:p w:rsidR="000C7E56" w:rsidRPr="000C7E56" w:rsidRDefault="000C7E56" w:rsidP="000C7E56">
      <w:pPr>
        <w:ind w:left="142"/>
        <w:rPr>
          <w:rFonts w:eastAsia="Times New Roman"/>
          <w:b/>
          <w:szCs w:val="17"/>
        </w:rPr>
      </w:pPr>
      <w:r w:rsidRPr="000C7E56">
        <w:rPr>
          <w:rFonts w:eastAsia="Times New Roman"/>
          <w:b/>
          <w:szCs w:val="24"/>
        </w:rPr>
        <w:t>PORT WAKEFIELD</w:t>
      </w:r>
    </w:p>
    <w:p w:rsidR="000C7E56" w:rsidRPr="000C7E56" w:rsidRDefault="000C7E56" w:rsidP="000C7E56">
      <w:pPr>
        <w:rPr>
          <w:rFonts w:eastAsia="Times New Roman"/>
          <w:szCs w:val="17"/>
        </w:rPr>
      </w:pPr>
      <w:r w:rsidRPr="000C7E56">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0C7E56" w:rsidRPr="000C7E56" w:rsidRDefault="000C7E56" w:rsidP="000C7E56">
      <w:pPr>
        <w:rPr>
          <w:rFonts w:eastAsia="Times New Roman"/>
          <w:szCs w:val="17"/>
        </w:rPr>
      </w:pPr>
      <w:r w:rsidRPr="000C7E56">
        <w:rPr>
          <w:rFonts w:eastAsia="Times New Roman"/>
          <w:szCs w:val="17"/>
        </w:rPr>
        <w:t xml:space="preserve">The above items may be viewed at the </w:t>
      </w:r>
      <w:r w:rsidRPr="000C7E56">
        <w:rPr>
          <w:rFonts w:eastAsia="Times New Roman"/>
          <w:b/>
          <w:szCs w:val="24"/>
        </w:rPr>
        <w:t>Largs North</w:t>
      </w:r>
      <w:r w:rsidRPr="000C7E56">
        <w:rPr>
          <w:rFonts w:eastAsia="Times New Roman"/>
          <w:b/>
          <w:szCs w:val="17"/>
        </w:rPr>
        <w:t xml:space="preserve"> </w:t>
      </w:r>
      <w:r w:rsidRPr="000C7E56">
        <w:rPr>
          <w:rFonts w:eastAsia="Times New Roman"/>
          <w:szCs w:val="17"/>
        </w:rPr>
        <w:t>office of the Department of Primary Industries and Regions SA, Fisheries and Aquaculture.</w:t>
      </w:r>
    </w:p>
    <w:p w:rsidR="000C7E56" w:rsidRPr="000C7E56" w:rsidRDefault="000C7E56" w:rsidP="000C7E56">
      <w:pPr>
        <w:spacing w:after="0"/>
        <w:rPr>
          <w:rFonts w:eastAsia="Times New Roman"/>
          <w:szCs w:val="17"/>
        </w:rPr>
      </w:pPr>
      <w:r w:rsidRPr="000C7E56">
        <w:rPr>
          <w:rFonts w:eastAsia="Times New Roman"/>
          <w:szCs w:val="17"/>
        </w:rPr>
        <w:t>Dated: 28 May 2020</w:t>
      </w:r>
    </w:p>
    <w:p w:rsidR="000C7E56" w:rsidRPr="000C7E56" w:rsidRDefault="000C7E56" w:rsidP="000C7E56">
      <w:pPr>
        <w:spacing w:after="0"/>
        <w:jc w:val="right"/>
        <w:rPr>
          <w:rFonts w:eastAsia="Times New Roman"/>
          <w:smallCaps/>
          <w:szCs w:val="20"/>
        </w:rPr>
      </w:pPr>
      <w:r w:rsidRPr="000C7E56">
        <w:rPr>
          <w:rFonts w:eastAsia="Times New Roman"/>
          <w:smallCaps/>
          <w:szCs w:val="20"/>
        </w:rPr>
        <w:t>Bree Balmer</w:t>
      </w:r>
    </w:p>
    <w:p w:rsidR="000C7E56" w:rsidRPr="000C7E56" w:rsidRDefault="000C7E56" w:rsidP="000C7E56">
      <w:pPr>
        <w:spacing w:after="0"/>
        <w:jc w:val="right"/>
        <w:rPr>
          <w:rFonts w:eastAsia="Times New Roman"/>
          <w:szCs w:val="17"/>
        </w:rPr>
      </w:pPr>
      <w:r w:rsidRPr="000C7E56">
        <w:rPr>
          <w:rFonts w:eastAsia="Times New Roman"/>
          <w:szCs w:val="17"/>
        </w:rPr>
        <w:t>Prosecutions Coordinator</w:t>
      </w:r>
    </w:p>
    <w:p w:rsidR="000C7E56" w:rsidRPr="000C7E56" w:rsidRDefault="000C7E56" w:rsidP="000C7E56">
      <w:pPr>
        <w:pBdr>
          <w:top w:val="single" w:sz="4" w:space="1" w:color="auto"/>
        </w:pBdr>
        <w:spacing w:before="100" w:after="0" w:line="14" w:lineRule="exact"/>
        <w:jc w:val="center"/>
        <w:rPr>
          <w:rFonts w:eastAsia="Times New Roman"/>
          <w:szCs w:val="17"/>
        </w:rPr>
      </w:pPr>
    </w:p>
    <w:p w:rsidR="000C7E56" w:rsidRDefault="000C7E56">
      <w:pPr>
        <w:spacing w:after="0" w:line="240" w:lineRule="auto"/>
        <w:jc w:val="left"/>
        <w:rPr>
          <w:lang w:val="en-US"/>
        </w:rPr>
      </w:pPr>
      <w:r>
        <w:rPr>
          <w:lang w:val="en-US"/>
        </w:rPr>
        <w:br w:type="page"/>
      </w:r>
    </w:p>
    <w:p w:rsidR="000C7E56" w:rsidRPr="000C7E56" w:rsidRDefault="000C7E56" w:rsidP="000C7E56">
      <w:pPr>
        <w:jc w:val="center"/>
        <w:rPr>
          <w:caps/>
          <w:szCs w:val="17"/>
        </w:rPr>
      </w:pPr>
      <w:r w:rsidRPr="000C7E56">
        <w:rPr>
          <w:caps/>
          <w:szCs w:val="17"/>
        </w:rPr>
        <w:lastRenderedPageBreak/>
        <w:t>FISHERIES MANAGEMENT ACT 2007</w:t>
      </w:r>
    </w:p>
    <w:p w:rsidR="000C7E56" w:rsidRPr="000C7E56" w:rsidRDefault="000C7E56" w:rsidP="000C7E56">
      <w:pPr>
        <w:jc w:val="center"/>
        <w:rPr>
          <w:smallCaps/>
          <w:szCs w:val="17"/>
        </w:rPr>
      </w:pPr>
      <w:r w:rsidRPr="000C7E56">
        <w:rPr>
          <w:smallCaps/>
          <w:szCs w:val="17"/>
        </w:rPr>
        <w:t>Section 90 (2)</w:t>
      </w:r>
    </w:p>
    <w:p w:rsidR="000C7E56" w:rsidRPr="000C7E56" w:rsidRDefault="000C7E56" w:rsidP="000C7E56">
      <w:pPr>
        <w:jc w:val="center"/>
        <w:rPr>
          <w:i/>
          <w:szCs w:val="17"/>
        </w:rPr>
      </w:pPr>
      <w:r w:rsidRPr="000C7E56">
        <w:rPr>
          <w:i/>
          <w:szCs w:val="17"/>
        </w:rPr>
        <w:t>Items Seized</w:t>
      </w:r>
    </w:p>
    <w:p w:rsidR="000C7E56" w:rsidRPr="000C7E56" w:rsidRDefault="000C7E56" w:rsidP="000C7E56">
      <w:pPr>
        <w:rPr>
          <w:rFonts w:eastAsia="Times New Roman"/>
          <w:szCs w:val="17"/>
        </w:rPr>
      </w:pPr>
      <w:r w:rsidRPr="000C7E56">
        <w:rPr>
          <w:rFonts w:eastAsia="Times New Roman"/>
          <w:szCs w:val="17"/>
        </w:rPr>
        <w:t xml:space="preserve">Notice is hereby given pursuant to Section 90 (2) of the </w:t>
      </w:r>
      <w:r w:rsidRPr="000C7E56">
        <w:rPr>
          <w:rFonts w:eastAsia="Times New Roman"/>
          <w:i/>
          <w:szCs w:val="17"/>
        </w:rPr>
        <w:t>Fisheries Management Act, 2007</w:t>
      </w:r>
      <w:r w:rsidRPr="000C7E56">
        <w:rPr>
          <w:rFonts w:eastAsia="Times New Roman"/>
          <w:szCs w:val="17"/>
        </w:rPr>
        <w:t>, that the following items have been seized by Officers of the Department of Primary Industries and Regions SA, Fisheries and Aquaculture at PORT WAKEFIELD on 25/03/2020.</w:t>
      </w:r>
    </w:p>
    <w:p w:rsidR="000C7E56" w:rsidRPr="000C7E56" w:rsidRDefault="000C7E56" w:rsidP="000C7E56">
      <w:pPr>
        <w:numPr>
          <w:ilvl w:val="0"/>
          <w:numId w:val="26"/>
        </w:numPr>
        <w:ind w:left="426" w:hanging="284"/>
        <w:rPr>
          <w:rFonts w:eastAsia="Times New Roman"/>
          <w:b/>
          <w:szCs w:val="24"/>
        </w:rPr>
      </w:pPr>
      <w:r w:rsidRPr="000C7E56">
        <w:rPr>
          <w:rFonts w:eastAsia="Times New Roman"/>
          <w:b/>
          <w:szCs w:val="24"/>
        </w:rPr>
        <w:t>Orange crab pot with blue bait holder, blue/yellow rope and white 1/2 6” float.</w:t>
      </w:r>
    </w:p>
    <w:p w:rsidR="000C7E56" w:rsidRPr="000C7E56" w:rsidRDefault="000C7E56" w:rsidP="000C7E56">
      <w:pPr>
        <w:numPr>
          <w:ilvl w:val="0"/>
          <w:numId w:val="26"/>
        </w:numPr>
        <w:ind w:left="426" w:hanging="284"/>
        <w:rPr>
          <w:rFonts w:eastAsia="Times New Roman"/>
          <w:b/>
          <w:szCs w:val="24"/>
        </w:rPr>
      </w:pPr>
      <w:r w:rsidRPr="000C7E56">
        <w:rPr>
          <w:rFonts w:eastAsia="Times New Roman"/>
          <w:b/>
          <w:szCs w:val="24"/>
        </w:rPr>
        <w:t>Blue crab pot with black mesh funnels, blue/yellow rope and 1/2 6” white football float.</w:t>
      </w:r>
    </w:p>
    <w:p w:rsidR="000C7E56" w:rsidRPr="000C7E56" w:rsidRDefault="000C7E56" w:rsidP="000C7E56">
      <w:pPr>
        <w:numPr>
          <w:ilvl w:val="0"/>
          <w:numId w:val="26"/>
        </w:numPr>
        <w:ind w:left="426" w:hanging="284"/>
        <w:rPr>
          <w:rFonts w:eastAsia="Times New Roman"/>
          <w:b/>
          <w:szCs w:val="24"/>
        </w:rPr>
      </w:pPr>
      <w:r w:rsidRPr="000C7E56">
        <w:rPr>
          <w:rFonts w:eastAsia="Times New Roman"/>
          <w:b/>
          <w:szCs w:val="24"/>
        </w:rPr>
        <w:t>Blue crab pot with green mesh funnel and orange mesh funnel, blue/yellow rope and 1/2 6” white float marked Fisheries Research with SARDI crossed out.</w:t>
      </w:r>
    </w:p>
    <w:p w:rsidR="000C7E56" w:rsidRPr="000C7E56" w:rsidRDefault="000C7E56" w:rsidP="000C7E56">
      <w:pPr>
        <w:numPr>
          <w:ilvl w:val="0"/>
          <w:numId w:val="26"/>
        </w:numPr>
        <w:ind w:left="426" w:hanging="284"/>
        <w:rPr>
          <w:rFonts w:eastAsia="Times New Roman"/>
          <w:b/>
          <w:szCs w:val="24"/>
        </w:rPr>
      </w:pPr>
      <w:r w:rsidRPr="000C7E56">
        <w:rPr>
          <w:rFonts w:eastAsia="Times New Roman"/>
          <w:b/>
          <w:szCs w:val="24"/>
        </w:rPr>
        <w:t>Grey anchor - Danforth.</w:t>
      </w:r>
    </w:p>
    <w:p w:rsidR="000C7E56" w:rsidRPr="000C7E56" w:rsidRDefault="000C7E56" w:rsidP="000C7E56">
      <w:pPr>
        <w:numPr>
          <w:ilvl w:val="0"/>
          <w:numId w:val="26"/>
        </w:numPr>
        <w:ind w:left="426" w:hanging="284"/>
        <w:rPr>
          <w:rFonts w:eastAsia="Times New Roman"/>
          <w:b/>
          <w:szCs w:val="24"/>
        </w:rPr>
      </w:pPr>
      <w:r w:rsidRPr="000C7E56">
        <w:rPr>
          <w:rFonts w:eastAsia="Times New Roman"/>
          <w:b/>
          <w:szCs w:val="24"/>
        </w:rPr>
        <w:t>Green tarp 3.4m x 1.8m with eyelits.</w:t>
      </w:r>
    </w:p>
    <w:p w:rsidR="000C7E56" w:rsidRPr="000C7E56" w:rsidRDefault="000C7E56" w:rsidP="000C7E56">
      <w:pPr>
        <w:numPr>
          <w:ilvl w:val="0"/>
          <w:numId w:val="26"/>
        </w:numPr>
        <w:ind w:left="426" w:hanging="284"/>
        <w:rPr>
          <w:rFonts w:eastAsia="Times New Roman"/>
          <w:b/>
          <w:szCs w:val="24"/>
        </w:rPr>
      </w:pPr>
      <w:r w:rsidRPr="000C7E56">
        <w:rPr>
          <w:rFonts w:eastAsia="Times New Roman"/>
          <w:b/>
          <w:szCs w:val="24"/>
        </w:rPr>
        <w:t>Blue crate containing stainless steel hooks on pink monofilament line with clip, hammer, black cloth.</w:t>
      </w:r>
    </w:p>
    <w:p w:rsidR="000C7E56" w:rsidRPr="000C7E56" w:rsidRDefault="000C7E56" w:rsidP="000C7E56">
      <w:pPr>
        <w:numPr>
          <w:ilvl w:val="0"/>
          <w:numId w:val="26"/>
        </w:numPr>
        <w:ind w:left="426" w:hanging="284"/>
        <w:rPr>
          <w:rFonts w:eastAsia="Times New Roman"/>
          <w:b/>
          <w:szCs w:val="24"/>
        </w:rPr>
      </w:pPr>
      <w:r w:rsidRPr="000C7E56">
        <w:rPr>
          <w:rFonts w:eastAsia="Times New Roman"/>
          <w:b/>
          <w:szCs w:val="24"/>
        </w:rPr>
        <w:t>2 green hand reels 22m deep with white cord and pink nylon line.</w:t>
      </w:r>
    </w:p>
    <w:p w:rsidR="000C7E56" w:rsidRPr="000C7E56" w:rsidRDefault="000C7E56" w:rsidP="000C7E56">
      <w:pPr>
        <w:tabs>
          <w:tab w:val="left" w:pos="426"/>
        </w:tabs>
        <w:rPr>
          <w:rFonts w:eastAsia="Times New Roman"/>
          <w:szCs w:val="17"/>
        </w:rPr>
      </w:pPr>
      <w:r w:rsidRPr="000C7E56">
        <w:rPr>
          <w:rFonts w:eastAsia="Times New Roman"/>
          <w:szCs w:val="17"/>
        </w:rPr>
        <w:t xml:space="preserve">The above items were suspected to have been used, or intended to be used, in contravention of the </w:t>
      </w:r>
      <w:r w:rsidRPr="000C7E56">
        <w:rPr>
          <w:rFonts w:eastAsia="Times New Roman"/>
          <w:i/>
          <w:szCs w:val="17"/>
        </w:rPr>
        <w:t>Fisheries Management Act, 2007</w:t>
      </w:r>
      <w:r w:rsidRPr="000C7E56">
        <w:rPr>
          <w:rFonts w:eastAsia="Times New Roman"/>
          <w:szCs w:val="17"/>
        </w:rPr>
        <w:t>, and were taken into possession at:</w:t>
      </w:r>
    </w:p>
    <w:p w:rsidR="000C7E56" w:rsidRPr="000C7E56" w:rsidRDefault="000C7E56" w:rsidP="000C7E56">
      <w:pPr>
        <w:ind w:left="142"/>
        <w:rPr>
          <w:rFonts w:eastAsia="Times New Roman"/>
          <w:b/>
          <w:szCs w:val="17"/>
        </w:rPr>
      </w:pPr>
      <w:r w:rsidRPr="000C7E56">
        <w:rPr>
          <w:rFonts w:eastAsia="Times New Roman"/>
          <w:b/>
          <w:szCs w:val="24"/>
        </w:rPr>
        <w:t>PORT WAKEFIELD</w:t>
      </w:r>
    </w:p>
    <w:p w:rsidR="000C7E56" w:rsidRPr="000C7E56" w:rsidRDefault="000C7E56" w:rsidP="000C7E56">
      <w:pPr>
        <w:rPr>
          <w:rFonts w:eastAsia="Times New Roman"/>
          <w:szCs w:val="17"/>
        </w:rPr>
      </w:pPr>
      <w:r w:rsidRPr="000C7E56">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0C7E56" w:rsidRPr="000C7E56" w:rsidRDefault="000C7E56" w:rsidP="000C7E56">
      <w:pPr>
        <w:rPr>
          <w:rFonts w:eastAsia="Times New Roman"/>
          <w:szCs w:val="17"/>
        </w:rPr>
      </w:pPr>
      <w:r w:rsidRPr="000C7E56">
        <w:rPr>
          <w:rFonts w:eastAsia="Times New Roman"/>
          <w:szCs w:val="17"/>
        </w:rPr>
        <w:t xml:space="preserve">The above items may be viewed at the </w:t>
      </w:r>
      <w:r w:rsidRPr="000C7E56">
        <w:rPr>
          <w:rFonts w:eastAsia="Times New Roman"/>
          <w:b/>
          <w:szCs w:val="24"/>
        </w:rPr>
        <w:t>Largs North</w:t>
      </w:r>
      <w:r w:rsidRPr="000C7E56">
        <w:rPr>
          <w:rFonts w:eastAsia="Times New Roman"/>
          <w:b/>
          <w:szCs w:val="17"/>
        </w:rPr>
        <w:t xml:space="preserve"> </w:t>
      </w:r>
      <w:r w:rsidRPr="000C7E56">
        <w:rPr>
          <w:rFonts w:eastAsia="Times New Roman"/>
          <w:szCs w:val="17"/>
        </w:rPr>
        <w:t>office of the Department of Primary Industries and Regions SA, Fisheries and Aquaculture.</w:t>
      </w:r>
    </w:p>
    <w:p w:rsidR="000C7E56" w:rsidRPr="000C7E56" w:rsidRDefault="000C7E56" w:rsidP="000C7E56">
      <w:pPr>
        <w:spacing w:after="0"/>
        <w:rPr>
          <w:rFonts w:eastAsia="Times New Roman"/>
          <w:szCs w:val="17"/>
        </w:rPr>
      </w:pPr>
      <w:r w:rsidRPr="000C7E56">
        <w:rPr>
          <w:rFonts w:eastAsia="Times New Roman"/>
          <w:szCs w:val="17"/>
        </w:rPr>
        <w:t>Dated: 28 May 2020</w:t>
      </w:r>
    </w:p>
    <w:p w:rsidR="000C7E56" w:rsidRPr="000C7E56" w:rsidRDefault="000C7E56" w:rsidP="000C7E56">
      <w:pPr>
        <w:spacing w:after="0"/>
        <w:jc w:val="right"/>
        <w:rPr>
          <w:rFonts w:eastAsia="Times New Roman"/>
          <w:smallCaps/>
          <w:szCs w:val="20"/>
        </w:rPr>
      </w:pPr>
      <w:r w:rsidRPr="000C7E56">
        <w:rPr>
          <w:rFonts w:eastAsia="Times New Roman"/>
          <w:smallCaps/>
          <w:szCs w:val="20"/>
        </w:rPr>
        <w:t>Bree Balmer</w:t>
      </w:r>
    </w:p>
    <w:p w:rsidR="000C7E56" w:rsidRPr="000C7E56" w:rsidRDefault="000C7E56" w:rsidP="000C7E56">
      <w:pPr>
        <w:spacing w:after="0"/>
        <w:jc w:val="right"/>
        <w:rPr>
          <w:rFonts w:eastAsia="Times New Roman"/>
          <w:szCs w:val="17"/>
        </w:rPr>
      </w:pPr>
      <w:r w:rsidRPr="000C7E56">
        <w:rPr>
          <w:rFonts w:eastAsia="Times New Roman"/>
          <w:szCs w:val="17"/>
        </w:rPr>
        <w:t>Prosecutions Coordinator</w:t>
      </w:r>
    </w:p>
    <w:p w:rsidR="000C7E56" w:rsidRPr="000C7E56" w:rsidRDefault="000C7E56" w:rsidP="000C7E56">
      <w:pPr>
        <w:pBdr>
          <w:top w:val="single" w:sz="4" w:space="1" w:color="auto"/>
        </w:pBdr>
        <w:spacing w:before="100" w:after="0" w:line="14" w:lineRule="exact"/>
        <w:jc w:val="center"/>
        <w:rPr>
          <w:rFonts w:eastAsia="Times New Roman"/>
          <w:szCs w:val="17"/>
        </w:rPr>
      </w:pPr>
    </w:p>
    <w:p w:rsidR="0062440F" w:rsidRDefault="0062440F"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C7E56" w:rsidRPr="000C7E56" w:rsidRDefault="000C7E56" w:rsidP="000C7E56">
      <w:pPr>
        <w:jc w:val="center"/>
        <w:rPr>
          <w:caps/>
          <w:szCs w:val="17"/>
        </w:rPr>
      </w:pPr>
      <w:r w:rsidRPr="000C7E56">
        <w:rPr>
          <w:caps/>
          <w:szCs w:val="17"/>
        </w:rPr>
        <w:t>FISHERIES MANAGEMENT ACT 2007</w:t>
      </w:r>
    </w:p>
    <w:p w:rsidR="000C7E56" w:rsidRPr="000C7E56" w:rsidRDefault="000C7E56" w:rsidP="000C7E56">
      <w:pPr>
        <w:jc w:val="center"/>
        <w:rPr>
          <w:smallCaps/>
          <w:szCs w:val="17"/>
        </w:rPr>
      </w:pPr>
      <w:r w:rsidRPr="000C7E56">
        <w:rPr>
          <w:smallCaps/>
          <w:szCs w:val="17"/>
        </w:rPr>
        <w:t>Section 90 (2)</w:t>
      </w:r>
    </w:p>
    <w:p w:rsidR="000C7E56" w:rsidRPr="000C7E56" w:rsidRDefault="000C7E56" w:rsidP="000C7E56">
      <w:pPr>
        <w:jc w:val="center"/>
        <w:rPr>
          <w:i/>
          <w:szCs w:val="17"/>
        </w:rPr>
      </w:pPr>
      <w:r w:rsidRPr="000C7E56">
        <w:rPr>
          <w:i/>
          <w:szCs w:val="17"/>
        </w:rPr>
        <w:t>Items Seized</w:t>
      </w:r>
    </w:p>
    <w:p w:rsidR="000C7E56" w:rsidRPr="000C7E56" w:rsidRDefault="000C7E56" w:rsidP="000C7E56">
      <w:pPr>
        <w:rPr>
          <w:rFonts w:eastAsia="Times New Roman"/>
          <w:szCs w:val="17"/>
        </w:rPr>
      </w:pPr>
      <w:r w:rsidRPr="000C7E56">
        <w:rPr>
          <w:rFonts w:eastAsia="Times New Roman"/>
          <w:szCs w:val="17"/>
        </w:rPr>
        <w:t xml:space="preserve">Notice is hereby given pursuant to Section 90 (2) of the </w:t>
      </w:r>
      <w:r w:rsidRPr="000C7E56">
        <w:rPr>
          <w:rFonts w:eastAsia="Times New Roman"/>
          <w:i/>
          <w:szCs w:val="17"/>
        </w:rPr>
        <w:t>Fisheries Management Act, 2007</w:t>
      </w:r>
      <w:r w:rsidRPr="000C7E56">
        <w:rPr>
          <w:rFonts w:eastAsia="Times New Roman"/>
          <w:szCs w:val="17"/>
        </w:rPr>
        <w:t>, that the following items have been seized by Officers of the Department of Primary Industries and Regions SA, Fisheries and Aquaculture at PORT WAKEFIELD on 20/04/2020.</w:t>
      </w:r>
    </w:p>
    <w:p w:rsidR="000C7E56" w:rsidRPr="000C7E56" w:rsidRDefault="000C7E56" w:rsidP="000C7E56">
      <w:pPr>
        <w:numPr>
          <w:ilvl w:val="0"/>
          <w:numId w:val="27"/>
        </w:numPr>
        <w:spacing w:line="240" w:lineRule="auto"/>
        <w:ind w:left="426" w:hanging="284"/>
        <w:contextualSpacing/>
        <w:rPr>
          <w:rFonts w:eastAsia="Times New Roman"/>
          <w:b/>
          <w:szCs w:val="24"/>
        </w:rPr>
      </w:pPr>
      <w:r w:rsidRPr="000C7E56">
        <w:rPr>
          <w:rFonts w:eastAsia="Times New Roman"/>
          <w:b/>
          <w:szCs w:val="24"/>
        </w:rPr>
        <w:t>Monofilament mesh net 61.18m length x 2.52m depth. No cork line. No lead line. No floats. Average mesh size 58.65mm. Attached were 8 rod/tent poles.</w:t>
      </w:r>
    </w:p>
    <w:p w:rsidR="000C7E56" w:rsidRPr="000C7E56" w:rsidRDefault="000C7E56" w:rsidP="000C7E56">
      <w:pPr>
        <w:pStyle w:val="GG-body"/>
      </w:pPr>
      <w:r w:rsidRPr="000C7E56">
        <w:t xml:space="preserve">The above items were suspected to have been used, or intended to be used, in contravention of the </w:t>
      </w:r>
      <w:r w:rsidRPr="000C7E56">
        <w:rPr>
          <w:i/>
        </w:rPr>
        <w:t>Fisheries Management Act, 2007</w:t>
      </w:r>
      <w:r w:rsidRPr="000C7E56">
        <w:t>, and were taken into possession at:</w:t>
      </w:r>
    </w:p>
    <w:p w:rsidR="000C7E56" w:rsidRPr="000C7E56" w:rsidRDefault="000C7E56" w:rsidP="000C7E56">
      <w:pPr>
        <w:ind w:left="142"/>
        <w:rPr>
          <w:rFonts w:eastAsia="Times New Roman"/>
          <w:b/>
          <w:szCs w:val="17"/>
        </w:rPr>
      </w:pPr>
      <w:r w:rsidRPr="000C7E56">
        <w:rPr>
          <w:rFonts w:eastAsia="Times New Roman"/>
          <w:b/>
          <w:szCs w:val="24"/>
        </w:rPr>
        <w:t>PORT WAKEFIELD</w:t>
      </w:r>
    </w:p>
    <w:p w:rsidR="000C7E56" w:rsidRPr="000C7E56" w:rsidRDefault="000C7E56" w:rsidP="000C7E56">
      <w:pPr>
        <w:pStyle w:val="GG-body"/>
      </w:pPr>
      <w:r w:rsidRPr="000C7E56">
        <w:t>After the expiration of one month from the date of this notice the items listed above shall, on the order of the Minister for Agriculture, Food and Fisheries, be forfeited to the Crown and shall be either disposed of by sale or destruction.</w:t>
      </w:r>
    </w:p>
    <w:p w:rsidR="000C7E56" w:rsidRPr="000C7E56" w:rsidRDefault="000C7E56" w:rsidP="000C7E56">
      <w:pPr>
        <w:rPr>
          <w:rFonts w:eastAsia="Times New Roman"/>
          <w:szCs w:val="17"/>
        </w:rPr>
      </w:pPr>
      <w:r w:rsidRPr="000C7E56">
        <w:rPr>
          <w:rFonts w:eastAsia="Times New Roman"/>
          <w:szCs w:val="17"/>
        </w:rPr>
        <w:t xml:space="preserve">The above items may be viewed at the </w:t>
      </w:r>
      <w:r w:rsidRPr="000C7E56">
        <w:rPr>
          <w:rFonts w:eastAsia="Times New Roman"/>
          <w:b/>
          <w:szCs w:val="24"/>
        </w:rPr>
        <w:t>Largs North</w:t>
      </w:r>
      <w:r w:rsidRPr="000C7E56">
        <w:rPr>
          <w:rFonts w:eastAsia="Times New Roman"/>
          <w:b/>
          <w:szCs w:val="17"/>
        </w:rPr>
        <w:t xml:space="preserve"> </w:t>
      </w:r>
      <w:r w:rsidRPr="000C7E56">
        <w:rPr>
          <w:rFonts w:eastAsia="Times New Roman"/>
          <w:szCs w:val="17"/>
        </w:rPr>
        <w:t>office of the Department of Primary Industries and Regions SA, Fisheries and Aquaculture.</w:t>
      </w:r>
    </w:p>
    <w:p w:rsidR="000C7E56" w:rsidRPr="000C7E56" w:rsidRDefault="000C7E56" w:rsidP="000C7E56">
      <w:pPr>
        <w:spacing w:after="0"/>
        <w:rPr>
          <w:rFonts w:eastAsia="Times New Roman"/>
          <w:szCs w:val="17"/>
        </w:rPr>
      </w:pPr>
      <w:r w:rsidRPr="000C7E56">
        <w:rPr>
          <w:rFonts w:eastAsia="Times New Roman"/>
          <w:szCs w:val="17"/>
        </w:rPr>
        <w:t>Dated: 28 May 2020</w:t>
      </w:r>
    </w:p>
    <w:p w:rsidR="000C7E56" w:rsidRPr="000C7E56" w:rsidRDefault="000C7E56" w:rsidP="000C7E56">
      <w:pPr>
        <w:spacing w:after="0"/>
        <w:jc w:val="right"/>
        <w:rPr>
          <w:rFonts w:eastAsia="Times New Roman"/>
          <w:smallCaps/>
          <w:szCs w:val="20"/>
        </w:rPr>
      </w:pPr>
      <w:r w:rsidRPr="000C7E56">
        <w:rPr>
          <w:rFonts w:eastAsia="Times New Roman"/>
          <w:smallCaps/>
          <w:szCs w:val="20"/>
        </w:rPr>
        <w:t>Bree Balmer</w:t>
      </w:r>
    </w:p>
    <w:p w:rsidR="000C7E56" w:rsidRPr="000C7E56" w:rsidRDefault="000C7E56" w:rsidP="000C7E56">
      <w:pPr>
        <w:spacing w:after="0"/>
        <w:jc w:val="right"/>
        <w:rPr>
          <w:rFonts w:eastAsia="Times New Roman"/>
          <w:szCs w:val="17"/>
        </w:rPr>
      </w:pPr>
      <w:r w:rsidRPr="000C7E56">
        <w:rPr>
          <w:rFonts w:eastAsia="Times New Roman"/>
          <w:szCs w:val="17"/>
        </w:rPr>
        <w:t>Prosecutions Coordinator</w:t>
      </w:r>
    </w:p>
    <w:p w:rsidR="000C7E56" w:rsidRPr="000C7E56" w:rsidRDefault="000C7E56" w:rsidP="000C7E56">
      <w:pPr>
        <w:pBdr>
          <w:top w:val="single" w:sz="4" w:space="1" w:color="auto"/>
        </w:pBdr>
        <w:spacing w:before="100" w:after="0" w:line="14" w:lineRule="exact"/>
        <w:jc w:val="center"/>
        <w:rPr>
          <w:rFonts w:eastAsia="Times New Roman"/>
          <w:szCs w:val="17"/>
        </w:rPr>
      </w:pPr>
    </w:p>
    <w:p w:rsidR="000C7E56" w:rsidRDefault="000C7E56"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C7E56" w:rsidRPr="000C7E56" w:rsidRDefault="000C7E56" w:rsidP="000C7E56">
      <w:pPr>
        <w:jc w:val="center"/>
        <w:rPr>
          <w:caps/>
          <w:szCs w:val="17"/>
        </w:rPr>
      </w:pPr>
      <w:r w:rsidRPr="000C7E56">
        <w:rPr>
          <w:caps/>
          <w:szCs w:val="17"/>
        </w:rPr>
        <w:t>FISHERIES MANAGEMENT ACT 2007</w:t>
      </w:r>
    </w:p>
    <w:p w:rsidR="000C7E56" w:rsidRPr="000C7E56" w:rsidRDefault="000C7E56" w:rsidP="000C7E56">
      <w:pPr>
        <w:jc w:val="center"/>
        <w:rPr>
          <w:smallCaps/>
          <w:szCs w:val="17"/>
        </w:rPr>
      </w:pPr>
      <w:r w:rsidRPr="000C7E56">
        <w:rPr>
          <w:smallCaps/>
          <w:szCs w:val="17"/>
        </w:rPr>
        <w:t>Section 90 (2)</w:t>
      </w:r>
    </w:p>
    <w:p w:rsidR="000C7E56" w:rsidRPr="000C7E56" w:rsidRDefault="000C7E56" w:rsidP="000C7E56">
      <w:pPr>
        <w:jc w:val="center"/>
        <w:rPr>
          <w:i/>
          <w:szCs w:val="17"/>
        </w:rPr>
      </w:pPr>
      <w:r w:rsidRPr="000C7E56">
        <w:rPr>
          <w:i/>
          <w:szCs w:val="17"/>
        </w:rPr>
        <w:t>Items Seized</w:t>
      </w:r>
    </w:p>
    <w:p w:rsidR="000C7E56" w:rsidRPr="000C7E56" w:rsidRDefault="000C7E56" w:rsidP="000C7E56">
      <w:pPr>
        <w:rPr>
          <w:rFonts w:eastAsia="Times New Roman"/>
          <w:szCs w:val="17"/>
        </w:rPr>
      </w:pPr>
      <w:r w:rsidRPr="000C7E56">
        <w:rPr>
          <w:rFonts w:eastAsia="Times New Roman"/>
          <w:szCs w:val="17"/>
        </w:rPr>
        <w:t xml:space="preserve">Notice is hereby given pursuant to Section 90 (2) of the </w:t>
      </w:r>
      <w:r w:rsidRPr="000C7E56">
        <w:rPr>
          <w:rFonts w:eastAsia="Times New Roman"/>
          <w:i/>
          <w:szCs w:val="17"/>
        </w:rPr>
        <w:t>Fisheries Management Act, 2007</w:t>
      </w:r>
      <w:r w:rsidRPr="000C7E56">
        <w:rPr>
          <w:rFonts w:eastAsia="Times New Roman"/>
          <w:szCs w:val="17"/>
        </w:rPr>
        <w:t>, that the following items have been seized by Officers of the Department of Primary Industries and Regions SA, Fisheries and Aquaculture at RACECOURSE BAY on 22/05/2019.</w:t>
      </w:r>
    </w:p>
    <w:p w:rsidR="000C7E56" w:rsidRPr="000C7E56" w:rsidRDefault="000C7E56" w:rsidP="000C7E56">
      <w:pPr>
        <w:numPr>
          <w:ilvl w:val="0"/>
          <w:numId w:val="28"/>
        </w:numPr>
        <w:ind w:left="426" w:hanging="284"/>
        <w:rPr>
          <w:rFonts w:eastAsia="Times New Roman"/>
          <w:b/>
          <w:szCs w:val="24"/>
        </w:rPr>
      </w:pPr>
      <w:r w:rsidRPr="000C7E56">
        <w:rPr>
          <w:rFonts w:eastAsia="Times New Roman"/>
          <w:b/>
          <w:szCs w:val="24"/>
        </w:rPr>
        <w:t>Drop line with single 4L white float, marked S163 with blue rope, black berley pot, 4 bait clips, wire trace, ss shark hooks and long metal bar weight.</w:t>
      </w:r>
    </w:p>
    <w:p w:rsidR="000C7E56" w:rsidRPr="000C7E56" w:rsidRDefault="000C7E56" w:rsidP="000C7E56">
      <w:pPr>
        <w:numPr>
          <w:ilvl w:val="0"/>
          <w:numId w:val="28"/>
        </w:numPr>
        <w:ind w:left="426" w:hanging="284"/>
        <w:rPr>
          <w:rFonts w:eastAsia="Times New Roman"/>
          <w:b/>
          <w:szCs w:val="24"/>
        </w:rPr>
      </w:pPr>
      <w:r w:rsidRPr="000C7E56">
        <w:rPr>
          <w:rFonts w:eastAsia="Times New Roman"/>
          <w:b/>
          <w:szCs w:val="24"/>
        </w:rPr>
        <w:t>Drop line with white 4L and 2L float, blue rope, black berley pot, 3 bait clips with wire trace, ss hooks and lead weight.</w:t>
      </w:r>
    </w:p>
    <w:p w:rsidR="000C7E56" w:rsidRPr="000C7E56" w:rsidRDefault="000C7E56" w:rsidP="000C7E56">
      <w:pPr>
        <w:numPr>
          <w:ilvl w:val="0"/>
          <w:numId w:val="28"/>
        </w:numPr>
        <w:ind w:left="426" w:hanging="284"/>
        <w:rPr>
          <w:rFonts w:eastAsia="Times New Roman"/>
          <w:b/>
          <w:szCs w:val="24"/>
        </w:rPr>
      </w:pPr>
      <w:r w:rsidRPr="000C7E56">
        <w:rPr>
          <w:rFonts w:eastAsia="Times New Roman"/>
          <w:b/>
          <w:szCs w:val="24"/>
        </w:rPr>
        <w:t>Drop line with 4L white float marked S045 and 2L white float, turquoise colour rope, blue berley pot, 3 bait clips with wire trace, ss hooks and disc lead weight.</w:t>
      </w:r>
    </w:p>
    <w:p w:rsidR="000C7E56" w:rsidRPr="000C7E56" w:rsidRDefault="000C7E56" w:rsidP="000C7E56">
      <w:pPr>
        <w:tabs>
          <w:tab w:val="left" w:pos="426"/>
        </w:tabs>
        <w:rPr>
          <w:rFonts w:eastAsia="Times New Roman"/>
          <w:szCs w:val="17"/>
        </w:rPr>
      </w:pPr>
      <w:r w:rsidRPr="000C7E56">
        <w:rPr>
          <w:rFonts w:eastAsia="Times New Roman"/>
          <w:szCs w:val="17"/>
        </w:rPr>
        <w:t xml:space="preserve">The above items were suspected to have been used, or intended to be used, in contravention of the </w:t>
      </w:r>
      <w:r w:rsidRPr="000C7E56">
        <w:rPr>
          <w:rFonts w:eastAsia="Times New Roman"/>
          <w:i/>
          <w:szCs w:val="17"/>
        </w:rPr>
        <w:t>Fisheries Management Act, 2007</w:t>
      </w:r>
      <w:r w:rsidRPr="000C7E56">
        <w:rPr>
          <w:rFonts w:eastAsia="Times New Roman"/>
          <w:szCs w:val="17"/>
        </w:rPr>
        <w:t>, and were taken into possession at:</w:t>
      </w:r>
    </w:p>
    <w:p w:rsidR="000C7E56" w:rsidRPr="000C7E56" w:rsidRDefault="000C7E56" w:rsidP="000C7E56">
      <w:pPr>
        <w:ind w:left="142"/>
        <w:rPr>
          <w:rFonts w:eastAsia="Times New Roman"/>
          <w:b/>
          <w:szCs w:val="17"/>
        </w:rPr>
      </w:pPr>
      <w:r w:rsidRPr="000C7E56">
        <w:rPr>
          <w:rFonts w:eastAsia="Times New Roman"/>
          <w:b/>
          <w:szCs w:val="24"/>
        </w:rPr>
        <w:t>RACECOURSE BAY</w:t>
      </w:r>
    </w:p>
    <w:p w:rsidR="000C7E56" w:rsidRPr="000C7E56" w:rsidRDefault="000C7E56" w:rsidP="000C7E56">
      <w:pPr>
        <w:rPr>
          <w:rFonts w:eastAsia="Times New Roman"/>
          <w:szCs w:val="17"/>
        </w:rPr>
      </w:pPr>
      <w:r w:rsidRPr="000C7E56">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0C7E56" w:rsidRPr="000C7E56" w:rsidRDefault="000C7E56" w:rsidP="000C7E56">
      <w:pPr>
        <w:rPr>
          <w:rFonts w:eastAsia="Times New Roman"/>
          <w:szCs w:val="17"/>
        </w:rPr>
      </w:pPr>
      <w:r w:rsidRPr="000C7E56">
        <w:rPr>
          <w:rFonts w:eastAsia="Times New Roman"/>
          <w:szCs w:val="17"/>
        </w:rPr>
        <w:t xml:space="preserve">The above items may be viewed at the </w:t>
      </w:r>
      <w:r w:rsidRPr="000C7E56">
        <w:rPr>
          <w:rFonts w:eastAsia="Times New Roman"/>
          <w:b/>
          <w:szCs w:val="24"/>
        </w:rPr>
        <w:t>Mount Gambier</w:t>
      </w:r>
      <w:r w:rsidRPr="000C7E56">
        <w:rPr>
          <w:rFonts w:eastAsia="Times New Roman"/>
          <w:b/>
          <w:szCs w:val="17"/>
        </w:rPr>
        <w:t xml:space="preserve"> </w:t>
      </w:r>
      <w:r w:rsidRPr="000C7E56">
        <w:rPr>
          <w:rFonts w:eastAsia="Times New Roman"/>
          <w:szCs w:val="17"/>
        </w:rPr>
        <w:t>office of the Department of Primary Industries and Regions SA, Fisheries and Aquaculture.</w:t>
      </w:r>
    </w:p>
    <w:p w:rsidR="000C7E56" w:rsidRPr="000C7E56" w:rsidRDefault="000C7E56" w:rsidP="000C7E56">
      <w:pPr>
        <w:spacing w:after="0"/>
        <w:rPr>
          <w:rFonts w:eastAsia="Times New Roman"/>
          <w:szCs w:val="17"/>
        </w:rPr>
      </w:pPr>
      <w:r w:rsidRPr="000C7E56">
        <w:rPr>
          <w:rFonts w:eastAsia="Times New Roman"/>
          <w:szCs w:val="17"/>
        </w:rPr>
        <w:t>Dated: 28 May 2020</w:t>
      </w:r>
    </w:p>
    <w:p w:rsidR="000C7E56" w:rsidRPr="000C7E56" w:rsidRDefault="000C7E56" w:rsidP="000C7E56">
      <w:pPr>
        <w:spacing w:after="0"/>
        <w:jc w:val="right"/>
        <w:rPr>
          <w:rFonts w:eastAsia="Times New Roman"/>
          <w:smallCaps/>
          <w:szCs w:val="20"/>
        </w:rPr>
      </w:pPr>
      <w:r w:rsidRPr="000C7E56">
        <w:rPr>
          <w:rFonts w:eastAsia="Times New Roman"/>
          <w:smallCaps/>
          <w:szCs w:val="20"/>
        </w:rPr>
        <w:t>Bree Balmer</w:t>
      </w:r>
    </w:p>
    <w:p w:rsidR="000C7E56" w:rsidRPr="000C7E56" w:rsidRDefault="000C7E56" w:rsidP="000C7E56">
      <w:pPr>
        <w:spacing w:after="0"/>
        <w:jc w:val="right"/>
        <w:rPr>
          <w:rFonts w:eastAsia="Times New Roman"/>
          <w:szCs w:val="17"/>
        </w:rPr>
      </w:pPr>
      <w:r w:rsidRPr="000C7E56">
        <w:rPr>
          <w:rFonts w:eastAsia="Times New Roman"/>
          <w:szCs w:val="17"/>
        </w:rPr>
        <w:t>Prosecutions Coordinator</w:t>
      </w:r>
    </w:p>
    <w:p w:rsidR="000C7E56" w:rsidRPr="000C7E56" w:rsidRDefault="000C7E56" w:rsidP="000C7E56">
      <w:pPr>
        <w:pBdr>
          <w:top w:val="single" w:sz="4" w:space="1" w:color="auto"/>
        </w:pBdr>
        <w:spacing w:before="100" w:after="0" w:line="14" w:lineRule="exact"/>
        <w:jc w:val="center"/>
        <w:rPr>
          <w:rFonts w:eastAsia="Times New Roman"/>
          <w:szCs w:val="17"/>
        </w:rPr>
      </w:pPr>
    </w:p>
    <w:p w:rsidR="000C7E56" w:rsidRPr="000C7E56" w:rsidRDefault="000C7E56" w:rsidP="000C7E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rsidR="00A61F2B" w:rsidRPr="00A61F2B" w:rsidRDefault="00A61F2B" w:rsidP="00A61F2B">
      <w:pPr>
        <w:jc w:val="center"/>
        <w:rPr>
          <w:caps/>
          <w:szCs w:val="17"/>
        </w:rPr>
      </w:pPr>
      <w:r w:rsidRPr="00A61F2B">
        <w:rPr>
          <w:caps/>
          <w:szCs w:val="17"/>
        </w:rPr>
        <w:lastRenderedPageBreak/>
        <w:t>FISHERIES MANAGEMENT ACT 2007</w:t>
      </w:r>
    </w:p>
    <w:p w:rsidR="00A61F2B" w:rsidRPr="00A61F2B" w:rsidRDefault="00A61F2B" w:rsidP="00A61F2B">
      <w:pPr>
        <w:jc w:val="center"/>
        <w:rPr>
          <w:smallCaps/>
          <w:szCs w:val="17"/>
        </w:rPr>
      </w:pPr>
      <w:r w:rsidRPr="00A61F2B">
        <w:rPr>
          <w:smallCaps/>
          <w:szCs w:val="17"/>
        </w:rPr>
        <w:t>Section 90 (2)</w:t>
      </w:r>
    </w:p>
    <w:p w:rsidR="00A61F2B" w:rsidRPr="00A61F2B" w:rsidRDefault="00A61F2B" w:rsidP="00A61F2B">
      <w:pPr>
        <w:jc w:val="center"/>
        <w:rPr>
          <w:i/>
          <w:szCs w:val="17"/>
        </w:rPr>
      </w:pPr>
      <w:r w:rsidRPr="00A61F2B">
        <w:rPr>
          <w:i/>
          <w:szCs w:val="17"/>
        </w:rPr>
        <w:t>Items Seized</w:t>
      </w:r>
    </w:p>
    <w:p w:rsidR="00A61F2B" w:rsidRPr="00A61F2B" w:rsidRDefault="00A61F2B" w:rsidP="00A61F2B">
      <w:pPr>
        <w:rPr>
          <w:rFonts w:eastAsia="Times New Roman"/>
          <w:szCs w:val="17"/>
        </w:rPr>
      </w:pPr>
      <w:r w:rsidRPr="00A61F2B">
        <w:rPr>
          <w:rFonts w:eastAsia="Times New Roman"/>
          <w:szCs w:val="17"/>
        </w:rPr>
        <w:t xml:space="preserve">Notice is hereby given pursuant to Section 90 (2) of the </w:t>
      </w:r>
      <w:r w:rsidRPr="00A61F2B">
        <w:rPr>
          <w:rFonts w:eastAsia="Times New Roman"/>
          <w:i/>
          <w:szCs w:val="17"/>
        </w:rPr>
        <w:t>Fisheries Management Act, 2007</w:t>
      </w:r>
      <w:r w:rsidRPr="00A61F2B">
        <w:rPr>
          <w:rFonts w:eastAsia="Times New Roman"/>
          <w:szCs w:val="17"/>
        </w:rPr>
        <w:t>, that the following items have been seized by Officers of the Department of Primary Industries and Regions SA, Fisheries and Aquaculture at ROBE on 5/02/2020.</w:t>
      </w:r>
    </w:p>
    <w:p w:rsidR="00A61F2B" w:rsidRPr="00A61F2B" w:rsidRDefault="00A61F2B" w:rsidP="00A61F2B">
      <w:pPr>
        <w:numPr>
          <w:ilvl w:val="0"/>
          <w:numId w:val="29"/>
        </w:numPr>
        <w:ind w:left="426" w:hanging="284"/>
        <w:rPr>
          <w:rFonts w:eastAsia="Times New Roman"/>
          <w:b/>
          <w:szCs w:val="24"/>
        </w:rPr>
      </w:pPr>
      <w:r w:rsidRPr="00A61F2B">
        <w:rPr>
          <w:rFonts w:eastAsia="Times New Roman"/>
          <w:b/>
          <w:szCs w:val="24"/>
        </w:rPr>
        <w:t>Rock lobster pot with red neck, red bait basket and green rope.</w:t>
      </w:r>
    </w:p>
    <w:p w:rsidR="00A61F2B" w:rsidRPr="00A61F2B" w:rsidRDefault="00A61F2B" w:rsidP="00A61F2B">
      <w:pPr>
        <w:tabs>
          <w:tab w:val="left" w:pos="426"/>
        </w:tabs>
        <w:rPr>
          <w:rFonts w:eastAsia="Times New Roman"/>
          <w:szCs w:val="17"/>
        </w:rPr>
      </w:pPr>
      <w:r w:rsidRPr="00A61F2B">
        <w:rPr>
          <w:rFonts w:eastAsia="Times New Roman"/>
          <w:szCs w:val="17"/>
        </w:rPr>
        <w:t xml:space="preserve">The above items were suspected to have been used, or intended to be used, in contravention of the </w:t>
      </w:r>
      <w:r w:rsidRPr="00A61F2B">
        <w:rPr>
          <w:rFonts w:eastAsia="Times New Roman"/>
          <w:i/>
          <w:szCs w:val="17"/>
        </w:rPr>
        <w:t>Fisheries Management Act, 2007</w:t>
      </w:r>
      <w:r w:rsidRPr="00A61F2B">
        <w:rPr>
          <w:rFonts w:eastAsia="Times New Roman"/>
          <w:szCs w:val="17"/>
        </w:rPr>
        <w:t>, and were taken into possession at:</w:t>
      </w:r>
    </w:p>
    <w:p w:rsidR="00A61F2B" w:rsidRPr="00A61F2B" w:rsidRDefault="00A61F2B" w:rsidP="00A61F2B">
      <w:pPr>
        <w:ind w:left="142"/>
        <w:rPr>
          <w:rFonts w:eastAsia="Times New Roman"/>
          <w:b/>
          <w:szCs w:val="17"/>
        </w:rPr>
      </w:pPr>
      <w:r w:rsidRPr="00A61F2B">
        <w:rPr>
          <w:rFonts w:eastAsia="Times New Roman"/>
          <w:b/>
          <w:szCs w:val="24"/>
        </w:rPr>
        <w:t>ROBE</w:t>
      </w:r>
    </w:p>
    <w:p w:rsidR="00A61F2B" w:rsidRPr="00A61F2B" w:rsidRDefault="00A61F2B" w:rsidP="00A61F2B">
      <w:pPr>
        <w:rPr>
          <w:rFonts w:eastAsia="Times New Roman"/>
          <w:szCs w:val="17"/>
        </w:rPr>
      </w:pPr>
      <w:r w:rsidRPr="00A61F2B">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A61F2B" w:rsidRPr="00A61F2B" w:rsidRDefault="00A61F2B" w:rsidP="00A61F2B">
      <w:pPr>
        <w:rPr>
          <w:rFonts w:eastAsia="Times New Roman"/>
          <w:szCs w:val="17"/>
        </w:rPr>
      </w:pPr>
      <w:r w:rsidRPr="00A61F2B">
        <w:rPr>
          <w:rFonts w:eastAsia="Times New Roman"/>
          <w:szCs w:val="17"/>
        </w:rPr>
        <w:t xml:space="preserve">The above items may be viewed at the </w:t>
      </w:r>
      <w:r w:rsidRPr="00A61F2B">
        <w:rPr>
          <w:rFonts w:eastAsia="Times New Roman"/>
          <w:b/>
          <w:szCs w:val="24"/>
        </w:rPr>
        <w:t>Kingston</w:t>
      </w:r>
      <w:r w:rsidRPr="00A61F2B">
        <w:rPr>
          <w:rFonts w:eastAsia="Times New Roman"/>
          <w:b/>
          <w:szCs w:val="17"/>
        </w:rPr>
        <w:t xml:space="preserve"> </w:t>
      </w:r>
      <w:r w:rsidRPr="00A61F2B">
        <w:rPr>
          <w:rFonts w:eastAsia="Times New Roman"/>
          <w:szCs w:val="17"/>
        </w:rPr>
        <w:t>office of the Department of Primary Industries and Regions SA, Fisheries and Aquaculture.</w:t>
      </w:r>
    </w:p>
    <w:p w:rsidR="00A61F2B" w:rsidRPr="00A61F2B" w:rsidRDefault="00A61F2B" w:rsidP="00A61F2B">
      <w:pPr>
        <w:spacing w:after="0"/>
        <w:rPr>
          <w:rFonts w:eastAsia="Times New Roman"/>
          <w:szCs w:val="17"/>
        </w:rPr>
      </w:pPr>
      <w:r w:rsidRPr="00A61F2B">
        <w:rPr>
          <w:rFonts w:eastAsia="Times New Roman"/>
          <w:szCs w:val="17"/>
        </w:rPr>
        <w:t>Dated: 28 May 2020</w:t>
      </w:r>
    </w:p>
    <w:p w:rsidR="00A61F2B" w:rsidRPr="00A61F2B" w:rsidRDefault="00A61F2B" w:rsidP="00A61F2B">
      <w:pPr>
        <w:spacing w:after="0"/>
        <w:jc w:val="right"/>
        <w:rPr>
          <w:rFonts w:eastAsia="Times New Roman"/>
          <w:smallCaps/>
          <w:szCs w:val="20"/>
        </w:rPr>
      </w:pPr>
      <w:r w:rsidRPr="00A61F2B">
        <w:rPr>
          <w:rFonts w:eastAsia="Times New Roman"/>
          <w:smallCaps/>
          <w:szCs w:val="20"/>
        </w:rPr>
        <w:t>Bree Balmer</w:t>
      </w:r>
    </w:p>
    <w:p w:rsidR="00A61F2B" w:rsidRPr="00A61F2B" w:rsidRDefault="00A61F2B" w:rsidP="00A61F2B">
      <w:pPr>
        <w:spacing w:after="0"/>
        <w:jc w:val="right"/>
        <w:rPr>
          <w:rFonts w:eastAsia="Times New Roman"/>
          <w:szCs w:val="17"/>
        </w:rPr>
      </w:pPr>
      <w:r w:rsidRPr="00A61F2B">
        <w:rPr>
          <w:rFonts w:eastAsia="Times New Roman"/>
          <w:szCs w:val="17"/>
        </w:rPr>
        <w:t>Prosecutions Coordinator</w:t>
      </w:r>
    </w:p>
    <w:p w:rsidR="00A61F2B" w:rsidRPr="00A61F2B" w:rsidRDefault="00A61F2B" w:rsidP="00A61F2B">
      <w:pPr>
        <w:pBdr>
          <w:top w:val="single" w:sz="4" w:space="1" w:color="auto"/>
        </w:pBdr>
        <w:spacing w:before="100" w:after="0" w:line="14" w:lineRule="exact"/>
        <w:jc w:val="center"/>
        <w:rPr>
          <w:rFonts w:eastAsia="Times New Roman"/>
          <w:szCs w:val="17"/>
        </w:rPr>
      </w:pPr>
    </w:p>
    <w:p w:rsidR="000C7E56" w:rsidRDefault="000C7E56"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61F2B" w:rsidRPr="00A61F2B" w:rsidRDefault="00A61F2B" w:rsidP="00A61F2B">
      <w:pPr>
        <w:jc w:val="center"/>
        <w:rPr>
          <w:caps/>
          <w:szCs w:val="17"/>
        </w:rPr>
      </w:pPr>
      <w:r w:rsidRPr="00A61F2B">
        <w:rPr>
          <w:caps/>
          <w:szCs w:val="17"/>
        </w:rPr>
        <w:t>FISHERIES MANAGEMENT ACT 2007</w:t>
      </w:r>
    </w:p>
    <w:p w:rsidR="00A61F2B" w:rsidRPr="00A61F2B" w:rsidRDefault="00A61F2B" w:rsidP="00A61F2B">
      <w:pPr>
        <w:jc w:val="center"/>
        <w:rPr>
          <w:smallCaps/>
          <w:szCs w:val="17"/>
        </w:rPr>
      </w:pPr>
      <w:r w:rsidRPr="00A61F2B">
        <w:rPr>
          <w:smallCaps/>
          <w:szCs w:val="17"/>
        </w:rPr>
        <w:t>Section 90 (2)</w:t>
      </w:r>
    </w:p>
    <w:p w:rsidR="00A61F2B" w:rsidRPr="00A61F2B" w:rsidRDefault="00A61F2B" w:rsidP="00A61F2B">
      <w:pPr>
        <w:jc w:val="center"/>
        <w:rPr>
          <w:i/>
          <w:szCs w:val="17"/>
        </w:rPr>
      </w:pPr>
      <w:r w:rsidRPr="00A61F2B">
        <w:rPr>
          <w:i/>
          <w:szCs w:val="17"/>
        </w:rPr>
        <w:t>Items Seized</w:t>
      </w:r>
    </w:p>
    <w:p w:rsidR="00A61F2B" w:rsidRPr="00A61F2B" w:rsidRDefault="00A61F2B" w:rsidP="00A61F2B">
      <w:pPr>
        <w:rPr>
          <w:rFonts w:eastAsia="Times New Roman"/>
          <w:szCs w:val="17"/>
        </w:rPr>
      </w:pPr>
      <w:r w:rsidRPr="00A61F2B">
        <w:rPr>
          <w:rFonts w:eastAsia="Times New Roman"/>
          <w:szCs w:val="17"/>
        </w:rPr>
        <w:t xml:space="preserve">Notice is hereby given pursuant to Section 90 (2) of the </w:t>
      </w:r>
      <w:r w:rsidRPr="00A61F2B">
        <w:rPr>
          <w:rFonts w:eastAsia="Times New Roman"/>
          <w:i/>
          <w:szCs w:val="17"/>
        </w:rPr>
        <w:t>Fisheries Management Act, 2007</w:t>
      </w:r>
      <w:r w:rsidRPr="00A61F2B">
        <w:rPr>
          <w:rFonts w:eastAsia="Times New Roman"/>
          <w:szCs w:val="17"/>
        </w:rPr>
        <w:t>, that the following items have been seized by Officers of the Department of Primary Industries and Regions SA, Fisheries and Aquaculture at STANSBURY on 26/11/2019.</w:t>
      </w:r>
    </w:p>
    <w:p w:rsidR="00A61F2B" w:rsidRPr="00A61F2B" w:rsidRDefault="00A61F2B" w:rsidP="00A61F2B">
      <w:pPr>
        <w:numPr>
          <w:ilvl w:val="0"/>
          <w:numId w:val="30"/>
        </w:numPr>
        <w:tabs>
          <w:tab w:val="left" w:pos="426"/>
        </w:tabs>
        <w:rPr>
          <w:rFonts w:eastAsia="Times New Roman"/>
          <w:b/>
          <w:szCs w:val="17"/>
        </w:rPr>
      </w:pPr>
      <w:r w:rsidRPr="00A61F2B">
        <w:rPr>
          <w:rFonts w:eastAsia="Times New Roman"/>
          <w:b/>
          <w:szCs w:val="17"/>
        </w:rPr>
        <w:t>Collapsible Crab Pots with multiple entry points, orange mesh, green rope and white buoy.</w:t>
      </w:r>
    </w:p>
    <w:p w:rsidR="00A61F2B" w:rsidRPr="00A61F2B" w:rsidRDefault="00A61F2B" w:rsidP="00A61F2B">
      <w:pPr>
        <w:tabs>
          <w:tab w:val="left" w:pos="426"/>
        </w:tabs>
        <w:rPr>
          <w:rFonts w:eastAsia="Times New Roman"/>
          <w:szCs w:val="17"/>
        </w:rPr>
      </w:pPr>
      <w:r w:rsidRPr="00A61F2B">
        <w:rPr>
          <w:rFonts w:eastAsia="Times New Roman"/>
          <w:szCs w:val="17"/>
        </w:rPr>
        <w:t xml:space="preserve">The above items were suspected to have been used, or intended to be used, in contravention of the </w:t>
      </w:r>
      <w:r w:rsidRPr="00A61F2B">
        <w:rPr>
          <w:rFonts w:eastAsia="Times New Roman"/>
          <w:i/>
          <w:szCs w:val="17"/>
        </w:rPr>
        <w:t>Fisheries Management Act, 2007</w:t>
      </w:r>
      <w:r w:rsidRPr="00A61F2B">
        <w:rPr>
          <w:rFonts w:eastAsia="Times New Roman"/>
          <w:szCs w:val="17"/>
        </w:rPr>
        <w:t>, and were taken into possession at:</w:t>
      </w:r>
    </w:p>
    <w:p w:rsidR="00A61F2B" w:rsidRPr="00A61F2B" w:rsidRDefault="00A61F2B" w:rsidP="00A61F2B">
      <w:pPr>
        <w:ind w:left="142"/>
        <w:rPr>
          <w:rFonts w:eastAsia="Times New Roman"/>
          <w:b/>
          <w:szCs w:val="17"/>
        </w:rPr>
      </w:pPr>
      <w:r w:rsidRPr="00A61F2B">
        <w:rPr>
          <w:rFonts w:eastAsia="Times New Roman"/>
          <w:b/>
          <w:szCs w:val="17"/>
        </w:rPr>
        <w:t>STANSBURY</w:t>
      </w:r>
    </w:p>
    <w:p w:rsidR="00A61F2B" w:rsidRPr="00A61F2B" w:rsidRDefault="00A61F2B" w:rsidP="00A61F2B">
      <w:pPr>
        <w:rPr>
          <w:rFonts w:eastAsia="Times New Roman"/>
          <w:szCs w:val="17"/>
        </w:rPr>
      </w:pPr>
      <w:r w:rsidRPr="00A61F2B">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A61F2B" w:rsidRPr="00A61F2B" w:rsidRDefault="00A61F2B" w:rsidP="00A61F2B">
      <w:pPr>
        <w:rPr>
          <w:rFonts w:eastAsia="Times New Roman"/>
          <w:szCs w:val="17"/>
        </w:rPr>
      </w:pPr>
      <w:r w:rsidRPr="00A61F2B">
        <w:rPr>
          <w:rFonts w:eastAsia="Times New Roman"/>
          <w:szCs w:val="17"/>
        </w:rPr>
        <w:t xml:space="preserve">The above items may be viewed at the </w:t>
      </w:r>
      <w:r w:rsidRPr="00A61F2B">
        <w:rPr>
          <w:rFonts w:eastAsia="Times New Roman"/>
          <w:b/>
          <w:szCs w:val="17"/>
        </w:rPr>
        <w:t xml:space="preserve">Yorketown </w:t>
      </w:r>
      <w:r w:rsidRPr="00A61F2B">
        <w:rPr>
          <w:rFonts w:eastAsia="Times New Roman"/>
          <w:szCs w:val="17"/>
        </w:rPr>
        <w:t>office of the Department of Primary Industries and Regions SA, Fisheries and Aquaculture.</w:t>
      </w:r>
    </w:p>
    <w:p w:rsidR="00A61F2B" w:rsidRPr="00A61F2B" w:rsidRDefault="00A61F2B" w:rsidP="00A61F2B">
      <w:pPr>
        <w:spacing w:after="0"/>
        <w:rPr>
          <w:rFonts w:eastAsia="Times New Roman"/>
          <w:szCs w:val="17"/>
        </w:rPr>
      </w:pPr>
      <w:r w:rsidRPr="00A61F2B">
        <w:rPr>
          <w:rFonts w:eastAsia="Times New Roman"/>
          <w:szCs w:val="17"/>
        </w:rPr>
        <w:t>Dated: 29 May 2020</w:t>
      </w:r>
    </w:p>
    <w:p w:rsidR="00A61F2B" w:rsidRPr="00A61F2B" w:rsidRDefault="00A61F2B" w:rsidP="00A61F2B">
      <w:pPr>
        <w:spacing w:after="0"/>
        <w:jc w:val="right"/>
        <w:rPr>
          <w:rFonts w:eastAsia="Times New Roman"/>
          <w:smallCaps/>
          <w:szCs w:val="20"/>
        </w:rPr>
      </w:pPr>
      <w:r w:rsidRPr="00A61F2B">
        <w:rPr>
          <w:rFonts w:eastAsia="Times New Roman"/>
          <w:smallCaps/>
          <w:szCs w:val="20"/>
        </w:rPr>
        <w:t>Bree Balmer</w:t>
      </w:r>
    </w:p>
    <w:p w:rsidR="00A61F2B" w:rsidRPr="00A61F2B" w:rsidRDefault="00A61F2B" w:rsidP="00A61F2B">
      <w:pPr>
        <w:spacing w:after="0"/>
        <w:jc w:val="right"/>
        <w:rPr>
          <w:rFonts w:eastAsia="Times New Roman"/>
          <w:szCs w:val="17"/>
        </w:rPr>
      </w:pPr>
      <w:r w:rsidRPr="00A61F2B">
        <w:rPr>
          <w:rFonts w:eastAsia="Times New Roman"/>
          <w:szCs w:val="17"/>
        </w:rPr>
        <w:t>Prosecutions Coordinator</w:t>
      </w:r>
    </w:p>
    <w:p w:rsidR="00A61F2B" w:rsidRPr="00A61F2B" w:rsidRDefault="00A61F2B" w:rsidP="00A61F2B">
      <w:pPr>
        <w:pBdr>
          <w:top w:val="single" w:sz="4" w:space="1" w:color="auto"/>
        </w:pBdr>
        <w:spacing w:before="100" w:after="0" w:line="14" w:lineRule="exact"/>
        <w:jc w:val="center"/>
        <w:rPr>
          <w:rFonts w:eastAsia="Times New Roman"/>
          <w:szCs w:val="17"/>
        </w:rPr>
      </w:pPr>
    </w:p>
    <w:p w:rsidR="00A61F2B" w:rsidRDefault="00A61F2B"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436B7" w:rsidRPr="004436B7" w:rsidRDefault="004436B7" w:rsidP="004436B7">
      <w:pPr>
        <w:jc w:val="center"/>
        <w:rPr>
          <w:caps/>
          <w:szCs w:val="17"/>
        </w:rPr>
      </w:pPr>
      <w:r w:rsidRPr="004436B7">
        <w:rPr>
          <w:caps/>
          <w:szCs w:val="17"/>
        </w:rPr>
        <w:t>FISHERIES MANAGEMENT ACT 2007</w:t>
      </w:r>
    </w:p>
    <w:p w:rsidR="004436B7" w:rsidRPr="004436B7" w:rsidRDefault="004436B7" w:rsidP="004436B7">
      <w:pPr>
        <w:jc w:val="center"/>
        <w:rPr>
          <w:smallCaps/>
          <w:szCs w:val="17"/>
        </w:rPr>
      </w:pPr>
      <w:r w:rsidRPr="004436B7">
        <w:rPr>
          <w:smallCaps/>
          <w:szCs w:val="17"/>
        </w:rPr>
        <w:t>Section 90 (2)</w:t>
      </w:r>
    </w:p>
    <w:p w:rsidR="004436B7" w:rsidRPr="004436B7" w:rsidRDefault="004436B7" w:rsidP="004436B7">
      <w:pPr>
        <w:jc w:val="center"/>
        <w:rPr>
          <w:i/>
          <w:szCs w:val="17"/>
        </w:rPr>
      </w:pPr>
      <w:r w:rsidRPr="004436B7">
        <w:rPr>
          <w:i/>
          <w:szCs w:val="17"/>
        </w:rPr>
        <w:t>Items Seized</w:t>
      </w:r>
    </w:p>
    <w:p w:rsidR="004436B7" w:rsidRPr="004436B7" w:rsidRDefault="004436B7" w:rsidP="004436B7">
      <w:pPr>
        <w:rPr>
          <w:rFonts w:eastAsia="Times New Roman"/>
          <w:szCs w:val="17"/>
        </w:rPr>
      </w:pPr>
      <w:r w:rsidRPr="004436B7">
        <w:rPr>
          <w:rFonts w:eastAsia="Times New Roman"/>
          <w:szCs w:val="17"/>
        </w:rPr>
        <w:t xml:space="preserve">Notice is hereby given pursuant to Section 90 (2) of the </w:t>
      </w:r>
      <w:r w:rsidRPr="004436B7">
        <w:rPr>
          <w:rFonts w:eastAsia="Times New Roman"/>
          <w:i/>
          <w:szCs w:val="17"/>
        </w:rPr>
        <w:t>Fisheries Management Act, 2007</w:t>
      </w:r>
      <w:r w:rsidRPr="004436B7">
        <w:rPr>
          <w:rFonts w:eastAsia="Times New Roman"/>
          <w:szCs w:val="17"/>
        </w:rPr>
        <w:t>, that the following items have been seized by Officers of the Department of Primary Industries and Regions SA, Fisheries and Aquaculture at THISTLE ISLAND on 27/04/2020.</w:t>
      </w:r>
    </w:p>
    <w:p w:rsidR="004436B7" w:rsidRPr="004436B7" w:rsidRDefault="004436B7" w:rsidP="004436B7">
      <w:pPr>
        <w:numPr>
          <w:ilvl w:val="0"/>
          <w:numId w:val="31"/>
        </w:numPr>
        <w:spacing w:line="240" w:lineRule="auto"/>
        <w:ind w:left="426" w:hanging="284"/>
        <w:contextualSpacing/>
        <w:rPr>
          <w:rFonts w:eastAsia="Times New Roman"/>
          <w:b/>
          <w:szCs w:val="24"/>
        </w:rPr>
      </w:pPr>
      <w:r w:rsidRPr="004436B7">
        <w:rPr>
          <w:rFonts w:eastAsia="Times New Roman"/>
          <w:b/>
          <w:szCs w:val="24"/>
        </w:rPr>
        <w:t>Rock Lobster pot with broken rusted steel frame, mesh net with SLED attached, 2 escape gaps, 1 black plastic bait container with lid, black plastic neck, green 3 strand rope attached to white 4L buoy and pink inflatable 4L buoy. Pink 2019/2020 rec pot registration tag (broken). No number’s attached.</w:t>
      </w:r>
    </w:p>
    <w:p w:rsidR="004436B7" w:rsidRPr="004436B7" w:rsidRDefault="004436B7" w:rsidP="004436B7">
      <w:pPr>
        <w:pStyle w:val="GG-body"/>
      </w:pPr>
      <w:r w:rsidRPr="004436B7">
        <w:t xml:space="preserve">The above items were suspected to have been used, or intended to be used, in contravention of the </w:t>
      </w:r>
      <w:r w:rsidRPr="004436B7">
        <w:rPr>
          <w:i/>
        </w:rPr>
        <w:t>Fisheries Management Act, 2007</w:t>
      </w:r>
      <w:r w:rsidRPr="004436B7">
        <w:t>, and were taken into possession at:</w:t>
      </w:r>
    </w:p>
    <w:p w:rsidR="004436B7" w:rsidRPr="004436B7" w:rsidRDefault="004436B7" w:rsidP="004436B7">
      <w:pPr>
        <w:ind w:left="142"/>
        <w:rPr>
          <w:rFonts w:eastAsia="Times New Roman"/>
          <w:b/>
          <w:szCs w:val="17"/>
        </w:rPr>
      </w:pPr>
      <w:r w:rsidRPr="004436B7">
        <w:rPr>
          <w:rFonts w:eastAsia="Times New Roman"/>
          <w:b/>
          <w:szCs w:val="24"/>
        </w:rPr>
        <w:t>THISTLE ISLAND</w:t>
      </w:r>
    </w:p>
    <w:p w:rsidR="004436B7" w:rsidRPr="004436B7" w:rsidRDefault="004436B7" w:rsidP="004436B7">
      <w:pPr>
        <w:rPr>
          <w:rFonts w:eastAsia="Times New Roman"/>
          <w:szCs w:val="17"/>
        </w:rPr>
      </w:pPr>
      <w:r w:rsidRPr="004436B7">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4436B7" w:rsidRPr="004436B7" w:rsidRDefault="004436B7" w:rsidP="004436B7">
      <w:pPr>
        <w:rPr>
          <w:rFonts w:eastAsia="Times New Roman"/>
          <w:szCs w:val="17"/>
        </w:rPr>
      </w:pPr>
      <w:r w:rsidRPr="004436B7">
        <w:rPr>
          <w:rFonts w:eastAsia="Times New Roman"/>
          <w:szCs w:val="17"/>
        </w:rPr>
        <w:t xml:space="preserve">The above items may be viewed at the </w:t>
      </w:r>
      <w:r w:rsidRPr="004436B7">
        <w:rPr>
          <w:rFonts w:eastAsia="Times New Roman"/>
          <w:b/>
          <w:szCs w:val="24"/>
        </w:rPr>
        <w:t>Port Lincoln</w:t>
      </w:r>
      <w:r w:rsidRPr="004436B7">
        <w:rPr>
          <w:rFonts w:eastAsia="Times New Roman"/>
          <w:b/>
          <w:szCs w:val="17"/>
        </w:rPr>
        <w:t xml:space="preserve"> </w:t>
      </w:r>
      <w:r w:rsidRPr="004436B7">
        <w:rPr>
          <w:rFonts w:eastAsia="Times New Roman"/>
          <w:szCs w:val="17"/>
        </w:rPr>
        <w:t>office of the Department of Primary Industries and Regions SA, Fisheries and Aquaculture.</w:t>
      </w:r>
    </w:p>
    <w:p w:rsidR="004436B7" w:rsidRPr="004436B7" w:rsidRDefault="004436B7" w:rsidP="004436B7">
      <w:pPr>
        <w:spacing w:after="0"/>
        <w:rPr>
          <w:rFonts w:eastAsia="Times New Roman"/>
          <w:szCs w:val="17"/>
        </w:rPr>
      </w:pPr>
      <w:r w:rsidRPr="004436B7">
        <w:rPr>
          <w:rFonts w:eastAsia="Times New Roman"/>
          <w:szCs w:val="17"/>
        </w:rPr>
        <w:t>Dated: 28 May 2020</w:t>
      </w:r>
    </w:p>
    <w:p w:rsidR="004436B7" w:rsidRPr="004436B7" w:rsidRDefault="004436B7" w:rsidP="004436B7">
      <w:pPr>
        <w:spacing w:after="0"/>
        <w:jc w:val="right"/>
        <w:rPr>
          <w:rFonts w:eastAsia="Times New Roman"/>
          <w:smallCaps/>
          <w:szCs w:val="20"/>
        </w:rPr>
      </w:pPr>
      <w:r w:rsidRPr="004436B7">
        <w:rPr>
          <w:rFonts w:eastAsia="Times New Roman"/>
          <w:smallCaps/>
          <w:szCs w:val="20"/>
        </w:rPr>
        <w:t>Bree Balmer</w:t>
      </w:r>
    </w:p>
    <w:p w:rsidR="004436B7" w:rsidRPr="004436B7" w:rsidRDefault="004436B7" w:rsidP="004436B7">
      <w:pPr>
        <w:spacing w:after="0"/>
        <w:jc w:val="right"/>
        <w:rPr>
          <w:rFonts w:eastAsia="Times New Roman"/>
          <w:szCs w:val="17"/>
        </w:rPr>
      </w:pPr>
      <w:r w:rsidRPr="004436B7">
        <w:rPr>
          <w:rFonts w:eastAsia="Times New Roman"/>
          <w:szCs w:val="17"/>
        </w:rPr>
        <w:t>Prosecutions Coordinator</w:t>
      </w:r>
    </w:p>
    <w:p w:rsidR="004436B7" w:rsidRPr="004436B7" w:rsidRDefault="004436B7" w:rsidP="004436B7">
      <w:pPr>
        <w:pBdr>
          <w:top w:val="single" w:sz="4" w:space="1" w:color="auto"/>
        </w:pBdr>
        <w:spacing w:before="100" w:after="0" w:line="14" w:lineRule="exact"/>
        <w:jc w:val="center"/>
        <w:rPr>
          <w:rFonts w:eastAsia="Times New Roman"/>
          <w:szCs w:val="17"/>
        </w:rPr>
      </w:pPr>
    </w:p>
    <w:p w:rsidR="00A61F2B" w:rsidRDefault="00A61F2B"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436B7" w:rsidRPr="004436B7" w:rsidRDefault="004436B7" w:rsidP="004436B7">
      <w:pPr>
        <w:jc w:val="center"/>
        <w:rPr>
          <w:caps/>
          <w:szCs w:val="17"/>
        </w:rPr>
      </w:pPr>
      <w:r w:rsidRPr="004436B7">
        <w:rPr>
          <w:caps/>
          <w:szCs w:val="17"/>
        </w:rPr>
        <w:t>FISHERIES MANAGEMENT ACT 2007</w:t>
      </w:r>
    </w:p>
    <w:p w:rsidR="004436B7" w:rsidRPr="004436B7" w:rsidRDefault="004436B7" w:rsidP="004436B7">
      <w:pPr>
        <w:jc w:val="center"/>
        <w:rPr>
          <w:smallCaps/>
          <w:szCs w:val="17"/>
        </w:rPr>
      </w:pPr>
      <w:r w:rsidRPr="004436B7">
        <w:rPr>
          <w:smallCaps/>
          <w:szCs w:val="17"/>
        </w:rPr>
        <w:t>Section 90 (2)</w:t>
      </w:r>
    </w:p>
    <w:p w:rsidR="004436B7" w:rsidRPr="004436B7" w:rsidRDefault="004436B7" w:rsidP="004436B7">
      <w:pPr>
        <w:jc w:val="center"/>
        <w:rPr>
          <w:i/>
          <w:szCs w:val="17"/>
        </w:rPr>
      </w:pPr>
      <w:r w:rsidRPr="004436B7">
        <w:rPr>
          <w:i/>
          <w:szCs w:val="17"/>
        </w:rPr>
        <w:t>Items Seized</w:t>
      </w:r>
    </w:p>
    <w:p w:rsidR="004436B7" w:rsidRPr="004436B7" w:rsidRDefault="004436B7" w:rsidP="004436B7">
      <w:pPr>
        <w:rPr>
          <w:rFonts w:eastAsia="Times New Roman"/>
          <w:szCs w:val="17"/>
        </w:rPr>
      </w:pPr>
      <w:r w:rsidRPr="004436B7">
        <w:rPr>
          <w:rFonts w:eastAsia="Times New Roman"/>
          <w:szCs w:val="17"/>
        </w:rPr>
        <w:t xml:space="preserve">Notice is hereby given pursuant to Section 90 (2) of the </w:t>
      </w:r>
      <w:r w:rsidRPr="004436B7">
        <w:rPr>
          <w:rFonts w:eastAsia="Times New Roman"/>
          <w:i/>
          <w:szCs w:val="17"/>
        </w:rPr>
        <w:t>Fisheries Management Act, 2007</w:t>
      </w:r>
      <w:r w:rsidRPr="004436B7">
        <w:rPr>
          <w:rFonts w:eastAsia="Times New Roman"/>
          <w:szCs w:val="17"/>
        </w:rPr>
        <w:t>, that the following items have been seized by Officers of the Department of Primary Industries and Regions SA, Fisheries and Aquaculture at TOD RIVER on 27/05/2020.</w:t>
      </w:r>
    </w:p>
    <w:p w:rsidR="004436B7" w:rsidRPr="004436B7" w:rsidRDefault="004436B7" w:rsidP="004436B7">
      <w:pPr>
        <w:numPr>
          <w:ilvl w:val="0"/>
          <w:numId w:val="32"/>
        </w:numPr>
        <w:spacing w:line="240" w:lineRule="auto"/>
        <w:ind w:left="426" w:hanging="284"/>
        <w:contextualSpacing/>
        <w:rPr>
          <w:rFonts w:eastAsia="Times New Roman"/>
          <w:b/>
          <w:szCs w:val="24"/>
        </w:rPr>
      </w:pPr>
      <w:r w:rsidRPr="004436B7">
        <w:rPr>
          <w:rFonts w:eastAsia="Times New Roman"/>
          <w:b/>
          <w:szCs w:val="24"/>
        </w:rPr>
        <w:t>fish net approximately 20 - 30 m (tangled), 100mm brown mesh, white rope lead line containing lead weights, 12 small poppers (10 x brown and 2 x pink), blue rope and red/brown float.</w:t>
      </w:r>
    </w:p>
    <w:p w:rsidR="004436B7" w:rsidRPr="004436B7" w:rsidRDefault="004436B7" w:rsidP="004436B7">
      <w:pPr>
        <w:pStyle w:val="GG-body"/>
      </w:pPr>
      <w:r w:rsidRPr="004436B7">
        <w:t xml:space="preserve">The above items were suspected to have been used, or intended to be used, in contravention of the </w:t>
      </w:r>
      <w:r w:rsidRPr="004436B7">
        <w:rPr>
          <w:i/>
        </w:rPr>
        <w:t>Fisheries Management Act, 2007</w:t>
      </w:r>
      <w:r w:rsidRPr="004436B7">
        <w:t>, and were taken into possession at:</w:t>
      </w:r>
    </w:p>
    <w:p w:rsidR="004436B7" w:rsidRPr="004436B7" w:rsidRDefault="004436B7" w:rsidP="004436B7">
      <w:pPr>
        <w:ind w:left="142"/>
        <w:rPr>
          <w:rFonts w:eastAsia="Times New Roman"/>
          <w:b/>
          <w:szCs w:val="17"/>
        </w:rPr>
      </w:pPr>
      <w:r w:rsidRPr="004436B7">
        <w:rPr>
          <w:rFonts w:eastAsia="Times New Roman"/>
          <w:b/>
          <w:szCs w:val="24"/>
        </w:rPr>
        <w:t>TOD RIVER</w:t>
      </w:r>
    </w:p>
    <w:p w:rsidR="004436B7" w:rsidRPr="004436B7" w:rsidRDefault="004436B7" w:rsidP="004436B7">
      <w:pPr>
        <w:rPr>
          <w:rFonts w:eastAsia="Times New Roman"/>
          <w:szCs w:val="17"/>
        </w:rPr>
      </w:pPr>
      <w:r w:rsidRPr="004436B7">
        <w:rPr>
          <w:rFonts w:eastAsia="Times New Roman"/>
          <w:szCs w:val="17"/>
        </w:rPr>
        <w:lastRenderedPageBreak/>
        <w:t>After the expiration of one month from the date of this notice the items listed above shall, on the order of the Minister for Agriculture, Food and Fisheries, be forfeited to the Crown and shall be either disposed of by sale or destruction.</w:t>
      </w:r>
    </w:p>
    <w:p w:rsidR="004436B7" w:rsidRPr="004436B7" w:rsidRDefault="004436B7" w:rsidP="004436B7">
      <w:pPr>
        <w:rPr>
          <w:rFonts w:eastAsia="Times New Roman"/>
          <w:szCs w:val="17"/>
        </w:rPr>
      </w:pPr>
      <w:r w:rsidRPr="004436B7">
        <w:rPr>
          <w:rFonts w:eastAsia="Times New Roman"/>
          <w:szCs w:val="17"/>
        </w:rPr>
        <w:t xml:space="preserve">The above items may be viewed at the </w:t>
      </w:r>
      <w:r w:rsidRPr="004436B7">
        <w:rPr>
          <w:rFonts w:eastAsia="Times New Roman"/>
          <w:b/>
          <w:szCs w:val="24"/>
        </w:rPr>
        <w:t>Port Lincoln</w:t>
      </w:r>
      <w:r w:rsidRPr="004436B7">
        <w:rPr>
          <w:rFonts w:eastAsia="Times New Roman"/>
          <w:b/>
          <w:szCs w:val="17"/>
        </w:rPr>
        <w:t xml:space="preserve"> </w:t>
      </w:r>
      <w:r w:rsidRPr="004436B7">
        <w:rPr>
          <w:rFonts w:eastAsia="Times New Roman"/>
          <w:szCs w:val="17"/>
        </w:rPr>
        <w:t>office of the Department of Primary Industries and Regions SA, Fisheries and Aquaculture.</w:t>
      </w:r>
    </w:p>
    <w:p w:rsidR="004436B7" w:rsidRPr="004436B7" w:rsidRDefault="004436B7" w:rsidP="004436B7">
      <w:pPr>
        <w:spacing w:after="0"/>
        <w:rPr>
          <w:rFonts w:eastAsia="Times New Roman"/>
          <w:szCs w:val="17"/>
        </w:rPr>
      </w:pPr>
      <w:r w:rsidRPr="004436B7">
        <w:rPr>
          <w:rFonts w:eastAsia="Times New Roman"/>
          <w:szCs w:val="17"/>
        </w:rPr>
        <w:t>Dated: 29 May 2020</w:t>
      </w:r>
    </w:p>
    <w:p w:rsidR="004436B7" w:rsidRPr="004436B7" w:rsidRDefault="004436B7" w:rsidP="004436B7">
      <w:pPr>
        <w:spacing w:after="0"/>
        <w:jc w:val="right"/>
        <w:rPr>
          <w:rFonts w:eastAsia="Times New Roman"/>
          <w:smallCaps/>
          <w:szCs w:val="20"/>
        </w:rPr>
      </w:pPr>
      <w:r w:rsidRPr="004436B7">
        <w:rPr>
          <w:rFonts w:eastAsia="Times New Roman"/>
          <w:smallCaps/>
          <w:szCs w:val="20"/>
        </w:rPr>
        <w:t>Bree Balmer</w:t>
      </w:r>
    </w:p>
    <w:p w:rsidR="004436B7" w:rsidRPr="004436B7" w:rsidRDefault="004436B7" w:rsidP="004436B7">
      <w:pPr>
        <w:spacing w:after="0"/>
        <w:jc w:val="right"/>
        <w:rPr>
          <w:rFonts w:eastAsia="Times New Roman"/>
          <w:szCs w:val="17"/>
        </w:rPr>
      </w:pPr>
      <w:r w:rsidRPr="004436B7">
        <w:rPr>
          <w:rFonts w:eastAsia="Times New Roman"/>
          <w:szCs w:val="17"/>
        </w:rPr>
        <w:t>Prosecutions Coordinator</w:t>
      </w:r>
    </w:p>
    <w:p w:rsidR="004436B7" w:rsidRPr="004436B7" w:rsidRDefault="004436B7" w:rsidP="004436B7">
      <w:pPr>
        <w:pBdr>
          <w:top w:val="single" w:sz="4" w:space="1" w:color="auto"/>
        </w:pBdr>
        <w:spacing w:before="100" w:after="0" w:line="14" w:lineRule="exact"/>
        <w:jc w:val="center"/>
        <w:rPr>
          <w:rFonts w:eastAsia="Times New Roman"/>
          <w:szCs w:val="17"/>
        </w:rPr>
      </w:pPr>
    </w:p>
    <w:p w:rsidR="00C310DA" w:rsidRDefault="00C310DA"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436B7" w:rsidRPr="004436B7" w:rsidRDefault="004436B7" w:rsidP="004436B7">
      <w:pPr>
        <w:jc w:val="center"/>
        <w:rPr>
          <w:caps/>
          <w:szCs w:val="17"/>
        </w:rPr>
      </w:pPr>
      <w:r w:rsidRPr="004436B7">
        <w:rPr>
          <w:caps/>
          <w:szCs w:val="17"/>
        </w:rPr>
        <w:t>FISHERIES MANAGEMENT ACT 2007</w:t>
      </w:r>
    </w:p>
    <w:p w:rsidR="004436B7" w:rsidRPr="004436B7" w:rsidRDefault="004436B7" w:rsidP="004436B7">
      <w:pPr>
        <w:jc w:val="center"/>
        <w:rPr>
          <w:smallCaps/>
          <w:szCs w:val="17"/>
        </w:rPr>
      </w:pPr>
      <w:r w:rsidRPr="004436B7">
        <w:rPr>
          <w:smallCaps/>
          <w:szCs w:val="17"/>
        </w:rPr>
        <w:t>Section 90 (2)</w:t>
      </w:r>
    </w:p>
    <w:p w:rsidR="004436B7" w:rsidRPr="004436B7" w:rsidRDefault="004436B7" w:rsidP="004436B7">
      <w:pPr>
        <w:jc w:val="center"/>
        <w:rPr>
          <w:i/>
          <w:szCs w:val="17"/>
        </w:rPr>
      </w:pPr>
      <w:r w:rsidRPr="004436B7">
        <w:rPr>
          <w:i/>
          <w:szCs w:val="17"/>
        </w:rPr>
        <w:t>Items Seized</w:t>
      </w:r>
    </w:p>
    <w:p w:rsidR="004436B7" w:rsidRPr="004436B7" w:rsidRDefault="004436B7" w:rsidP="004436B7">
      <w:pPr>
        <w:rPr>
          <w:rFonts w:eastAsia="Times New Roman"/>
          <w:szCs w:val="17"/>
        </w:rPr>
      </w:pPr>
      <w:r w:rsidRPr="004436B7">
        <w:rPr>
          <w:rFonts w:eastAsia="Times New Roman"/>
          <w:szCs w:val="17"/>
        </w:rPr>
        <w:t xml:space="preserve">Notice is hereby given pursuant to Section 90 (2) of the </w:t>
      </w:r>
      <w:r w:rsidRPr="004436B7">
        <w:rPr>
          <w:rFonts w:eastAsia="Times New Roman"/>
          <w:i/>
          <w:szCs w:val="17"/>
        </w:rPr>
        <w:t>Fisheries Management Act, 2007</w:t>
      </w:r>
      <w:r w:rsidRPr="004436B7">
        <w:rPr>
          <w:rFonts w:eastAsia="Times New Roman"/>
          <w:szCs w:val="17"/>
        </w:rPr>
        <w:t>, that the following items have been seized by Officers of the Department of Primary Industries and Regions SA, Fisheries and Aquaculture at WALLAROO on 18/12/2018.</w:t>
      </w:r>
    </w:p>
    <w:p w:rsidR="004436B7" w:rsidRPr="004436B7" w:rsidRDefault="004436B7" w:rsidP="004436B7">
      <w:pPr>
        <w:numPr>
          <w:ilvl w:val="0"/>
          <w:numId w:val="33"/>
        </w:numPr>
        <w:tabs>
          <w:tab w:val="left" w:pos="426"/>
        </w:tabs>
        <w:rPr>
          <w:rFonts w:eastAsia="Times New Roman"/>
          <w:b/>
          <w:szCs w:val="17"/>
        </w:rPr>
      </w:pPr>
      <w:r w:rsidRPr="004436B7">
        <w:rPr>
          <w:rFonts w:eastAsia="Times New Roman"/>
          <w:b/>
          <w:szCs w:val="17"/>
        </w:rPr>
        <w:t>Fish Trap, Shrimp net.</w:t>
      </w:r>
    </w:p>
    <w:p w:rsidR="004436B7" w:rsidRPr="004436B7" w:rsidRDefault="004436B7" w:rsidP="004436B7">
      <w:pPr>
        <w:tabs>
          <w:tab w:val="left" w:pos="426"/>
        </w:tabs>
        <w:rPr>
          <w:rFonts w:eastAsia="Times New Roman"/>
          <w:szCs w:val="17"/>
        </w:rPr>
      </w:pPr>
      <w:r w:rsidRPr="004436B7">
        <w:rPr>
          <w:rFonts w:eastAsia="Times New Roman"/>
          <w:szCs w:val="17"/>
        </w:rPr>
        <w:t xml:space="preserve">The above items were suspected to have been used, or intended to be used, in contravention of the </w:t>
      </w:r>
      <w:r w:rsidRPr="004436B7">
        <w:rPr>
          <w:rFonts w:eastAsia="Times New Roman"/>
          <w:i/>
          <w:szCs w:val="17"/>
        </w:rPr>
        <w:t>Fisheries Management Act, 2007</w:t>
      </w:r>
      <w:r w:rsidRPr="004436B7">
        <w:rPr>
          <w:rFonts w:eastAsia="Times New Roman"/>
          <w:szCs w:val="17"/>
        </w:rPr>
        <w:t>, and were taken into possession at:</w:t>
      </w:r>
    </w:p>
    <w:p w:rsidR="004436B7" w:rsidRPr="004436B7" w:rsidRDefault="004436B7" w:rsidP="004436B7">
      <w:pPr>
        <w:ind w:left="142"/>
        <w:rPr>
          <w:rFonts w:eastAsia="Times New Roman"/>
          <w:b/>
          <w:szCs w:val="17"/>
        </w:rPr>
      </w:pPr>
      <w:r w:rsidRPr="004436B7">
        <w:rPr>
          <w:rFonts w:eastAsia="Times New Roman"/>
          <w:b/>
          <w:szCs w:val="17"/>
        </w:rPr>
        <w:t>WALLAROO</w:t>
      </w:r>
    </w:p>
    <w:p w:rsidR="004436B7" w:rsidRPr="004436B7" w:rsidRDefault="004436B7" w:rsidP="004436B7">
      <w:pPr>
        <w:rPr>
          <w:rFonts w:eastAsia="Times New Roman"/>
          <w:szCs w:val="17"/>
        </w:rPr>
      </w:pPr>
      <w:r w:rsidRPr="004436B7">
        <w:rPr>
          <w:rFonts w:eastAsia="Times New Roman"/>
          <w:szCs w:val="17"/>
        </w:rPr>
        <w:t>After the expiration of one month from the date of this notice the items listed above shall, on the order of the Minister for Agriculture, Food and Fisheries, be forfeited to the Crown and shall be either disposed of by sale or destruction.</w:t>
      </w:r>
    </w:p>
    <w:p w:rsidR="004436B7" w:rsidRPr="004436B7" w:rsidRDefault="004436B7" w:rsidP="004436B7">
      <w:pPr>
        <w:rPr>
          <w:rFonts w:eastAsia="Times New Roman"/>
          <w:szCs w:val="17"/>
        </w:rPr>
      </w:pPr>
      <w:r w:rsidRPr="004436B7">
        <w:rPr>
          <w:rFonts w:eastAsia="Times New Roman"/>
          <w:szCs w:val="17"/>
        </w:rPr>
        <w:t xml:space="preserve">The above items may be viewed at the </w:t>
      </w:r>
      <w:r w:rsidRPr="004436B7">
        <w:rPr>
          <w:rFonts w:eastAsia="Times New Roman"/>
          <w:b/>
          <w:szCs w:val="17"/>
        </w:rPr>
        <w:t xml:space="preserve">Moonta </w:t>
      </w:r>
      <w:r w:rsidRPr="004436B7">
        <w:rPr>
          <w:rFonts w:eastAsia="Times New Roman"/>
          <w:szCs w:val="17"/>
        </w:rPr>
        <w:t>office of the Department of Primary Industries and Regions SA, Fisheries and Aquaculture.</w:t>
      </w:r>
    </w:p>
    <w:p w:rsidR="004436B7" w:rsidRPr="004436B7" w:rsidRDefault="004436B7" w:rsidP="004436B7">
      <w:pPr>
        <w:spacing w:after="0"/>
        <w:rPr>
          <w:rFonts w:eastAsia="Times New Roman"/>
          <w:szCs w:val="17"/>
        </w:rPr>
      </w:pPr>
      <w:r w:rsidRPr="004436B7">
        <w:rPr>
          <w:rFonts w:eastAsia="Times New Roman"/>
          <w:szCs w:val="17"/>
        </w:rPr>
        <w:t>Dated: 29 May 2020</w:t>
      </w:r>
    </w:p>
    <w:p w:rsidR="004436B7" w:rsidRPr="004436B7" w:rsidRDefault="004436B7" w:rsidP="004436B7">
      <w:pPr>
        <w:spacing w:after="0"/>
        <w:jc w:val="right"/>
        <w:rPr>
          <w:rFonts w:eastAsia="Times New Roman"/>
          <w:smallCaps/>
          <w:szCs w:val="20"/>
        </w:rPr>
      </w:pPr>
      <w:r w:rsidRPr="004436B7">
        <w:rPr>
          <w:rFonts w:eastAsia="Times New Roman"/>
          <w:smallCaps/>
          <w:szCs w:val="20"/>
        </w:rPr>
        <w:t>Bree Balmer</w:t>
      </w:r>
    </w:p>
    <w:p w:rsidR="00C310DA" w:rsidRDefault="004436B7" w:rsidP="004436B7">
      <w:pPr>
        <w:spacing w:after="0"/>
        <w:jc w:val="right"/>
        <w:rPr>
          <w:rFonts w:eastAsia="Times New Roman"/>
          <w:szCs w:val="17"/>
        </w:rPr>
      </w:pPr>
      <w:r w:rsidRPr="004436B7">
        <w:rPr>
          <w:rFonts w:eastAsia="Times New Roman"/>
          <w:szCs w:val="17"/>
        </w:rPr>
        <w:t>Prosecutions Coordinator</w:t>
      </w:r>
    </w:p>
    <w:p w:rsidR="004436B7" w:rsidRDefault="004436B7" w:rsidP="004436B7">
      <w:pPr>
        <w:pBdr>
          <w:bottom w:val="single" w:sz="4" w:space="1" w:color="auto"/>
        </w:pBdr>
        <w:spacing w:after="0" w:line="52" w:lineRule="exact"/>
        <w:jc w:val="center"/>
        <w:rPr>
          <w:lang w:val="en-US"/>
        </w:rPr>
      </w:pPr>
    </w:p>
    <w:p w:rsidR="004436B7" w:rsidRDefault="004436B7" w:rsidP="004436B7">
      <w:pPr>
        <w:pBdr>
          <w:top w:val="single" w:sz="4" w:space="1" w:color="auto"/>
        </w:pBdr>
        <w:spacing w:before="34" w:after="0" w:line="14" w:lineRule="exact"/>
        <w:jc w:val="center"/>
        <w:rPr>
          <w:lang w:val="en-US"/>
        </w:rPr>
      </w:pPr>
    </w:p>
    <w:p w:rsidR="00221E0D" w:rsidRDefault="00221E0D" w:rsidP="00221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D16E0" w:rsidRPr="00ED16E0" w:rsidRDefault="00ED16E0" w:rsidP="00300268">
      <w:pPr>
        <w:pStyle w:val="Heading2"/>
      </w:pPr>
      <w:bookmarkStart w:id="13" w:name="_Toc42155331"/>
      <w:r w:rsidRPr="00ED16E0">
        <w:t>HEALTH CARE ACT 2008</w:t>
      </w:r>
      <w:bookmarkEnd w:id="13"/>
    </w:p>
    <w:p w:rsidR="00ED16E0" w:rsidRPr="00ED16E0" w:rsidRDefault="00ED16E0" w:rsidP="00ED16E0">
      <w:pPr>
        <w:jc w:val="center"/>
        <w:rPr>
          <w:smallCaps/>
          <w:szCs w:val="17"/>
        </w:rPr>
      </w:pPr>
      <w:r w:rsidRPr="00ED16E0">
        <w:rPr>
          <w:smallCaps/>
          <w:szCs w:val="17"/>
        </w:rPr>
        <w:t>Declaration of Authorised Quality Improvement Activity and Authorised Person under Section 64</w:t>
      </w:r>
    </w:p>
    <w:p w:rsidR="00ED16E0" w:rsidRPr="00ED16E0" w:rsidRDefault="00ED16E0" w:rsidP="00ED16E0">
      <w:pPr>
        <w:jc w:val="center"/>
        <w:rPr>
          <w:i/>
          <w:szCs w:val="17"/>
        </w:rPr>
      </w:pPr>
      <w:r w:rsidRPr="00ED16E0">
        <w:rPr>
          <w:i/>
          <w:szCs w:val="17"/>
        </w:rPr>
        <w:t>Notice by the Minister</w:t>
      </w:r>
    </w:p>
    <w:p w:rsidR="00ED16E0" w:rsidRPr="00ED16E0" w:rsidRDefault="00ED16E0" w:rsidP="00ED16E0">
      <w:pPr>
        <w:rPr>
          <w:rFonts w:eastAsia="Times New Roman"/>
          <w:szCs w:val="17"/>
        </w:rPr>
      </w:pPr>
      <w:r w:rsidRPr="00ED16E0">
        <w:rPr>
          <w:rFonts w:eastAsia="Times New Roman"/>
          <w:szCs w:val="17"/>
        </w:rPr>
        <w:t>TAKE notice that I, Stephen Wade, Minister for Health and Wellbeing, pursuant to sections 64 (1) (a) (i) and (b) (i) do hereby:</w:t>
      </w:r>
    </w:p>
    <w:p w:rsidR="00ED16E0" w:rsidRPr="00ED16E0" w:rsidRDefault="00ED16E0" w:rsidP="00ED16E0">
      <w:pPr>
        <w:ind w:left="142"/>
        <w:rPr>
          <w:rFonts w:eastAsia="Times New Roman"/>
          <w:szCs w:val="17"/>
        </w:rPr>
      </w:pPr>
      <w:r w:rsidRPr="00ED16E0">
        <w:rPr>
          <w:rFonts w:eastAsia="Times New Roman"/>
          <w:szCs w:val="17"/>
        </w:rPr>
        <w:t>DECLARE the Activities described in the Schedule to this declaration (the Activities) to be authorised quality improvement activities to which Part 7 of the Act applies, and</w:t>
      </w:r>
    </w:p>
    <w:p w:rsidR="00ED16E0" w:rsidRPr="00ED16E0" w:rsidRDefault="00ED16E0" w:rsidP="00ED16E0">
      <w:pPr>
        <w:ind w:left="142"/>
        <w:rPr>
          <w:rFonts w:eastAsia="Times New Roman"/>
          <w:szCs w:val="17"/>
        </w:rPr>
      </w:pPr>
      <w:r w:rsidRPr="00ED16E0">
        <w:rPr>
          <w:rFonts w:eastAsia="Times New Roman"/>
          <w:szCs w:val="17"/>
        </w:rPr>
        <w:t>DECLARE the Person or group of Persons (including a group formed as a committee) described in the Sc</w:t>
      </w:r>
      <w:r w:rsidR="00050E42">
        <w:rPr>
          <w:rFonts w:eastAsia="Times New Roman"/>
          <w:szCs w:val="17"/>
        </w:rPr>
        <w:t>hedule to this declaration (the </w:t>
      </w:r>
      <w:r w:rsidRPr="00ED16E0">
        <w:rPr>
          <w:rFonts w:eastAsia="Times New Roman"/>
          <w:szCs w:val="17"/>
        </w:rPr>
        <w:t>Persons) to be an authorised entity for the purposes of carrying out the authorised quality improvement activities to which Part 7 of the Act applies,</w:t>
      </w:r>
    </w:p>
    <w:p w:rsidR="00ED16E0" w:rsidRPr="00ED16E0" w:rsidRDefault="00ED16E0" w:rsidP="00ED16E0">
      <w:pPr>
        <w:rPr>
          <w:rFonts w:eastAsia="Times New Roman"/>
          <w:szCs w:val="17"/>
        </w:rPr>
      </w:pPr>
      <w:r w:rsidRPr="00ED16E0">
        <w:rPr>
          <w:rFonts w:eastAsia="Times New Roman"/>
          <w:szCs w:val="17"/>
        </w:rPr>
        <w:t>being satisfied that:</w:t>
      </w:r>
    </w:p>
    <w:p w:rsidR="00ED16E0" w:rsidRPr="00ED16E0" w:rsidRDefault="00ED16E0" w:rsidP="00ED16E0">
      <w:pPr>
        <w:ind w:left="480" w:hanging="338"/>
        <w:rPr>
          <w:rFonts w:eastAsia="Times New Roman"/>
          <w:szCs w:val="17"/>
        </w:rPr>
      </w:pPr>
      <w:r w:rsidRPr="00ED16E0">
        <w:rPr>
          <w:rFonts w:eastAsia="Times New Roman"/>
          <w:szCs w:val="17"/>
        </w:rPr>
        <w:t>(a)</w:t>
      </w:r>
      <w:r w:rsidRPr="00ED16E0">
        <w:rPr>
          <w:rFonts w:eastAsia="Times New Roman"/>
          <w:szCs w:val="17"/>
        </w:rPr>
        <w:tab/>
        <w:t>the performance of the activities within the ambit of the declaration and the functions or activities of the person or group of persons within the ambit of the declaration, would be facilitated by the making of the declaration; and</w:t>
      </w:r>
    </w:p>
    <w:p w:rsidR="00ED16E0" w:rsidRPr="00ED16E0" w:rsidRDefault="00ED16E0" w:rsidP="00ED16E0">
      <w:pPr>
        <w:ind w:left="142"/>
        <w:rPr>
          <w:rFonts w:eastAsia="Times New Roman"/>
          <w:szCs w:val="17"/>
        </w:rPr>
      </w:pPr>
      <w:r w:rsidRPr="00ED16E0">
        <w:rPr>
          <w:rFonts w:eastAsia="Times New Roman"/>
          <w:szCs w:val="17"/>
        </w:rPr>
        <w:t>(b)</w:t>
      </w:r>
      <w:r w:rsidRPr="00ED16E0">
        <w:rPr>
          <w:rFonts w:eastAsia="Times New Roman"/>
          <w:szCs w:val="17"/>
        </w:rPr>
        <w:tab/>
        <w:t>that the making of the declaration is in the public interest.</w:t>
      </w:r>
    </w:p>
    <w:p w:rsidR="00ED16E0" w:rsidRPr="00ED16E0" w:rsidRDefault="00ED16E0" w:rsidP="00ED16E0">
      <w:pPr>
        <w:spacing w:after="0"/>
        <w:rPr>
          <w:rFonts w:eastAsia="Times New Roman"/>
          <w:szCs w:val="17"/>
        </w:rPr>
      </w:pPr>
      <w:r w:rsidRPr="00ED16E0">
        <w:rPr>
          <w:rFonts w:eastAsia="Times New Roman"/>
          <w:szCs w:val="17"/>
        </w:rPr>
        <w:t>Dated: 29 May 2020</w:t>
      </w:r>
    </w:p>
    <w:p w:rsidR="00ED16E0" w:rsidRPr="00ED16E0" w:rsidRDefault="00ED16E0" w:rsidP="00ED16E0">
      <w:pPr>
        <w:spacing w:after="0"/>
        <w:jc w:val="right"/>
        <w:rPr>
          <w:rFonts w:eastAsia="Times New Roman"/>
          <w:smallCaps/>
          <w:szCs w:val="20"/>
        </w:rPr>
      </w:pPr>
      <w:r w:rsidRPr="00ED16E0">
        <w:rPr>
          <w:rFonts w:eastAsia="Times New Roman"/>
          <w:smallCaps/>
          <w:szCs w:val="20"/>
        </w:rPr>
        <w:t>Stephen Wade</w:t>
      </w:r>
    </w:p>
    <w:p w:rsidR="00ED16E0" w:rsidRPr="00ED16E0" w:rsidRDefault="00ED16E0" w:rsidP="00ED16E0">
      <w:pPr>
        <w:spacing w:after="0"/>
        <w:jc w:val="right"/>
        <w:rPr>
          <w:rFonts w:eastAsia="Times New Roman"/>
          <w:szCs w:val="17"/>
        </w:rPr>
      </w:pPr>
      <w:r w:rsidRPr="00ED16E0">
        <w:rPr>
          <w:rFonts w:eastAsia="Times New Roman"/>
          <w:szCs w:val="17"/>
        </w:rPr>
        <w:t>Minister for Health and Wellbeing</w:t>
      </w:r>
    </w:p>
    <w:p w:rsidR="00ED16E0" w:rsidRPr="00ED16E0" w:rsidRDefault="00ED16E0" w:rsidP="00ED16E0">
      <w:pPr>
        <w:pBdr>
          <w:top w:val="single" w:sz="4" w:space="1" w:color="auto"/>
        </w:pBdr>
        <w:spacing w:before="100" w:line="14" w:lineRule="exact"/>
        <w:ind w:left="1080" w:right="1080"/>
        <w:jc w:val="center"/>
        <w:rPr>
          <w:rFonts w:eastAsia="Times New Roman"/>
          <w:szCs w:val="17"/>
        </w:rPr>
      </w:pPr>
    </w:p>
    <w:p w:rsidR="00ED16E0" w:rsidRPr="00ED16E0" w:rsidRDefault="00ED16E0" w:rsidP="00ED16E0">
      <w:pPr>
        <w:jc w:val="center"/>
        <w:rPr>
          <w:smallCaps/>
          <w:szCs w:val="17"/>
        </w:rPr>
      </w:pPr>
      <w:r w:rsidRPr="00ED16E0">
        <w:rPr>
          <w:smallCaps/>
          <w:szCs w:val="17"/>
        </w:rPr>
        <w:t>Schedule</w:t>
      </w:r>
    </w:p>
    <w:p w:rsidR="00ED16E0" w:rsidRPr="00ED16E0" w:rsidRDefault="00ED16E0" w:rsidP="00ED16E0">
      <w:pPr>
        <w:jc w:val="center"/>
        <w:rPr>
          <w:i/>
          <w:szCs w:val="17"/>
        </w:rPr>
      </w:pPr>
      <w:r w:rsidRPr="00ED16E0">
        <w:rPr>
          <w:i/>
          <w:szCs w:val="17"/>
        </w:rPr>
        <w:t>Declaration of Authorised Quality Improvement Activity and Authorised Person under Section 64</w:t>
      </w:r>
    </w:p>
    <w:tbl>
      <w:tblPr>
        <w:tblW w:w="9393" w:type="dxa"/>
        <w:tblBorders>
          <w:top w:val="single" w:sz="4" w:space="0" w:color="auto"/>
          <w:insideH w:val="single" w:sz="4" w:space="0" w:color="auto"/>
        </w:tblBorders>
        <w:tblLook w:val="01E0" w:firstRow="1" w:lastRow="1" w:firstColumn="1" w:lastColumn="1" w:noHBand="0" w:noVBand="0"/>
      </w:tblPr>
      <w:tblGrid>
        <w:gridCol w:w="4395"/>
        <w:gridCol w:w="4998"/>
      </w:tblGrid>
      <w:tr w:rsidR="008412C1" w:rsidRPr="00ED16E0" w:rsidTr="00C84A5A">
        <w:trPr>
          <w:trHeight w:val="20"/>
        </w:trPr>
        <w:tc>
          <w:tcPr>
            <w:tcW w:w="4395" w:type="dxa"/>
            <w:tcBorders>
              <w:bottom w:val="single" w:sz="4" w:space="0" w:color="auto"/>
            </w:tcBorders>
            <w:shd w:val="clear" w:color="auto" w:fill="auto"/>
            <w:tcMar>
              <w:top w:w="28" w:type="dxa"/>
              <w:left w:w="57" w:type="dxa"/>
              <w:bottom w:w="28" w:type="dxa"/>
              <w:right w:w="57" w:type="dxa"/>
            </w:tcMar>
          </w:tcPr>
          <w:p w:rsidR="00ED16E0" w:rsidRPr="00ED16E0" w:rsidRDefault="00ED16E0" w:rsidP="00C84A5A">
            <w:pPr>
              <w:spacing w:before="20" w:after="20"/>
              <w:contextualSpacing/>
              <w:jc w:val="center"/>
              <w:rPr>
                <w:rFonts w:eastAsia="Times New Roman"/>
                <w:b/>
                <w:szCs w:val="17"/>
                <w:lang w:eastAsia="en-AU"/>
              </w:rPr>
            </w:pPr>
            <w:r w:rsidRPr="00ED16E0">
              <w:rPr>
                <w:rFonts w:eastAsia="Times New Roman"/>
                <w:b/>
                <w:szCs w:val="17"/>
                <w:lang w:eastAsia="en-AU"/>
              </w:rPr>
              <w:t>Activity</w:t>
            </w:r>
          </w:p>
        </w:tc>
        <w:tc>
          <w:tcPr>
            <w:tcW w:w="4998" w:type="dxa"/>
            <w:tcBorders>
              <w:bottom w:val="single" w:sz="4" w:space="0" w:color="auto"/>
            </w:tcBorders>
            <w:shd w:val="clear" w:color="auto" w:fill="auto"/>
            <w:tcMar>
              <w:top w:w="28" w:type="dxa"/>
              <w:left w:w="57" w:type="dxa"/>
              <w:bottom w:w="28" w:type="dxa"/>
              <w:right w:w="57" w:type="dxa"/>
            </w:tcMar>
          </w:tcPr>
          <w:p w:rsidR="00ED16E0" w:rsidRPr="00ED16E0" w:rsidRDefault="00ED16E0" w:rsidP="00C84A5A">
            <w:pPr>
              <w:spacing w:before="20" w:after="20"/>
              <w:contextualSpacing/>
              <w:jc w:val="center"/>
              <w:rPr>
                <w:rFonts w:eastAsia="Times New Roman"/>
                <w:b/>
                <w:szCs w:val="17"/>
                <w:lang w:eastAsia="en-AU"/>
              </w:rPr>
            </w:pPr>
            <w:r w:rsidRPr="00ED16E0">
              <w:rPr>
                <w:rFonts w:eastAsia="Times New Roman"/>
                <w:b/>
                <w:szCs w:val="17"/>
                <w:lang w:eastAsia="en-AU"/>
              </w:rPr>
              <w:t>Person or Group of Persons</w:t>
            </w:r>
          </w:p>
        </w:tc>
      </w:tr>
      <w:tr w:rsidR="00B4443A" w:rsidRPr="00ED16E0" w:rsidTr="00C84A5A">
        <w:trPr>
          <w:trHeight w:val="20"/>
        </w:trPr>
        <w:tc>
          <w:tcPr>
            <w:tcW w:w="4395" w:type="dxa"/>
            <w:tcBorders>
              <w:top w:val="single" w:sz="4" w:space="0" w:color="auto"/>
              <w:bottom w:val="single" w:sz="4" w:space="0" w:color="auto"/>
            </w:tcBorders>
            <w:shd w:val="clear" w:color="auto" w:fill="auto"/>
            <w:tcMar>
              <w:top w:w="28" w:type="dxa"/>
              <w:left w:w="57" w:type="dxa"/>
              <w:bottom w:w="28" w:type="dxa"/>
              <w:right w:w="57" w:type="dxa"/>
            </w:tcMar>
          </w:tcPr>
          <w:p w:rsidR="00ED16E0" w:rsidRPr="00ED16E0" w:rsidRDefault="00ED16E0" w:rsidP="00C84A5A">
            <w:pPr>
              <w:spacing w:before="20" w:after="20" w:line="240" w:lineRule="auto"/>
              <w:jc w:val="left"/>
              <w:rPr>
                <w:rFonts w:eastAsia="Times New Roman"/>
                <w:szCs w:val="17"/>
                <w:lang w:eastAsia="en-AU"/>
              </w:rPr>
            </w:pPr>
            <w:r w:rsidRPr="00ED16E0">
              <w:rPr>
                <w:rFonts w:eastAsia="Times New Roman"/>
                <w:szCs w:val="17"/>
                <w:lang w:eastAsia="en-AU"/>
              </w:rPr>
              <w:t>Review of mortality and morbidity for quality improvement</w:t>
            </w:r>
          </w:p>
        </w:tc>
        <w:tc>
          <w:tcPr>
            <w:tcW w:w="4998" w:type="dxa"/>
            <w:tcBorders>
              <w:top w:val="single" w:sz="4" w:space="0" w:color="auto"/>
              <w:bottom w:val="single" w:sz="4" w:space="0" w:color="auto"/>
            </w:tcBorders>
            <w:shd w:val="clear" w:color="auto" w:fill="auto"/>
            <w:tcMar>
              <w:top w:w="28" w:type="dxa"/>
              <w:left w:w="57" w:type="dxa"/>
              <w:bottom w:w="28" w:type="dxa"/>
              <w:right w:w="57" w:type="dxa"/>
            </w:tcMar>
          </w:tcPr>
          <w:p w:rsidR="008412C1" w:rsidRPr="00ED16E0" w:rsidRDefault="00ED16E0" w:rsidP="00C84A5A">
            <w:pPr>
              <w:spacing w:before="20" w:after="20" w:line="240" w:lineRule="auto"/>
              <w:jc w:val="left"/>
              <w:rPr>
                <w:rFonts w:eastAsia="Times New Roman"/>
                <w:szCs w:val="17"/>
                <w:lang w:eastAsia="en-AU"/>
              </w:rPr>
            </w:pPr>
            <w:r w:rsidRPr="00ED16E0">
              <w:rPr>
                <w:rFonts w:eastAsia="Times New Roman"/>
                <w:szCs w:val="17"/>
                <w:lang w:eastAsia="en-AU"/>
              </w:rPr>
              <w:t>St Andrew’s Hospital Mortality and Morbidity Committee</w:t>
            </w:r>
          </w:p>
        </w:tc>
      </w:tr>
    </w:tbl>
    <w:p w:rsidR="00B4443A" w:rsidRPr="00050E42" w:rsidRDefault="00B4443A" w:rsidP="00050E42">
      <w:pPr>
        <w:spacing w:after="0" w:line="240" w:lineRule="auto"/>
        <w:rPr>
          <w:sz w:val="12"/>
          <w:szCs w:val="17"/>
          <w:lang w:val="en-US"/>
        </w:rPr>
      </w:pPr>
    </w:p>
    <w:p w:rsidR="00C84A5A" w:rsidRDefault="00C84A5A" w:rsidP="00C84A5A">
      <w:pPr>
        <w:pBdr>
          <w:top w:val="single" w:sz="4" w:space="1" w:color="auto"/>
        </w:pBdr>
        <w:spacing w:before="100" w:after="0" w:line="14" w:lineRule="exact"/>
        <w:jc w:val="center"/>
        <w:rPr>
          <w:szCs w:val="17"/>
          <w:lang w:val="en-US"/>
        </w:rPr>
      </w:pPr>
    </w:p>
    <w:p w:rsidR="00C84A5A" w:rsidRPr="00333321" w:rsidRDefault="00C84A5A" w:rsidP="00C84A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lang w:val="en-US"/>
        </w:rPr>
      </w:pPr>
    </w:p>
    <w:p w:rsidR="00333321" w:rsidRPr="00333321" w:rsidRDefault="00333321" w:rsidP="00333321">
      <w:pPr>
        <w:pStyle w:val="Title1"/>
      </w:pPr>
      <w:r w:rsidRPr="00333321">
        <w:t>HEALTH CARE ACT 2008</w:t>
      </w:r>
    </w:p>
    <w:p w:rsidR="00333321" w:rsidRPr="00333321" w:rsidRDefault="00333321" w:rsidP="00333321">
      <w:pPr>
        <w:jc w:val="center"/>
        <w:rPr>
          <w:smallCaps/>
          <w:szCs w:val="17"/>
        </w:rPr>
      </w:pPr>
      <w:r w:rsidRPr="00333321">
        <w:rPr>
          <w:smallCaps/>
          <w:szCs w:val="17"/>
        </w:rPr>
        <w:t>Declaration of Authorised Quality Improvement Activity and Authorised Person under Section 64</w:t>
      </w:r>
    </w:p>
    <w:p w:rsidR="00333321" w:rsidRPr="00333321" w:rsidRDefault="00333321" w:rsidP="00333321">
      <w:pPr>
        <w:jc w:val="center"/>
        <w:rPr>
          <w:i/>
          <w:szCs w:val="17"/>
        </w:rPr>
      </w:pPr>
      <w:r w:rsidRPr="00333321">
        <w:rPr>
          <w:i/>
          <w:szCs w:val="17"/>
        </w:rPr>
        <w:t>Notice by the Minister</w:t>
      </w:r>
    </w:p>
    <w:p w:rsidR="00333321" w:rsidRPr="00333321" w:rsidRDefault="00333321" w:rsidP="00333321">
      <w:pPr>
        <w:rPr>
          <w:rFonts w:eastAsia="Times New Roman"/>
          <w:szCs w:val="17"/>
        </w:rPr>
      </w:pPr>
      <w:r w:rsidRPr="00333321">
        <w:rPr>
          <w:rFonts w:eastAsia="Times New Roman"/>
          <w:szCs w:val="17"/>
        </w:rPr>
        <w:t>TAKE notice that I, Hon Stephen Wade MLC, Minister for Health and Wellbeing, pursuant to sections 64 (1) (a) (i) and (b) (i) do hereby:</w:t>
      </w:r>
    </w:p>
    <w:p w:rsidR="00333321" w:rsidRPr="00333321" w:rsidRDefault="00333321" w:rsidP="00333321">
      <w:pPr>
        <w:ind w:left="142"/>
        <w:rPr>
          <w:rFonts w:eastAsia="Times New Roman"/>
          <w:szCs w:val="17"/>
        </w:rPr>
      </w:pPr>
      <w:r w:rsidRPr="00333321">
        <w:rPr>
          <w:rFonts w:eastAsia="Times New Roman"/>
          <w:szCs w:val="17"/>
        </w:rPr>
        <w:t>DECLARE the Activities described in the Schedule to this declaration (the Activities) to be authorised quality improvement activities to which Part 7 of the Act applies, and</w:t>
      </w:r>
    </w:p>
    <w:p w:rsidR="00333321" w:rsidRPr="00333321" w:rsidRDefault="00333321" w:rsidP="00333321">
      <w:pPr>
        <w:ind w:left="142"/>
        <w:rPr>
          <w:rFonts w:eastAsia="Times New Roman"/>
          <w:szCs w:val="17"/>
        </w:rPr>
      </w:pPr>
      <w:r w:rsidRPr="00333321">
        <w:rPr>
          <w:rFonts w:eastAsia="Times New Roman"/>
          <w:szCs w:val="17"/>
        </w:rPr>
        <w:t xml:space="preserve">DECLARE the Person or group of Persons (including a group formed as a committee) described in the Schedule to this declaration </w:t>
      </w:r>
      <w:r w:rsidR="00050E42">
        <w:rPr>
          <w:rFonts w:eastAsia="Times New Roman"/>
          <w:szCs w:val="17"/>
        </w:rPr>
        <w:t>(the </w:t>
      </w:r>
      <w:r w:rsidRPr="00333321">
        <w:rPr>
          <w:rFonts w:eastAsia="Times New Roman"/>
          <w:szCs w:val="17"/>
        </w:rPr>
        <w:t>Persons) to be an authorised entity for the purposes of carrying out the authorised quality improvement activities to which Part 7 of the Act applies,</w:t>
      </w:r>
    </w:p>
    <w:p w:rsidR="00333321" w:rsidRPr="00333321" w:rsidRDefault="00333321" w:rsidP="00333321">
      <w:pPr>
        <w:rPr>
          <w:rFonts w:eastAsia="Times New Roman"/>
          <w:szCs w:val="17"/>
        </w:rPr>
      </w:pPr>
      <w:r w:rsidRPr="00333321">
        <w:rPr>
          <w:rFonts w:eastAsia="Times New Roman"/>
          <w:szCs w:val="17"/>
        </w:rPr>
        <w:t>being satisfied that:</w:t>
      </w:r>
    </w:p>
    <w:p w:rsidR="00333321" w:rsidRPr="00333321" w:rsidRDefault="00333321" w:rsidP="00333321">
      <w:pPr>
        <w:numPr>
          <w:ilvl w:val="0"/>
          <w:numId w:val="34"/>
        </w:numPr>
        <w:rPr>
          <w:rFonts w:eastAsia="Times New Roman"/>
          <w:szCs w:val="17"/>
        </w:rPr>
      </w:pPr>
      <w:r w:rsidRPr="00333321">
        <w:rPr>
          <w:rFonts w:eastAsia="Times New Roman"/>
          <w:szCs w:val="17"/>
        </w:rPr>
        <w:t>the performance of the activities within the ambit of the declaration and the functions or activities of the person or group of persons within the ambit of the declaration, would be facilitated by the making of the declaration; and</w:t>
      </w:r>
    </w:p>
    <w:p w:rsidR="00333321" w:rsidRPr="00333321" w:rsidRDefault="00333321" w:rsidP="00333321">
      <w:pPr>
        <w:numPr>
          <w:ilvl w:val="0"/>
          <w:numId w:val="34"/>
        </w:numPr>
        <w:rPr>
          <w:rFonts w:eastAsia="Times New Roman"/>
          <w:szCs w:val="17"/>
        </w:rPr>
      </w:pPr>
      <w:r w:rsidRPr="00333321">
        <w:rPr>
          <w:rFonts w:eastAsia="Times New Roman"/>
          <w:szCs w:val="17"/>
        </w:rPr>
        <w:t>that the making of the declaration is in the public interest.</w:t>
      </w:r>
    </w:p>
    <w:p w:rsidR="00333321" w:rsidRPr="00333321" w:rsidRDefault="00333321" w:rsidP="00333321">
      <w:pPr>
        <w:spacing w:after="0"/>
        <w:rPr>
          <w:rFonts w:eastAsia="Times New Roman"/>
          <w:szCs w:val="17"/>
        </w:rPr>
      </w:pPr>
      <w:r w:rsidRPr="00333321">
        <w:rPr>
          <w:rFonts w:eastAsia="Times New Roman"/>
          <w:szCs w:val="17"/>
        </w:rPr>
        <w:t>Dated: 30 May 2020</w:t>
      </w:r>
    </w:p>
    <w:p w:rsidR="00333321" w:rsidRPr="00333321" w:rsidRDefault="00333321" w:rsidP="00333321">
      <w:pPr>
        <w:spacing w:after="0"/>
        <w:jc w:val="right"/>
        <w:rPr>
          <w:rFonts w:eastAsia="Times New Roman"/>
          <w:smallCaps/>
          <w:szCs w:val="20"/>
        </w:rPr>
      </w:pPr>
      <w:r w:rsidRPr="00333321">
        <w:rPr>
          <w:rFonts w:eastAsia="Times New Roman"/>
          <w:smallCaps/>
          <w:szCs w:val="20"/>
        </w:rPr>
        <w:t>Stephen Wade</w:t>
      </w:r>
    </w:p>
    <w:p w:rsidR="00333321" w:rsidRPr="00333321" w:rsidRDefault="00333321" w:rsidP="00333321">
      <w:pPr>
        <w:spacing w:after="0"/>
        <w:jc w:val="right"/>
        <w:rPr>
          <w:rFonts w:eastAsia="Times New Roman"/>
          <w:szCs w:val="17"/>
        </w:rPr>
      </w:pPr>
      <w:r w:rsidRPr="00333321">
        <w:rPr>
          <w:rFonts w:eastAsia="Times New Roman"/>
          <w:szCs w:val="17"/>
        </w:rPr>
        <w:t>Minister for Health and Wellbeing</w:t>
      </w:r>
    </w:p>
    <w:p w:rsidR="00333321" w:rsidRPr="00333321" w:rsidRDefault="00333321" w:rsidP="00333321">
      <w:pPr>
        <w:pBdr>
          <w:top w:val="single" w:sz="4" w:space="1" w:color="auto"/>
        </w:pBdr>
        <w:spacing w:before="100" w:line="14" w:lineRule="exact"/>
        <w:ind w:left="1080" w:right="1080"/>
        <w:jc w:val="center"/>
        <w:rPr>
          <w:rFonts w:eastAsia="Times New Roman"/>
          <w:szCs w:val="17"/>
        </w:rPr>
      </w:pPr>
    </w:p>
    <w:p w:rsidR="00333321" w:rsidRPr="00333321" w:rsidRDefault="00333321" w:rsidP="00333321">
      <w:pPr>
        <w:jc w:val="center"/>
        <w:rPr>
          <w:smallCaps/>
          <w:szCs w:val="17"/>
        </w:rPr>
      </w:pPr>
      <w:r w:rsidRPr="00333321">
        <w:rPr>
          <w:smallCaps/>
          <w:szCs w:val="17"/>
        </w:rPr>
        <w:lastRenderedPageBreak/>
        <w:t>Schedule</w:t>
      </w:r>
    </w:p>
    <w:p w:rsidR="00333321" w:rsidRPr="00333321" w:rsidRDefault="00333321" w:rsidP="00333321">
      <w:pPr>
        <w:jc w:val="center"/>
        <w:rPr>
          <w:i/>
          <w:szCs w:val="17"/>
        </w:rPr>
      </w:pPr>
      <w:r w:rsidRPr="00333321">
        <w:rPr>
          <w:i/>
          <w:szCs w:val="17"/>
        </w:rPr>
        <w:t>Declaration of Authorised Quality Improvement Activity and Authorised Person under Section 64</w:t>
      </w:r>
    </w:p>
    <w:tbl>
      <w:tblPr>
        <w:tblW w:w="9393" w:type="dxa"/>
        <w:tblBorders>
          <w:top w:val="single" w:sz="4" w:space="0" w:color="auto"/>
          <w:insideH w:val="single" w:sz="4" w:space="0" w:color="auto"/>
        </w:tblBorders>
        <w:tblLook w:val="01E0" w:firstRow="1" w:lastRow="1" w:firstColumn="1" w:lastColumn="1" w:noHBand="0" w:noVBand="0"/>
      </w:tblPr>
      <w:tblGrid>
        <w:gridCol w:w="4395"/>
        <w:gridCol w:w="4998"/>
      </w:tblGrid>
      <w:tr w:rsidR="00333321" w:rsidRPr="00333321" w:rsidTr="002B0011">
        <w:trPr>
          <w:trHeight w:val="20"/>
        </w:trPr>
        <w:tc>
          <w:tcPr>
            <w:tcW w:w="4395" w:type="dxa"/>
            <w:tcBorders>
              <w:bottom w:val="single" w:sz="4" w:space="0" w:color="auto"/>
            </w:tcBorders>
            <w:shd w:val="clear" w:color="auto" w:fill="auto"/>
            <w:tcMar>
              <w:top w:w="28" w:type="dxa"/>
              <w:bottom w:w="28" w:type="dxa"/>
            </w:tcMar>
          </w:tcPr>
          <w:p w:rsidR="00333321" w:rsidRPr="00333321" w:rsidRDefault="00333321" w:rsidP="002B0011">
            <w:pPr>
              <w:spacing w:before="20" w:after="20"/>
              <w:jc w:val="center"/>
              <w:rPr>
                <w:rFonts w:eastAsia="Times New Roman"/>
                <w:b/>
                <w:szCs w:val="17"/>
                <w:lang w:eastAsia="en-AU"/>
              </w:rPr>
            </w:pPr>
            <w:r w:rsidRPr="00333321">
              <w:rPr>
                <w:rFonts w:eastAsia="Times New Roman"/>
                <w:b/>
                <w:szCs w:val="17"/>
                <w:lang w:eastAsia="en-AU"/>
              </w:rPr>
              <w:t>Activity</w:t>
            </w:r>
          </w:p>
        </w:tc>
        <w:tc>
          <w:tcPr>
            <w:tcW w:w="4998" w:type="dxa"/>
            <w:tcBorders>
              <w:bottom w:val="single" w:sz="4" w:space="0" w:color="auto"/>
            </w:tcBorders>
            <w:shd w:val="clear" w:color="auto" w:fill="auto"/>
            <w:tcMar>
              <w:top w:w="28" w:type="dxa"/>
              <w:bottom w:w="28" w:type="dxa"/>
            </w:tcMar>
          </w:tcPr>
          <w:p w:rsidR="00333321" w:rsidRPr="00333321" w:rsidRDefault="00333321" w:rsidP="002B0011">
            <w:pPr>
              <w:spacing w:before="20" w:after="20"/>
              <w:jc w:val="center"/>
              <w:rPr>
                <w:rFonts w:eastAsia="Times New Roman"/>
                <w:b/>
                <w:szCs w:val="17"/>
                <w:lang w:eastAsia="en-AU"/>
              </w:rPr>
            </w:pPr>
            <w:r w:rsidRPr="00333321">
              <w:rPr>
                <w:rFonts w:eastAsia="Times New Roman"/>
                <w:b/>
                <w:szCs w:val="17"/>
                <w:lang w:eastAsia="en-AU"/>
              </w:rPr>
              <w:t>Person or Group of Persons</w:t>
            </w:r>
          </w:p>
        </w:tc>
      </w:tr>
      <w:tr w:rsidR="00333321" w:rsidRPr="00333321" w:rsidTr="002B0011">
        <w:trPr>
          <w:trHeight w:val="20"/>
        </w:trPr>
        <w:tc>
          <w:tcPr>
            <w:tcW w:w="4395" w:type="dxa"/>
            <w:tcBorders>
              <w:top w:val="single" w:sz="4" w:space="0" w:color="auto"/>
              <w:bottom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Review of mortality and morbidity for quality improvement</w:t>
            </w:r>
          </w:p>
        </w:tc>
        <w:tc>
          <w:tcPr>
            <w:tcW w:w="4998" w:type="dxa"/>
            <w:tcBorders>
              <w:top w:val="single" w:sz="4" w:space="0" w:color="auto"/>
              <w:bottom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St Andrew’s Hospital Mortality and Morbidity Committee</w:t>
            </w:r>
          </w:p>
        </w:tc>
      </w:tr>
      <w:tr w:rsidR="00333321" w:rsidRPr="00333321" w:rsidTr="002B0011">
        <w:trPr>
          <w:trHeight w:val="20"/>
        </w:trPr>
        <w:tc>
          <w:tcPr>
            <w:tcW w:w="4395" w:type="dxa"/>
            <w:tcBorders>
              <w:top w:val="nil"/>
              <w:bottom w:val="nil"/>
              <w:right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Mortality and morbidity review for quality improvement.</w:t>
            </w:r>
          </w:p>
        </w:tc>
        <w:tc>
          <w:tcPr>
            <w:tcW w:w="4998" w:type="dxa"/>
            <w:tcBorders>
              <w:top w:val="nil"/>
              <w:left w:val="nil"/>
              <w:bottom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 xml:space="preserve">Southern Adelaide Local Health Network Intensive and </w:t>
            </w:r>
            <w:r w:rsidRPr="00333321">
              <w:rPr>
                <w:rFonts w:eastAsia="Times New Roman"/>
                <w:szCs w:val="17"/>
                <w:lang w:eastAsia="en-AU"/>
              </w:rPr>
              <w:br/>
              <w:t>Critical Care Unit Mortality and Morbidity Review Committee</w:t>
            </w:r>
          </w:p>
        </w:tc>
      </w:tr>
      <w:tr w:rsidR="00333321" w:rsidRPr="00333321" w:rsidTr="002B0011">
        <w:trPr>
          <w:trHeight w:val="20"/>
        </w:trPr>
        <w:tc>
          <w:tcPr>
            <w:tcW w:w="4395" w:type="dxa"/>
            <w:tcBorders>
              <w:top w:val="nil"/>
              <w:bottom w:val="nil"/>
              <w:right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Clinical Cancer Registry</w:t>
            </w:r>
          </w:p>
        </w:tc>
        <w:tc>
          <w:tcPr>
            <w:tcW w:w="4998" w:type="dxa"/>
            <w:tcBorders>
              <w:top w:val="nil"/>
              <w:left w:val="nil"/>
              <w:bottom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 xml:space="preserve">Royal Adelaide Hospital—Clinical Cancer Registry </w:t>
            </w:r>
          </w:p>
        </w:tc>
      </w:tr>
      <w:tr w:rsidR="00333321" w:rsidRPr="00333321" w:rsidTr="002B0011">
        <w:trPr>
          <w:trHeight w:val="20"/>
        </w:trPr>
        <w:tc>
          <w:tcPr>
            <w:tcW w:w="4395" w:type="dxa"/>
            <w:tcBorders>
              <w:top w:val="nil"/>
              <w:bottom w:val="nil"/>
              <w:right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Clinical Cancer Registry</w:t>
            </w:r>
          </w:p>
        </w:tc>
        <w:tc>
          <w:tcPr>
            <w:tcW w:w="4998" w:type="dxa"/>
            <w:tcBorders>
              <w:top w:val="nil"/>
              <w:left w:val="nil"/>
              <w:bottom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The Queen Elizabeth Hospital—Clinical Cancer Registry</w:t>
            </w:r>
          </w:p>
        </w:tc>
      </w:tr>
      <w:tr w:rsidR="00333321" w:rsidRPr="00333321" w:rsidTr="002B0011">
        <w:trPr>
          <w:trHeight w:val="20"/>
        </w:trPr>
        <w:tc>
          <w:tcPr>
            <w:tcW w:w="4395" w:type="dxa"/>
            <w:tcBorders>
              <w:top w:val="nil"/>
              <w:bottom w:val="nil"/>
              <w:right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Clinical Cancer Registry</w:t>
            </w:r>
          </w:p>
        </w:tc>
        <w:tc>
          <w:tcPr>
            <w:tcW w:w="4998" w:type="dxa"/>
            <w:tcBorders>
              <w:top w:val="nil"/>
              <w:left w:val="nil"/>
              <w:bottom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Flinders Medical Centre—Clinical Cancer Registry</w:t>
            </w:r>
          </w:p>
        </w:tc>
      </w:tr>
      <w:tr w:rsidR="00333321" w:rsidRPr="00333321" w:rsidTr="002B0011">
        <w:trPr>
          <w:trHeight w:val="20"/>
        </w:trPr>
        <w:tc>
          <w:tcPr>
            <w:tcW w:w="4395" w:type="dxa"/>
            <w:tcBorders>
              <w:top w:val="nil"/>
              <w:bottom w:val="nil"/>
              <w:right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Clinical Cancer Registry</w:t>
            </w:r>
          </w:p>
        </w:tc>
        <w:tc>
          <w:tcPr>
            <w:tcW w:w="4998" w:type="dxa"/>
            <w:tcBorders>
              <w:top w:val="nil"/>
              <w:left w:val="nil"/>
              <w:bottom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Lyell McEwin Hospital—Clinical Cancer Registry</w:t>
            </w:r>
          </w:p>
        </w:tc>
      </w:tr>
      <w:tr w:rsidR="00333321" w:rsidRPr="00333321" w:rsidTr="002B0011">
        <w:trPr>
          <w:trHeight w:val="20"/>
        </w:trPr>
        <w:tc>
          <w:tcPr>
            <w:tcW w:w="4395" w:type="dxa"/>
            <w:tcBorders>
              <w:top w:val="nil"/>
              <w:bottom w:val="single" w:sz="4" w:space="0" w:color="auto"/>
              <w:right w:val="nil"/>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Clinical Cancer Registry</w:t>
            </w:r>
          </w:p>
        </w:tc>
        <w:tc>
          <w:tcPr>
            <w:tcW w:w="4998" w:type="dxa"/>
            <w:tcBorders>
              <w:top w:val="nil"/>
              <w:left w:val="nil"/>
              <w:bottom w:val="single" w:sz="4" w:space="0" w:color="auto"/>
            </w:tcBorders>
            <w:shd w:val="clear" w:color="auto" w:fill="auto"/>
            <w:tcMar>
              <w:top w:w="28" w:type="dxa"/>
              <w:bottom w:w="28" w:type="dxa"/>
            </w:tcMar>
          </w:tcPr>
          <w:p w:rsidR="00333321" w:rsidRPr="00333321" w:rsidRDefault="00333321" w:rsidP="002B0011">
            <w:pPr>
              <w:spacing w:before="20" w:after="20"/>
              <w:jc w:val="left"/>
              <w:rPr>
                <w:rFonts w:eastAsia="Times New Roman"/>
                <w:szCs w:val="17"/>
                <w:lang w:eastAsia="en-AU"/>
              </w:rPr>
            </w:pPr>
            <w:r w:rsidRPr="00333321">
              <w:rPr>
                <w:rFonts w:eastAsia="Times New Roman"/>
                <w:szCs w:val="17"/>
                <w:lang w:eastAsia="en-AU"/>
              </w:rPr>
              <w:t>Women’s and Children’s Hospital—Clinical Cancer Registry</w:t>
            </w:r>
          </w:p>
        </w:tc>
      </w:tr>
    </w:tbl>
    <w:p w:rsidR="00D668B2" w:rsidRDefault="00D668B2" w:rsidP="002B0011">
      <w:pPr>
        <w:pBdr>
          <w:bottom w:val="single" w:sz="4" w:space="1" w:color="auto"/>
        </w:pBdr>
        <w:spacing w:after="0" w:line="240" w:lineRule="auto"/>
        <w:rPr>
          <w:sz w:val="18"/>
          <w:lang w:val="en-US"/>
        </w:rPr>
      </w:pPr>
    </w:p>
    <w:p w:rsidR="002B0011" w:rsidRDefault="002B0011" w:rsidP="002B0011">
      <w:pPr>
        <w:pBdr>
          <w:bottom w:val="single" w:sz="4" w:space="1" w:color="auto"/>
        </w:pBdr>
        <w:spacing w:after="0" w:line="52" w:lineRule="exact"/>
        <w:jc w:val="center"/>
        <w:rPr>
          <w:sz w:val="18"/>
          <w:lang w:val="en-US"/>
        </w:rPr>
      </w:pPr>
    </w:p>
    <w:p w:rsidR="002B0011" w:rsidRDefault="002B0011" w:rsidP="002B0011">
      <w:pPr>
        <w:pBdr>
          <w:top w:val="single" w:sz="4" w:space="1" w:color="auto"/>
        </w:pBdr>
        <w:spacing w:before="34" w:after="0" w:line="14" w:lineRule="exact"/>
        <w:jc w:val="center"/>
        <w:rPr>
          <w:sz w:val="18"/>
          <w:lang w:val="en-US"/>
        </w:rPr>
      </w:pPr>
    </w:p>
    <w:p w:rsidR="00D668B2" w:rsidRDefault="00D668B2" w:rsidP="00D668B2">
      <w:pPr>
        <w:pBdr>
          <w:top w:val="single" w:sz="4" w:space="1" w:color="auto"/>
        </w:pBdr>
        <w:spacing w:before="34" w:after="0" w:line="14" w:lineRule="exact"/>
        <w:jc w:val="center"/>
        <w:rPr>
          <w:lang w:val="en-US"/>
        </w:rPr>
      </w:pPr>
    </w:p>
    <w:p w:rsidR="00D668B2" w:rsidRDefault="00D668B2"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668B2" w:rsidRPr="00D668B2" w:rsidRDefault="00D668B2" w:rsidP="00300268">
      <w:pPr>
        <w:pStyle w:val="Heading2"/>
      </w:pPr>
      <w:bookmarkStart w:id="14" w:name="_Toc42155332"/>
      <w:r w:rsidRPr="00D668B2">
        <w:t>HOUSING IMPROVEMENT ACT 2016</w:t>
      </w:r>
      <w:bookmarkEnd w:id="14"/>
    </w:p>
    <w:p w:rsidR="00D668B2" w:rsidRPr="00D668B2" w:rsidRDefault="00D668B2" w:rsidP="00D668B2">
      <w:pPr>
        <w:jc w:val="center"/>
        <w:rPr>
          <w:i/>
          <w:szCs w:val="17"/>
          <w:lang w:val="en-US"/>
        </w:rPr>
      </w:pPr>
      <w:r w:rsidRPr="00D668B2">
        <w:rPr>
          <w:i/>
          <w:szCs w:val="17"/>
          <w:lang w:val="en-US"/>
        </w:rPr>
        <w:t>Rent Control Revocations</w:t>
      </w:r>
    </w:p>
    <w:p w:rsidR="00D668B2" w:rsidRPr="00D668B2" w:rsidRDefault="00D668B2" w:rsidP="00D668B2">
      <w:pPr>
        <w:rPr>
          <w:spacing w:val="-1"/>
          <w:szCs w:val="17"/>
          <w:lang w:val="en-US"/>
        </w:rPr>
      </w:pPr>
      <w:r w:rsidRPr="00D668B2">
        <w:rPr>
          <w:spacing w:val="-1"/>
          <w:szCs w:val="17"/>
          <w:lang w:val="en-US"/>
        </w:rPr>
        <w:t xml:space="preserve">Whereas the Minister for Human Services Delegate is satisfied that each of the houses described hereunder has ceased to be unsafe or unsuitable for human habitation for the purposes of the </w:t>
      </w:r>
      <w:r w:rsidRPr="00D668B2">
        <w:rPr>
          <w:i/>
          <w:spacing w:val="-1"/>
          <w:szCs w:val="17"/>
          <w:lang w:val="en-US"/>
        </w:rPr>
        <w:t>Housing Improvement Act 2016</w:t>
      </w:r>
      <w:r w:rsidRPr="00D668B2">
        <w:rPr>
          <w:spacing w:val="-1"/>
          <w:szCs w:val="17"/>
          <w:lang w:val="en-US"/>
        </w:rPr>
        <w:t>, notice is hereby given that, in exercise of the powers conferred by the said Act, the Minister for Human Services Delegate does hereby revoke the said Rent Control in respect of each property.</w:t>
      </w:r>
    </w:p>
    <w:tbl>
      <w:tblPr>
        <w:tblW w:w="4966" w:type="pct"/>
        <w:tblInd w:w="60" w:type="dxa"/>
        <w:tblLayout w:type="fixed"/>
        <w:tblCellMar>
          <w:left w:w="0" w:type="dxa"/>
          <w:right w:w="0" w:type="dxa"/>
        </w:tblCellMar>
        <w:tblLook w:val="04A0" w:firstRow="1" w:lastRow="0" w:firstColumn="1" w:lastColumn="0" w:noHBand="0" w:noVBand="1"/>
      </w:tblPr>
      <w:tblGrid>
        <w:gridCol w:w="3340"/>
        <w:gridCol w:w="4392"/>
        <w:gridCol w:w="1558"/>
      </w:tblGrid>
      <w:tr w:rsidR="00D668B2" w:rsidRPr="00D668B2" w:rsidTr="00FD196A">
        <w:trPr>
          <w:trHeight w:val="20"/>
        </w:trPr>
        <w:tc>
          <w:tcPr>
            <w:tcW w:w="3342" w:type="dxa"/>
            <w:tcBorders>
              <w:top w:val="single" w:sz="4" w:space="0" w:color="auto"/>
              <w:bottom w:val="single" w:sz="4" w:space="0" w:color="auto"/>
            </w:tcBorders>
            <w:tcMar>
              <w:top w:w="0" w:type="dxa"/>
              <w:left w:w="60" w:type="dxa"/>
              <w:bottom w:w="0" w:type="dxa"/>
              <w:right w:w="60" w:type="dxa"/>
            </w:tcMar>
            <w:vAlign w:val="center"/>
          </w:tcPr>
          <w:p w:rsidR="00D668B2" w:rsidRPr="00D668B2" w:rsidRDefault="00D668B2" w:rsidP="002B0011">
            <w:pPr>
              <w:spacing w:before="40" w:after="40"/>
              <w:jc w:val="center"/>
              <w:rPr>
                <w:b/>
                <w:szCs w:val="17"/>
                <w:lang w:val="en-US"/>
              </w:rPr>
            </w:pPr>
            <w:r w:rsidRPr="00D668B2">
              <w:rPr>
                <w:b/>
                <w:szCs w:val="17"/>
                <w:lang w:val="en-US"/>
              </w:rPr>
              <w:t>Address of Premises</w:t>
            </w:r>
          </w:p>
        </w:tc>
        <w:tc>
          <w:tcPr>
            <w:tcW w:w="4395" w:type="dxa"/>
            <w:tcBorders>
              <w:top w:val="single" w:sz="4" w:space="0" w:color="auto"/>
              <w:bottom w:val="single" w:sz="4" w:space="0" w:color="auto"/>
            </w:tcBorders>
            <w:tcMar>
              <w:top w:w="0" w:type="dxa"/>
              <w:left w:w="60" w:type="dxa"/>
              <w:bottom w:w="0" w:type="dxa"/>
              <w:right w:w="60" w:type="dxa"/>
            </w:tcMar>
            <w:vAlign w:val="center"/>
          </w:tcPr>
          <w:p w:rsidR="00D668B2" w:rsidRPr="00D668B2" w:rsidRDefault="00D668B2" w:rsidP="002B0011">
            <w:pPr>
              <w:spacing w:before="40" w:after="40"/>
              <w:jc w:val="center"/>
              <w:rPr>
                <w:b/>
                <w:szCs w:val="17"/>
                <w:lang w:val="en-US"/>
              </w:rPr>
            </w:pPr>
            <w:r w:rsidRPr="00D668B2">
              <w:rPr>
                <w:b/>
                <w:szCs w:val="17"/>
                <w:lang w:val="en-US"/>
              </w:rPr>
              <w:t>Allotment</w:t>
            </w:r>
            <w:r w:rsidRPr="00D668B2">
              <w:rPr>
                <w:b/>
                <w:szCs w:val="17"/>
                <w:lang w:val="en-US"/>
              </w:rPr>
              <w:br/>
              <w:t>Section</w:t>
            </w:r>
          </w:p>
        </w:tc>
        <w:tc>
          <w:tcPr>
            <w:tcW w:w="1559" w:type="dxa"/>
            <w:tcBorders>
              <w:top w:val="single" w:sz="4" w:space="0" w:color="auto"/>
              <w:bottom w:val="single" w:sz="4" w:space="0" w:color="auto"/>
            </w:tcBorders>
            <w:tcMar>
              <w:top w:w="0" w:type="dxa"/>
              <w:left w:w="60" w:type="dxa"/>
              <w:bottom w:w="0" w:type="dxa"/>
              <w:right w:w="60" w:type="dxa"/>
            </w:tcMar>
            <w:vAlign w:val="center"/>
          </w:tcPr>
          <w:p w:rsidR="00D668B2" w:rsidRPr="00D668B2" w:rsidRDefault="00D668B2" w:rsidP="002B0011">
            <w:pPr>
              <w:spacing w:before="40" w:after="40"/>
              <w:jc w:val="center"/>
              <w:rPr>
                <w:b/>
                <w:szCs w:val="17"/>
                <w:lang w:val="en-US"/>
              </w:rPr>
            </w:pPr>
            <w:r w:rsidRPr="00D668B2">
              <w:rPr>
                <w:b/>
                <w:szCs w:val="17"/>
                <w:u w:val="single"/>
                <w:lang w:val="en-US"/>
              </w:rPr>
              <w:t>Certificate of Title</w:t>
            </w:r>
          </w:p>
          <w:p w:rsidR="00D668B2" w:rsidRPr="00D668B2" w:rsidRDefault="00D668B2" w:rsidP="002B0011">
            <w:pPr>
              <w:spacing w:before="40" w:after="40"/>
              <w:jc w:val="center"/>
              <w:rPr>
                <w:b/>
                <w:szCs w:val="17"/>
                <w:lang w:val="en-US"/>
              </w:rPr>
            </w:pPr>
            <w:r w:rsidRPr="00D668B2">
              <w:rPr>
                <w:b/>
                <w:szCs w:val="17"/>
                <w:lang w:val="en-US"/>
              </w:rPr>
              <w:t>Volume/Folio</w:t>
            </w:r>
          </w:p>
        </w:tc>
      </w:tr>
      <w:tr w:rsidR="00D668B2" w:rsidRPr="00D668B2" w:rsidTr="00FD196A">
        <w:trPr>
          <w:trHeight w:val="20"/>
        </w:trPr>
        <w:tc>
          <w:tcPr>
            <w:tcW w:w="3342" w:type="dxa"/>
            <w:tcBorders>
              <w:top w:val="single" w:sz="4" w:space="0" w:color="auto"/>
              <w:bottom w:val="single" w:sz="4" w:space="0" w:color="auto"/>
            </w:tcBorders>
            <w:shd w:val="clear" w:color="auto" w:fill="auto"/>
            <w:tcMar>
              <w:top w:w="0" w:type="dxa"/>
              <w:left w:w="60" w:type="dxa"/>
              <w:bottom w:w="0" w:type="dxa"/>
              <w:right w:w="60" w:type="dxa"/>
            </w:tcMar>
          </w:tcPr>
          <w:p w:rsidR="00D668B2" w:rsidRPr="00D668B2" w:rsidRDefault="00D668B2" w:rsidP="002B0011">
            <w:pPr>
              <w:spacing w:before="40" w:after="40"/>
            </w:pPr>
            <w:r w:rsidRPr="00D668B2">
              <w:t xml:space="preserve">3 Lascelles Avenue, Hove SA 5048 </w:t>
            </w:r>
          </w:p>
        </w:tc>
        <w:tc>
          <w:tcPr>
            <w:tcW w:w="4395" w:type="dxa"/>
            <w:tcBorders>
              <w:top w:val="single" w:sz="4" w:space="0" w:color="auto"/>
              <w:bottom w:val="single" w:sz="4" w:space="0" w:color="auto"/>
            </w:tcBorders>
            <w:shd w:val="clear" w:color="auto" w:fill="auto"/>
            <w:tcMar>
              <w:top w:w="0" w:type="dxa"/>
              <w:left w:w="60" w:type="dxa"/>
              <w:bottom w:w="0" w:type="dxa"/>
              <w:right w:w="60" w:type="dxa"/>
            </w:tcMar>
          </w:tcPr>
          <w:p w:rsidR="00D668B2" w:rsidRPr="00D668B2" w:rsidRDefault="00D668B2" w:rsidP="002B0011">
            <w:pPr>
              <w:spacing w:before="40" w:after="40"/>
            </w:pPr>
            <w:r w:rsidRPr="00D668B2">
              <w:t>Allotment 163 Deposited Plan 3248 Hundred of Noarlunga</w:t>
            </w:r>
          </w:p>
        </w:tc>
        <w:tc>
          <w:tcPr>
            <w:tcW w:w="1559" w:type="dxa"/>
            <w:tcBorders>
              <w:top w:val="single" w:sz="4" w:space="0" w:color="auto"/>
              <w:bottom w:val="single" w:sz="4" w:space="0" w:color="auto"/>
            </w:tcBorders>
            <w:shd w:val="clear" w:color="auto" w:fill="auto"/>
            <w:tcMar>
              <w:top w:w="0" w:type="dxa"/>
              <w:left w:w="60" w:type="dxa"/>
              <w:bottom w:w="0" w:type="dxa"/>
              <w:right w:w="60" w:type="dxa"/>
            </w:tcMar>
          </w:tcPr>
          <w:p w:rsidR="00D668B2" w:rsidRPr="00D668B2" w:rsidRDefault="00D668B2" w:rsidP="002B0011">
            <w:pPr>
              <w:spacing w:before="40" w:after="40"/>
            </w:pPr>
            <w:r w:rsidRPr="00D668B2">
              <w:t>CT 5739/992</w:t>
            </w:r>
          </w:p>
        </w:tc>
      </w:tr>
    </w:tbl>
    <w:p w:rsidR="00D668B2" w:rsidRPr="00D668B2" w:rsidRDefault="00D668B2" w:rsidP="00D668B2">
      <w:pPr>
        <w:spacing w:before="80" w:after="0"/>
        <w:rPr>
          <w:szCs w:val="17"/>
          <w:lang w:val="en-US"/>
        </w:rPr>
      </w:pPr>
      <w:r w:rsidRPr="00D668B2">
        <w:rPr>
          <w:szCs w:val="17"/>
          <w:lang w:val="en-US"/>
        </w:rPr>
        <w:t xml:space="preserve">Dated: 4 June 2020 </w:t>
      </w:r>
    </w:p>
    <w:p w:rsidR="00D668B2" w:rsidRPr="00D668B2" w:rsidRDefault="00D668B2" w:rsidP="00D668B2">
      <w:pPr>
        <w:spacing w:after="0"/>
        <w:jc w:val="right"/>
        <w:rPr>
          <w:smallCaps/>
          <w:lang w:val="en-US"/>
        </w:rPr>
      </w:pPr>
      <w:r w:rsidRPr="00D668B2">
        <w:rPr>
          <w:smallCaps/>
          <w:lang w:val="en-US"/>
        </w:rPr>
        <w:t>Craig Thompson</w:t>
      </w:r>
    </w:p>
    <w:p w:rsidR="00D668B2" w:rsidRPr="00D668B2" w:rsidRDefault="00D668B2" w:rsidP="00D668B2">
      <w:pPr>
        <w:spacing w:after="0"/>
        <w:jc w:val="right"/>
        <w:rPr>
          <w:szCs w:val="17"/>
          <w:lang w:val="en-US"/>
        </w:rPr>
      </w:pPr>
      <w:r w:rsidRPr="00D668B2">
        <w:rPr>
          <w:szCs w:val="17"/>
          <w:lang w:val="en-US"/>
        </w:rPr>
        <w:t>Acting Housing Regulator and Registrar</w:t>
      </w:r>
    </w:p>
    <w:p w:rsidR="00D668B2" w:rsidRPr="00D668B2" w:rsidRDefault="00D668B2" w:rsidP="00D668B2">
      <w:pPr>
        <w:spacing w:after="0"/>
        <w:jc w:val="right"/>
        <w:rPr>
          <w:szCs w:val="17"/>
          <w:lang w:val="en-US"/>
        </w:rPr>
      </w:pPr>
      <w:r w:rsidRPr="00D668B2">
        <w:rPr>
          <w:szCs w:val="17"/>
          <w:lang w:val="en-US"/>
        </w:rPr>
        <w:t>Housing Safety Authority, SAHA</w:t>
      </w:r>
    </w:p>
    <w:p w:rsidR="00D668B2" w:rsidRDefault="00D668B2" w:rsidP="00D668B2">
      <w:pPr>
        <w:spacing w:after="0"/>
        <w:jc w:val="right"/>
        <w:rPr>
          <w:rFonts w:eastAsia="Times New Roman"/>
          <w:szCs w:val="17"/>
        </w:rPr>
      </w:pPr>
      <w:r w:rsidRPr="00D668B2">
        <w:rPr>
          <w:szCs w:val="17"/>
          <w:lang w:val="en-US"/>
        </w:rPr>
        <w:t>Delegate of Minister for Human Services</w:t>
      </w:r>
    </w:p>
    <w:p w:rsidR="00D668B2" w:rsidRDefault="00D668B2" w:rsidP="00D668B2">
      <w:pPr>
        <w:pBdr>
          <w:bottom w:val="single" w:sz="4" w:space="1" w:color="auto"/>
        </w:pBdr>
        <w:spacing w:after="0" w:line="52" w:lineRule="exact"/>
        <w:jc w:val="center"/>
        <w:rPr>
          <w:lang w:val="en-US"/>
        </w:rPr>
      </w:pPr>
    </w:p>
    <w:p w:rsidR="00D668B2" w:rsidRDefault="00D668B2" w:rsidP="00D668B2">
      <w:pPr>
        <w:pBdr>
          <w:top w:val="single" w:sz="4" w:space="1" w:color="auto"/>
        </w:pBdr>
        <w:spacing w:before="34" w:after="0" w:line="14" w:lineRule="exact"/>
        <w:jc w:val="center"/>
        <w:rPr>
          <w:lang w:val="en-US"/>
        </w:rPr>
      </w:pPr>
    </w:p>
    <w:p w:rsidR="00D668B2" w:rsidRDefault="00D668B2" w:rsidP="00D668B2">
      <w:pPr>
        <w:spacing w:after="0"/>
        <w:jc w:val="left"/>
        <w:rPr>
          <w:caps/>
          <w:szCs w:val="17"/>
        </w:rPr>
      </w:pPr>
    </w:p>
    <w:p w:rsidR="00D668B2" w:rsidRPr="00D668B2" w:rsidRDefault="00D668B2" w:rsidP="00300268">
      <w:pPr>
        <w:pStyle w:val="Heading2"/>
      </w:pPr>
      <w:bookmarkStart w:id="15" w:name="_Toc42155333"/>
      <w:r w:rsidRPr="00D668B2">
        <w:t>LAND ACQUISITION ACT 1969</w:t>
      </w:r>
      <w:bookmarkEnd w:id="15"/>
    </w:p>
    <w:p w:rsidR="00D668B2" w:rsidRPr="00D668B2" w:rsidRDefault="00D668B2" w:rsidP="00D668B2">
      <w:pPr>
        <w:jc w:val="center"/>
        <w:rPr>
          <w:smallCaps/>
          <w:szCs w:val="17"/>
        </w:rPr>
      </w:pPr>
      <w:r w:rsidRPr="00D668B2">
        <w:rPr>
          <w:smallCaps/>
          <w:szCs w:val="17"/>
        </w:rPr>
        <w:t>Section 16</w:t>
      </w:r>
    </w:p>
    <w:p w:rsidR="00D668B2" w:rsidRPr="00D668B2" w:rsidRDefault="00D668B2" w:rsidP="00D668B2">
      <w:pPr>
        <w:spacing w:after="0"/>
        <w:jc w:val="center"/>
        <w:rPr>
          <w:i/>
          <w:szCs w:val="17"/>
        </w:rPr>
      </w:pPr>
      <w:r w:rsidRPr="00D668B2">
        <w:rPr>
          <w:i/>
          <w:szCs w:val="17"/>
        </w:rPr>
        <w:t>Notice of Acquisition—Form 5</w:t>
      </w:r>
    </w:p>
    <w:p w:rsidR="00D668B2" w:rsidRPr="00D668B2" w:rsidRDefault="00D668B2" w:rsidP="00D668B2">
      <w:pPr>
        <w:tabs>
          <w:tab w:val="left" w:pos="350"/>
        </w:tabs>
        <w:rPr>
          <w:rFonts w:eastAsia="Times New Roman"/>
          <w:b/>
          <w:szCs w:val="17"/>
        </w:rPr>
      </w:pPr>
      <w:r w:rsidRPr="00D668B2">
        <w:rPr>
          <w:rFonts w:eastAsia="Times New Roman"/>
          <w:b/>
          <w:szCs w:val="17"/>
        </w:rPr>
        <w:t>1.</w:t>
      </w:r>
      <w:r w:rsidRPr="00D668B2">
        <w:rPr>
          <w:rFonts w:eastAsia="Times New Roman"/>
          <w:b/>
          <w:szCs w:val="17"/>
        </w:rPr>
        <w:tab/>
        <w:t>Notice of acquisition</w:t>
      </w:r>
    </w:p>
    <w:p w:rsidR="00D668B2" w:rsidRPr="00D668B2" w:rsidRDefault="00D668B2" w:rsidP="00D668B2">
      <w:pPr>
        <w:tabs>
          <w:tab w:val="left" w:pos="350"/>
        </w:tabs>
        <w:ind w:left="350" w:hanging="350"/>
        <w:rPr>
          <w:rFonts w:eastAsia="Times New Roman"/>
          <w:szCs w:val="17"/>
        </w:rPr>
      </w:pPr>
      <w:r w:rsidRPr="00D668B2">
        <w:rPr>
          <w:rFonts w:eastAsia="Times New Roman"/>
          <w:szCs w:val="17"/>
        </w:rPr>
        <w:tab/>
        <w:t>The Commissioner of Highways (the Authority), of 50 Flinders Street, Adelaide SA 5000, acquires the following interests in the following land:</w:t>
      </w:r>
    </w:p>
    <w:p w:rsidR="00D668B2" w:rsidRPr="00D668B2" w:rsidRDefault="00D668B2" w:rsidP="00D668B2">
      <w:pPr>
        <w:ind w:left="480"/>
        <w:rPr>
          <w:rFonts w:eastAsia="Times New Roman"/>
          <w:szCs w:val="17"/>
        </w:rPr>
      </w:pPr>
      <w:r w:rsidRPr="00D668B2">
        <w:rPr>
          <w:rFonts w:eastAsia="Times New Roman"/>
          <w:szCs w:val="17"/>
        </w:rPr>
        <w:t>Comprising an estate in fee simple in that piece of land being portion of Allotment 3 in Deposited Plan No 67521 comprised in Certificate of Title Volume 5956 Folio 237, and being the whole of the land identified as Allotment 20 in D123977 lodged in the Lands Titles Office subject to the easement(s) over the land marked “A” for sewerage purposes to the South Australian Water Corporation (RTD 10186048), subject to the easement(s) over the land marked “B” for the transmission of Electricity by underground cable (RTD 10186048).</w:t>
      </w:r>
    </w:p>
    <w:p w:rsidR="00D668B2" w:rsidRPr="00D668B2" w:rsidRDefault="00D668B2" w:rsidP="00D668B2">
      <w:pPr>
        <w:ind w:left="160" w:firstLine="160"/>
        <w:rPr>
          <w:rFonts w:eastAsia="Times New Roman"/>
          <w:szCs w:val="17"/>
        </w:rPr>
      </w:pPr>
      <w:r w:rsidRPr="00D668B2">
        <w:rPr>
          <w:rFonts w:eastAsia="Times New Roman"/>
          <w:szCs w:val="17"/>
        </w:rPr>
        <w:t xml:space="preserve">This notice is given under section 16 of the </w:t>
      </w:r>
      <w:r w:rsidRPr="00D668B2">
        <w:rPr>
          <w:rFonts w:eastAsia="Times New Roman"/>
          <w:i/>
          <w:szCs w:val="17"/>
        </w:rPr>
        <w:t>Land Acquisition Act 1969.</w:t>
      </w:r>
    </w:p>
    <w:p w:rsidR="00D668B2" w:rsidRPr="00D668B2" w:rsidRDefault="00D668B2" w:rsidP="00D668B2">
      <w:pPr>
        <w:tabs>
          <w:tab w:val="left" w:pos="350"/>
        </w:tabs>
        <w:rPr>
          <w:rFonts w:eastAsia="Times New Roman"/>
          <w:b/>
          <w:szCs w:val="17"/>
        </w:rPr>
      </w:pPr>
      <w:r w:rsidRPr="00D668B2">
        <w:rPr>
          <w:rFonts w:eastAsia="Times New Roman"/>
          <w:b/>
          <w:szCs w:val="17"/>
        </w:rPr>
        <w:t>2.</w:t>
      </w:r>
      <w:r w:rsidRPr="00D668B2">
        <w:rPr>
          <w:rFonts w:eastAsia="Times New Roman"/>
          <w:b/>
          <w:szCs w:val="17"/>
        </w:rPr>
        <w:tab/>
        <w:t>Compensation</w:t>
      </w:r>
    </w:p>
    <w:p w:rsidR="00D668B2" w:rsidRPr="00D668B2" w:rsidRDefault="00D668B2" w:rsidP="00D668B2">
      <w:pPr>
        <w:ind w:left="320"/>
        <w:rPr>
          <w:rFonts w:eastAsia="Times New Roman"/>
          <w:szCs w:val="17"/>
        </w:rPr>
      </w:pPr>
      <w:r w:rsidRPr="00D668B2">
        <w:rPr>
          <w:rFonts w:eastAsia="Times New Roman"/>
          <w:szCs w:val="17"/>
        </w:rPr>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D668B2" w:rsidRPr="00D668B2" w:rsidRDefault="00D668B2" w:rsidP="00D668B2">
      <w:pPr>
        <w:tabs>
          <w:tab w:val="left" w:pos="350"/>
        </w:tabs>
        <w:rPr>
          <w:rFonts w:eastAsia="Times New Roman"/>
          <w:b/>
          <w:szCs w:val="17"/>
        </w:rPr>
      </w:pPr>
      <w:r w:rsidRPr="00D668B2">
        <w:rPr>
          <w:rFonts w:eastAsia="Times New Roman"/>
          <w:b/>
          <w:szCs w:val="17"/>
        </w:rPr>
        <w:t>3.</w:t>
      </w:r>
      <w:r w:rsidRPr="00D668B2">
        <w:rPr>
          <w:rFonts w:eastAsia="Times New Roman"/>
          <w:b/>
          <w:szCs w:val="17"/>
        </w:rPr>
        <w:tab/>
        <w:t>Inquiries</w:t>
      </w:r>
    </w:p>
    <w:p w:rsidR="00D668B2" w:rsidRPr="00D668B2" w:rsidRDefault="00D668B2" w:rsidP="00D668B2">
      <w:pPr>
        <w:ind w:left="320"/>
        <w:rPr>
          <w:rFonts w:eastAsia="Times New Roman"/>
          <w:szCs w:val="17"/>
        </w:rPr>
      </w:pPr>
      <w:r w:rsidRPr="00D668B2">
        <w:rPr>
          <w:rFonts w:eastAsia="Times New Roman"/>
          <w:szCs w:val="17"/>
        </w:rPr>
        <w:t>Inquiries should be directed to:</w:t>
      </w:r>
    </w:p>
    <w:p w:rsidR="00D668B2" w:rsidRPr="00D668B2" w:rsidRDefault="00D668B2" w:rsidP="00D668B2">
      <w:pPr>
        <w:spacing w:after="0"/>
        <w:ind w:left="480"/>
        <w:rPr>
          <w:rFonts w:eastAsia="Times New Roman"/>
          <w:szCs w:val="17"/>
        </w:rPr>
      </w:pPr>
      <w:r w:rsidRPr="00D668B2">
        <w:rPr>
          <w:rFonts w:eastAsia="Times New Roman"/>
          <w:szCs w:val="17"/>
        </w:rPr>
        <w:t>Carlene Russell</w:t>
      </w:r>
    </w:p>
    <w:p w:rsidR="00D668B2" w:rsidRPr="00D668B2" w:rsidRDefault="00D668B2" w:rsidP="00D668B2">
      <w:pPr>
        <w:spacing w:after="0"/>
        <w:ind w:left="480"/>
        <w:rPr>
          <w:rFonts w:eastAsia="Times New Roman"/>
          <w:szCs w:val="17"/>
        </w:rPr>
      </w:pPr>
      <w:r w:rsidRPr="00D668B2">
        <w:rPr>
          <w:rFonts w:eastAsia="Times New Roman"/>
          <w:szCs w:val="17"/>
        </w:rPr>
        <w:t>GPO Box 1533</w:t>
      </w:r>
    </w:p>
    <w:p w:rsidR="00D668B2" w:rsidRPr="00D668B2" w:rsidRDefault="00D668B2" w:rsidP="00D668B2">
      <w:pPr>
        <w:spacing w:after="0"/>
        <w:ind w:left="480"/>
        <w:rPr>
          <w:rFonts w:eastAsia="Times New Roman"/>
          <w:szCs w:val="17"/>
        </w:rPr>
      </w:pPr>
      <w:r w:rsidRPr="00D668B2">
        <w:rPr>
          <w:rFonts w:eastAsia="Times New Roman"/>
          <w:szCs w:val="17"/>
        </w:rPr>
        <w:t>Adelaide  SA  5001</w:t>
      </w:r>
    </w:p>
    <w:p w:rsidR="00D668B2" w:rsidRPr="00D668B2" w:rsidRDefault="00D668B2" w:rsidP="00D668B2">
      <w:pPr>
        <w:ind w:left="480"/>
        <w:rPr>
          <w:rFonts w:eastAsia="Times New Roman"/>
          <w:szCs w:val="17"/>
        </w:rPr>
      </w:pPr>
      <w:r w:rsidRPr="00D668B2">
        <w:rPr>
          <w:rFonts w:eastAsia="Times New Roman"/>
          <w:szCs w:val="17"/>
        </w:rPr>
        <w:t>Telephone: (08) 8343 2512</w:t>
      </w:r>
    </w:p>
    <w:p w:rsidR="00D668B2" w:rsidRPr="00D668B2" w:rsidRDefault="00D668B2" w:rsidP="00D668B2">
      <w:pPr>
        <w:rPr>
          <w:rFonts w:eastAsia="Times New Roman"/>
          <w:szCs w:val="17"/>
        </w:rPr>
      </w:pPr>
      <w:r w:rsidRPr="00D668B2">
        <w:rPr>
          <w:rFonts w:eastAsia="Times New Roman"/>
          <w:szCs w:val="17"/>
        </w:rPr>
        <w:t>Dated: 1 June 2020</w:t>
      </w:r>
    </w:p>
    <w:p w:rsidR="00D668B2" w:rsidRPr="00D668B2" w:rsidRDefault="00D668B2" w:rsidP="00D668B2">
      <w:pPr>
        <w:rPr>
          <w:rFonts w:eastAsia="Times New Roman"/>
          <w:szCs w:val="17"/>
        </w:rPr>
      </w:pPr>
      <w:r w:rsidRPr="00D668B2">
        <w:rPr>
          <w:rFonts w:eastAsia="Times New Roman"/>
          <w:szCs w:val="17"/>
        </w:rPr>
        <w:t>The Common Seal of the COMMISSIONER OF HIGHWAYS was hereto affixed by authority of the Commissioner in the presence of:</w:t>
      </w:r>
    </w:p>
    <w:p w:rsidR="00D668B2" w:rsidRPr="00D668B2" w:rsidRDefault="00D668B2" w:rsidP="00D668B2">
      <w:pPr>
        <w:spacing w:after="0"/>
        <w:jc w:val="right"/>
        <w:rPr>
          <w:rFonts w:eastAsia="Times New Roman"/>
          <w:smallCaps/>
          <w:szCs w:val="20"/>
        </w:rPr>
      </w:pPr>
      <w:r w:rsidRPr="00D668B2">
        <w:rPr>
          <w:rFonts w:eastAsia="Times New Roman"/>
          <w:smallCaps/>
          <w:szCs w:val="20"/>
        </w:rPr>
        <w:t>Rocco Caruso</w:t>
      </w:r>
    </w:p>
    <w:p w:rsidR="00D668B2" w:rsidRPr="00D668B2" w:rsidRDefault="00D668B2" w:rsidP="00D668B2">
      <w:pPr>
        <w:spacing w:after="0"/>
        <w:jc w:val="right"/>
        <w:rPr>
          <w:rFonts w:eastAsia="Times New Roman"/>
          <w:szCs w:val="17"/>
        </w:rPr>
      </w:pPr>
      <w:r w:rsidRPr="00D668B2">
        <w:rPr>
          <w:rFonts w:eastAsia="Times New Roman"/>
          <w:szCs w:val="17"/>
        </w:rPr>
        <w:t>Manager, Property Acquisition</w:t>
      </w:r>
    </w:p>
    <w:p w:rsidR="00D668B2" w:rsidRPr="00D668B2" w:rsidRDefault="00D668B2" w:rsidP="00D668B2">
      <w:pPr>
        <w:spacing w:after="0"/>
        <w:jc w:val="right"/>
        <w:rPr>
          <w:rFonts w:eastAsia="Times New Roman"/>
          <w:szCs w:val="17"/>
        </w:rPr>
      </w:pPr>
      <w:r w:rsidRPr="00D668B2">
        <w:rPr>
          <w:rFonts w:eastAsia="Times New Roman"/>
          <w:szCs w:val="17"/>
        </w:rPr>
        <w:t>Authorised Officer</w:t>
      </w:r>
    </w:p>
    <w:p w:rsidR="00D668B2" w:rsidRPr="00D668B2" w:rsidRDefault="00D668B2" w:rsidP="00D668B2">
      <w:pPr>
        <w:spacing w:after="0"/>
        <w:jc w:val="right"/>
        <w:rPr>
          <w:rFonts w:eastAsia="Times New Roman"/>
          <w:szCs w:val="17"/>
        </w:rPr>
      </w:pPr>
      <w:r w:rsidRPr="00D668B2">
        <w:rPr>
          <w:rFonts w:eastAsia="Times New Roman"/>
          <w:szCs w:val="17"/>
        </w:rPr>
        <w:t>Department of Planning, Transport and Infrastructure</w:t>
      </w:r>
    </w:p>
    <w:p w:rsidR="00D668B2" w:rsidRPr="00D668B2" w:rsidRDefault="00D668B2" w:rsidP="00D668B2">
      <w:pPr>
        <w:spacing w:after="0"/>
        <w:rPr>
          <w:rFonts w:eastAsia="Times New Roman"/>
          <w:szCs w:val="17"/>
        </w:rPr>
      </w:pPr>
      <w:r w:rsidRPr="00D668B2">
        <w:rPr>
          <w:rFonts w:eastAsia="Times New Roman"/>
          <w:szCs w:val="17"/>
        </w:rPr>
        <w:t>DPTI 2019/01240/01</w:t>
      </w:r>
    </w:p>
    <w:p w:rsidR="00D668B2" w:rsidRPr="00D668B2" w:rsidRDefault="00D668B2" w:rsidP="00D668B2">
      <w:pPr>
        <w:pBdr>
          <w:top w:val="single" w:sz="4" w:space="1" w:color="auto"/>
        </w:pBdr>
        <w:spacing w:before="100" w:after="0" w:line="14" w:lineRule="exact"/>
        <w:jc w:val="center"/>
        <w:rPr>
          <w:rFonts w:eastAsia="Times New Roman"/>
          <w:szCs w:val="17"/>
        </w:rPr>
      </w:pPr>
    </w:p>
    <w:p w:rsidR="008412C1" w:rsidRDefault="008412C1">
      <w:pPr>
        <w:spacing w:after="0" w:line="240" w:lineRule="auto"/>
        <w:jc w:val="left"/>
        <w:rPr>
          <w:lang w:val="en-US"/>
        </w:rPr>
      </w:pPr>
      <w:r>
        <w:rPr>
          <w:lang w:val="en-US"/>
        </w:rPr>
        <w:br w:type="page"/>
      </w:r>
    </w:p>
    <w:p w:rsidR="008412C1" w:rsidRPr="008412C1" w:rsidRDefault="008412C1" w:rsidP="008412C1">
      <w:pPr>
        <w:jc w:val="center"/>
        <w:rPr>
          <w:caps/>
          <w:szCs w:val="17"/>
        </w:rPr>
      </w:pPr>
      <w:r w:rsidRPr="008412C1">
        <w:rPr>
          <w:caps/>
          <w:szCs w:val="17"/>
        </w:rPr>
        <w:lastRenderedPageBreak/>
        <w:t>LAND ACQUISITION ACT 1969</w:t>
      </w:r>
    </w:p>
    <w:p w:rsidR="008412C1" w:rsidRPr="008412C1" w:rsidRDefault="008412C1" w:rsidP="008412C1">
      <w:pPr>
        <w:jc w:val="center"/>
        <w:rPr>
          <w:smallCaps/>
          <w:szCs w:val="17"/>
        </w:rPr>
      </w:pPr>
      <w:r w:rsidRPr="008412C1">
        <w:rPr>
          <w:smallCaps/>
          <w:szCs w:val="17"/>
        </w:rPr>
        <w:t>Section 16</w:t>
      </w:r>
    </w:p>
    <w:p w:rsidR="008412C1" w:rsidRPr="008412C1" w:rsidRDefault="008412C1" w:rsidP="008412C1">
      <w:pPr>
        <w:spacing w:after="0"/>
        <w:jc w:val="center"/>
        <w:rPr>
          <w:i/>
          <w:szCs w:val="17"/>
        </w:rPr>
      </w:pPr>
      <w:r w:rsidRPr="008412C1">
        <w:rPr>
          <w:i/>
          <w:szCs w:val="17"/>
        </w:rPr>
        <w:t>Notice of Acquisition—Form 5</w:t>
      </w:r>
    </w:p>
    <w:p w:rsidR="008412C1" w:rsidRPr="008412C1" w:rsidRDefault="008412C1" w:rsidP="008412C1">
      <w:pPr>
        <w:tabs>
          <w:tab w:val="left" w:pos="350"/>
        </w:tabs>
        <w:rPr>
          <w:rFonts w:eastAsia="Times New Roman"/>
          <w:b/>
          <w:szCs w:val="17"/>
        </w:rPr>
      </w:pPr>
      <w:r w:rsidRPr="008412C1">
        <w:rPr>
          <w:rFonts w:eastAsia="Times New Roman"/>
          <w:b/>
          <w:szCs w:val="17"/>
        </w:rPr>
        <w:t>1.</w:t>
      </w:r>
      <w:r w:rsidRPr="008412C1">
        <w:rPr>
          <w:rFonts w:eastAsia="Times New Roman"/>
          <w:b/>
          <w:szCs w:val="17"/>
        </w:rPr>
        <w:tab/>
        <w:t>Notice of acquisition</w:t>
      </w:r>
    </w:p>
    <w:p w:rsidR="008412C1" w:rsidRPr="008412C1" w:rsidRDefault="008412C1" w:rsidP="008412C1">
      <w:pPr>
        <w:ind w:left="320"/>
        <w:rPr>
          <w:rFonts w:eastAsia="Times New Roman"/>
          <w:szCs w:val="17"/>
        </w:rPr>
      </w:pPr>
      <w:r w:rsidRPr="008412C1">
        <w:rPr>
          <w:rFonts w:eastAsia="Times New Roman"/>
          <w:szCs w:val="17"/>
        </w:rPr>
        <w:t>The Commissioner of Highways (the Authority), of 50 Flinders Street, Adelaide SA 5000, acquires the following interests in the following land:</w:t>
      </w:r>
    </w:p>
    <w:p w:rsidR="008412C1" w:rsidRPr="008412C1" w:rsidRDefault="008412C1" w:rsidP="008412C1">
      <w:pPr>
        <w:ind w:left="480"/>
        <w:rPr>
          <w:rFonts w:eastAsia="Times New Roman"/>
          <w:szCs w:val="17"/>
        </w:rPr>
      </w:pPr>
      <w:r w:rsidRPr="008412C1">
        <w:rPr>
          <w:rFonts w:eastAsia="Times New Roman"/>
          <w:szCs w:val="17"/>
        </w:rPr>
        <w:t>Comprising an unencumbered estate in fee simple in that piece of land being the whole of Allotment 54 in Filed Plan No 134905 comprised in Certificate of Title Volume 5742 Folio 708</w:t>
      </w:r>
    </w:p>
    <w:p w:rsidR="008412C1" w:rsidRPr="008412C1" w:rsidRDefault="008412C1" w:rsidP="008412C1">
      <w:pPr>
        <w:ind w:left="160" w:firstLine="160"/>
        <w:rPr>
          <w:rFonts w:eastAsia="Times New Roman"/>
          <w:szCs w:val="17"/>
        </w:rPr>
      </w:pPr>
      <w:r w:rsidRPr="008412C1">
        <w:rPr>
          <w:rFonts w:eastAsia="Times New Roman"/>
          <w:szCs w:val="17"/>
        </w:rPr>
        <w:t xml:space="preserve">This notice is given under section 16 of the </w:t>
      </w:r>
      <w:r w:rsidRPr="008412C1">
        <w:rPr>
          <w:rFonts w:eastAsia="Times New Roman"/>
          <w:i/>
          <w:szCs w:val="17"/>
        </w:rPr>
        <w:t>Land Acquisition Act 1969.</w:t>
      </w:r>
    </w:p>
    <w:p w:rsidR="008412C1" w:rsidRPr="008412C1" w:rsidRDefault="008412C1" w:rsidP="008412C1">
      <w:pPr>
        <w:tabs>
          <w:tab w:val="left" w:pos="350"/>
        </w:tabs>
        <w:rPr>
          <w:rFonts w:eastAsia="Times New Roman"/>
          <w:b/>
          <w:szCs w:val="17"/>
        </w:rPr>
      </w:pPr>
      <w:r w:rsidRPr="008412C1">
        <w:rPr>
          <w:rFonts w:eastAsia="Times New Roman"/>
          <w:b/>
          <w:szCs w:val="17"/>
        </w:rPr>
        <w:t>2.</w:t>
      </w:r>
      <w:r w:rsidRPr="008412C1">
        <w:rPr>
          <w:rFonts w:eastAsia="Times New Roman"/>
          <w:b/>
          <w:szCs w:val="17"/>
        </w:rPr>
        <w:tab/>
        <w:t>Compensation</w:t>
      </w:r>
    </w:p>
    <w:p w:rsidR="008412C1" w:rsidRPr="008412C1" w:rsidRDefault="008412C1" w:rsidP="008412C1">
      <w:pPr>
        <w:ind w:left="320"/>
        <w:rPr>
          <w:rFonts w:eastAsia="Times New Roman"/>
          <w:szCs w:val="17"/>
        </w:rPr>
      </w:pPr>
      <w:r w:rsidRPr="008412C1">
        <w:rPr>
          <w:rFonts w:eastAsia="Times New Roman"/>
          <w:szCs w:val="17"/>
        </w:rPr>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8412C1" w:rsidRPr="008412C1" w:rsidRDefault="008412C1" w:rsidP="008412C1">
      <w:pPr>
        <w:tabs>
          <w:tab w:val="left" w:pos="350"/>
        </w:tabs>
        <w:rPr>
          <w:rFonts w:eastAsia="Times New Roman"/>
          <w:b/>
          <w:szCs w:val="17"/>
        </w:rPr>
      </w:pPr>
      <w:r w:rsidRPr="008412C1">
        <w:rPr>
          <w:rFonts w:eastAsia="Times New Roman"/>
          <w:b/>
          <w:szCs w:val="17"/>
        </w:rPr>
        <w:t>3.</w:t>
      </w:r>
      <w:r w:rsidRPr="008412C1">
        <w:rPr>
          <w:rFonts w:eastAsia="Times New Roman"/>
          <w:b/>
          <w:szCs w:val="17"/>
        </w:rPr>
        <w:tab/>
        <w:t>Inquiries</w:t>
      </w:r>
    </w:p>
    <w:p w:rsidR="008412C1" w:rsidRPr="008412C1" w:rsidRDefault="008412C1" w:rsidP="008412C1">
      <w:pPr>
        <w:ind w:left="320"/>
        <w:rPr>
          <w:rFonts w:eastAsia="Times New Roman"/>
          <w:szCs w:val="17"/>
        </w:rPr>
      </w:pPr>
      <w:r w:rsidRPr="008412C1">
        <w:rPr>
          <w:rFonts w:eastAsia="Times New Roman"/>
          <w:szCs w:val="17"/>
        </w:rPr>
        <w:t>Inquiries should be directed to:</w:t>
      </w:r>
    </w:p>
    <w:p w:rsidR="008412C1" w:rsidRPr="008412C1" w:rsidRDefault="008412C1" w:rsidP="008412C1">
      <w:pPr>
        <w:spacing w:after="0"/>
        <w:ind w:left="480"/>
        <w:rPr>
          <w:rFonts w:eastAsia="Times New Roman"/>
          <w:szCs w:val="17"/>
        </w:rPr>
      </w:pPr>
      <w:r w:rsidRPr="008412C1">
        <w:rPr>
          <w:rFonts w:eastAsia="Times New Roman"/>
          <w:szCs w:val="17"/>
        </w:rPr>
        <w:t>Petrula Pettas</w:t>
      </w:r>
    </w:p>
    <w:p w:rsidR="008412C1" w:rsidRPr="008412C1" w:rsidRDefault="008412C1" w:rsidP="008412C1">
      <w:pPr>
        <w:spacing w:after="0"/>
        <w:ind w:left="480"/>
        <w:rPr>
          <w:rFonts w:eastAsia="Times New Roman"/>
          <w:szCs w:val="17"/>
        </w:rPr>
      </w:pPr>
      <w:r w:rsidRPr="008412C1">
        <w:rPr>
          <w:rFonts w:eastAsia="Times New Roman"/>
          <w:szCs w:val="17"/>
        </w:rPr>
        <w:t>GPO Box 1533</w:t>
      </w:r>
    </w:p>
    <w:p w:rsidR="008412C1" w:rsidRPr="008412C1" w:rsidRDefault="008412C1" w:rsidP="008412C1">
      <w:pPr>
        <w:spacing w:after="0"/>
        <w:ind w:left="480"/>
        <w:rPr>
          <w:rFonts w:eastAsia="Times New Roman"/>
          <w:szCs w:val="17"/>
        </w:rPr>
      </w:pPr>
      <w:r w:rsidRPr="008412C1">
        <w:rPr>
          <w:rFonts w:eastAsia="Times New Roman"/>
          <w:szCs w:val="17"/>
        </w:rPr>
        <w:t>Adelaide  SA  5001</w:t>
      </w:r>
    </w:p>
    <w:p w:rsidR="008412C1" w:rsidRPr="008412C1" w:rsidRDefault="008412C1" w:rsidP="008412C1">
      <w:pPr>
        <w:ind w:left="480"/>
        <w:rPr>
          <w:rFonts w:eastAsia="Times New Roman"/>
          <w:szCs w:val="17"/>
        </w:rPr>
      </w:pPr>
      <w:r w:rsidRPr="008412C1">
        <w:rPr>
          <w:rFonts w:eastAsia="Times New Roman"/>
          <w:szCs w:val="17"/>
        </w:rPr>
        <w:t>Telephone: (08) 8343 2619</w:t>
      </w:r>
    </w:p>
    <w:p w:rsidR="008412C1" w:rsidRPr="008412C1" w:rsidRDefault="008412C1" w:rsidP="008412C1">
      <w:pPr>
        <w:rPr>
          <w:rFonts w:eastAsia="Times New Roman"/>
          <w:szCs w:val="17"/>
        </w:rPr>
      </w:pPr>
      <w:r w:rsidRPr="008412C1">
        <w:rPr>
          <w:rFonts w:eastAsia="Times New Roman"/>
          <w:szCs w:val="17"/>
        </w:rPr>
        <w:t>Dated: 1 June 2020</w:t>
      </w:r>
    </w:p>
    <w:p w:rsidR="008412C1" w:rsidRPr="008412C1" w:rsidRDefault="008412C1" w:rsidP="008412C1">
      <w:pPr>
        <w:rPr>
          <w:rFonts w:eastAsia="Times New Roman"/>
          <w:szCs w:val="17"/>
        </w:rPr>
      </w:pPr>
      <w:r w:rsidRPr="008412C1">
        <w:rPr>
          <w:rFonts w:eastAsia="Times New Roman"/>
          <w:szCs w:val="17"/>
        </w:rPr>
        <w:t>The Common Seal of the COMMISSIONER OF HIGHWAYS was hereto affixed by authority of the Commissioner in the presence of:</w:t>
      </w:r>
    </w:p>
    <w:p w:rsidR="008412C1" w:rsidRPr="008412C1" w:rsidRDefault="008412C1" w:rsidP="008412C1">
      <w:pPr>
        <w:spacing w:after="0"/>
        <w:jc w:val="right"/>
        <w:rPr>
          <w:rFonts w:eastAsia="Times New Roman"/>
          <w:smallCaps/>
          <w:szCs w:val="20"/>
        </w:rPr>
      </w:pPr>
      <w:r w:rsidRPr="008412C1">
        <w:rPr>
          <w:rFonts w:eastAsia="Times New Roman"/>
          <w:smallCaps/>
          <w:szCs w:val="20"/>
        </w:rPr>
        <w:t>Rocco Caruso</w:t>
      </w:r>
    </w:p>
    <w:p w:rsidR="008412C1" w:rsidRPr="008412C1" w:rsidRDefault="008412C1" w:rsidP="008412C1">
      <w:pPr>
        <w:spacing w:after="0"/>
        <w:jc w:val="right"/>
        <w:rPr>
          <w:rFonts w:eastAsia="Times New Roman"/>
          <w:szCs w:val="17"/>
        </w:rPr>
      </w:pPr>
      <w:r w:rsidRPr="008412C1">
        <w:rPr>
          <w:rFonts w:eastAsia="Times New Roman"/>
          <w:szCs w:val="17"/>
        </w:rPr>
        <w:t>Manager, Property Acquisition</w:t>
      </w:r>
    </w:p>
    <w:p w:rsidR="008412C1" w:rsidRPr="008412C1" w:rsidRDefault="008412C1" w:rsidP="008412C1">
      <w:pPr>
        <w:spacing w:after="0"/>
        <w:jc w:val="right"/>
        <w:rPr>
          <w:rFonts w:eastAsia="Times New Roman"/>
          <w:szCs w:val="17"/>
        </w:rPr>
      </w:pPr>
      <w:r w:rsidRPr="008412C1">
        <w:rPr>
          <w:rFonts w:eastAsia="Times New Roman"/>
          <w:szCs w:val="17"/>
        </w:rPr>
        <w:t>Authorised Officer</w:t>
      </w:r>
    </w:p>
    <w:p w:rsidR="008412C1" w:rsidRPr="008412C1" w:rsidRDefault="008412C1" w:rsidP="008412C1">
      <w:pPr>
        <w:spacing w:after="0"/>
        <w:jc w:val="right"/>
        <w:rPr>
          <w:rFonts w:eastAsia="Times New Roman"/>
          <w:szCs w:val="17"/>
        </w:rPr>
      </w:pPr>
      <w:r w:rsidRPr="008412C1">
        <w:rPr>
          <w:rFonts w:eastAsia="Times New Roman"/>
          <w:szCs w:val="17"/>
        </w:rPr>
        <w:t>Department of Planning, Transport and Infrastructure</w:t>
      </w:r>
    </w:p>
    <w:p w:rsidR="008412C1" w:rsidRPr="008412C1" w:rsidRDefault="008412C1" w:rsidP="008412C1">
      <w:pPr>
        <w:spacing w:after="0"/>
        <w:rPr>
          <w:rFonts w:eastAsia="Times New Roman"/>
          <w:szCs w:val="17"/>
        </w:rPr>
      </w:pPr>
      <w:r w:rsidRPr="008412C1">
        <w:rPr>
          <w:rFonts w:eastAsia="Times New Roman"/>
          <w:szCs w:val="17"/>
        </w:rPr>
        <w:t>DPTI 2019/11303/01</w:t>
      </w:r>
    </w:p>
    <w:p w:rsidR="008412C1" w:rsidRPr="008412C1" w:rsidRDefault="008412C1" w:rsidP="008412C1">
      <w:pPr>
        <w:pBdr>
          <w:top w:val="single" w:sz="4" w:space="1" w:color="auto"/>
        </w:pBdr>
        <w:spacing w:before="100" w:after="0" w:line="14" w:lineRule="exact"/>
        <w:jc w:val="center"/>
        <w:rPr>
          <w:rFonts w:eastAsia="Times New Roman"/>
          <w:szCs w:val="17"/>
        </w:rPr>
      </w:pPr>
    </w:p>
    <w:p w:rsidR="00D668B2" w:rsidRDefault="00D668B2" w:rsidP="00841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412C1" w:rsidRPr="008412C1" w:rsidRDefault="008412C1" w:rsidP="008412C1">
      <w:pPr>
        <w:jc w:val="center"/>
        <w:rPr>
          <w:caps/>
          <w:szCs w:val="17"/>
        </w:rPr>
      </w:pPr>
      <w:r w:rsidRPr="008412C1">
        <w:rPr>
          <w:caps/>
          <w:szCs w:val="17"/>
        </w:rPr>
        <w:t>LAND ACQUISITION ACT 1969</w:t>
      </w:r>
    </w:p>
    <w:p w:rsidR="008412C1" w:rsidRPr="008412C1" w:rsidRDefault="008412C1" w:rsidP="008412C1">
      <w:pPr>
        <w:jc w:val="center"/>
        <w:rPr>
          <w:smallCaps/>
          <w:szCs w:val="17"/>
        </w:rPr>
      </w:pPr>
      <w:r w:rsidRPr="008412C1">
        <w:rPr>
          <w:smallCaps/>
          <w:szCs w:val="17"/>
        </w:rPr>
        <w:t>Section 16</w:t>
      </w:r>
    </w:p>
    <w:p w:rsidR="008412C1" w:rsidRPr="008412C1" w:rsidRDefault="008412C1" w:rsidP="008412C1">
      <w:pPr>
        <w:spacing w:after="0"/>
        <w:jc w:val="center"/>
        <w:rPr>
          <w:i/>
          <w:szCs w:val="17"/>
        </w:rPr>
      </w:pPr>
      <w:r w:rsidRPr="008412C1">
        <w:rPr>
          <w:i/>
          <w:szCs w:val="17"/>
        </w:rPr>
        <w:t>Notice of Acquisition—Form 5</w:t>
      </w:r>
    </w:p>
    <w:p w:rsidR="008412C1" w:rsidRPr="008412C1" w:rsidRDefault="008412C1" w:rsidP="008412C1">
      <w:pPr>
        <w:tabs>
          <w:tab w:val="left" w:pos="350"/>
        </w:tabs>
        <w:rPr>
          <w:rFonts w:eastAsia="Times New Roman"/>
          <w:b/>
          <w:szCs w:val="17"/>
        </w:rPr>
      </w:pPr>
      <w:r w:rsidRPr="008412C1">
        <w:rPr>
          <w:rFonts w:eastAsia="Times New Roman"/>
          <w:b/>
          <w:szCs w:val="17"/>
        </w:rPr>
        <w:t>1.</w:t>
      </w:r>
      <w:r w:rsidRPr="008412C1">
        <w:rPr>
          <w:rFonts w:eastAsia="Times New Roman"/>
          <w:b/>
          <w:szCs w:val="17"/>
        </w:rPr>
        <w:tab/>
        <w:t>Notice of acquisition</w:t>
      </w:r>
    </w:p>
    <w:p w:rsidR="008412C1" w:rsidRPr="008412C1" w:rsidRDefault="008412C1" w:rsidP="008412C1">
      <w:pPr>
        <w:ind w:left="320"/>
        <w:rPr>
          <w:rFonts w:eastAsia="Times New Roman"/>
          <w:szCs w:val="17"/>
        </w:rPr>
      </w:pPr>
      <w:r w:rsidRPr="008412C1">
        <w:rPr>
          <w:rFonts w:eastAsia="Times New Roman"/>
          <w:szCs w:val="17"/>
        </w:rPr>
        <w:t>The Commissioner of Highways (the Authority), of 50 Flinders Street, Adelaide SA 5000, acquires the following interests in the following land:</w:t>
      </w:r>
    </w:p>
    <w:p w:rsidR="008412C1" w:rsidRPr="008412C1" w:rsidRDefault="008412C1" w:rsidP="008412C1">
      <w:pPr>
        <w:tabs>
          <w:tab w:val="left" w:pos="1701"/>
        </w:tabs>
        <w:spacing w:after="0"/>
        <w:ind w:left="1701" w:hanging="1219"/>
        <w:rPr>
          <w:rFonts w:eastAsia="Times New Roman"/>
          <w:szCs w:val="17"/>
        </w:rPr>
      </w:pPr>
      <w:r w:rsidRPr="008412C1">
        <w:rPr>
          <w:rFonts w:eastAsia="Times New Roman"/>
          <w:szCs w:val="17"/>
        </w:rPr>
        <w:t>Firstly:</w:t>
      </w:r>
      <w:r w:rsidRPr="008412C1">
        <w:rPr>
          <w:rFonts w:eastAsia="Times New Roman"/>
          <w:szCs w:val="17"/>
        </w:rPr>
        <w:tab/>
        <w:t xml:space="preserve">Comprising an unencumbered estate in fee simple in that piece of land being the whole of Allotment 56 in </w:t>
      </w:r>
      <w:r w:rsidRPr="008412C1">
        <w:rPr>
          <w:rFonts w:eastAsia="Times New Roman"/>
          <w:szCs w:val="17"/>
        </w:rPr>
        <w:br/>
        <w:t>Filed Plan No 139536 comprised in Certificate of Title Volume 5820 Folio 964</w:t>
      </w:r>
    </w:p>
    <w:p w:rsidR="008412C1" w:rsidRPr="008412C1" w:rsidRDefault="008412C1" w:rsidP="008412C1">
      <w:pPr>
        <w:tabs>
          <w:tab w:val="left" w:pos="1701"/>
        </w:tabs>
        <w:ind w:left="1701" w:hanging="1221"/>
        <w:rPr>
          <w:rFonts w:eastAsia="Times New Roman"/>
          <w:szCs w:val="17"/>
        </w:rPr>
      </w:pPr>
      <w:r w:rsidRPr="008412C1">
        <w:rPr>
          <w:rFonts w:eastAsia="Times New Roman"/>
          <w:szCs w:val="17"/>
        </w:rPr>
        <w:t>Secondly:</w:t>
      </w:r>
      <w:r w:rsidRPr="008412C1">
        <w:rPr>
          <w:rFonts w:eastAsia="Times New Roman"/>
          <w:szCs w:val="17"/>
        </w:rPr>
        <w:tab/>
        <w:t xml:space="preserve">Comprising an unencumbered estate in fee simple in that piece of land being the whole of Allotment 57 in </w:t>
      </w:r>
      <w:r w:rsidRPr="008412C1">
        <w:rPr>
          <w:rFonts w:eastAsia="Times New Roman"/>
          <w:szCs w:val="17"/>
        </w:rPr>
        <w:br/>
        <w:t>Filed Plan No 139537 comprised in Certificate of Title Volume 5812 Folio 392</w:t>
      </w:r>
    </w:p>
    <w:p w:rsidR="008412C1" w:rsidRPr="008412C1" w:rsidRDefault="008412C1" w:rsidP="008412C1">
      <w:pPr>
        <w:ind w:left="160" w:firstLine="160"/>
        <w:rPr>
          <w:rFonts w:eastAsia="Times New Roman"/>
          <w:szCs w:val="17"/>
        </w:rPr>
      </w:pPr>
      <w:r w:rsidRPr="008412C1">
        <w:rPr>
          <w:rFonts w:eastAsia="Times New Roman"/>
          <w:szCs w:val="17"/>
        </w:rPr>
        <w:t xml:space="preserve">This notice is given under section 16 of the </w:t>
      </w:r>
      <w:r w:rsidRPr="008412C1">
        <w:rPr>
          <w:rFonts w:eastAsia="Times New Roman"/>
          <w:i/>
          <w:szCs w:val="17"/>
        </w:rPr>
        <w:t>Land Acquisition Act 1969.</w:t>
      </w:r>
    </w:p>
    <w:p w:rsidR="008412C1" w:rsidRPr="008412C1" w:rsidRDefault="008412C1" w:rsidP="008412C1">
      <w:pPr>
        <w:tabs>
          <w:tab w:val="left" w:pos="350"/>
        </w:tabs>
        <w:rPr>
          <w:rFonts w:eastAsia="Times New Roman"/>
          <w:b/>
          <w:szCs w:val="17"/>
        </w:rPr>
      </w:pPr>
      <w:r w:rsidRPr="008412C1">
        <w:rPr>
          <w:rFonts w:eastAsia="Times New Roman"/>
          <w:b/>
          <w:szCs w:val="17"/>
        </w:rPr>
        <w:t>2.</w:t>
      </w:r>
      <w:r w:rsidRPr="008412C1">
        <w:rPr>
          <w:rFonts w:eastAsia="Times New Roman"/>
          <w:b/>
          <w:szCs w:val="17"/>
        </w:rPr>
        <w:tab/>
        <w:t>Compensation</w:t>
      </w:r>
    </w:p>
    <w:p w:rsidR="008412C1" w:rsidRPr="008412C1" w:rsidRDefault="008412C1" w:rsidP="008412C1">
      <w:pPr>
        <w:ind w:left="320"/>
        <w:rPr>
          <w:rFonts w:eastAsia="Times New Roman"/>
          <w:szCs w:val="17"/>
        </w:rPr>
      </w:pPr>
      <w:r w:rsidRPr="008412C1">
        <w:rPr>
          <w:rFonts w:eastAsia="Times New Roman"/>
          <w:szCs w:val="17"/>
        </w:rPr>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8412C1" w:rsidRPr="008412C1" w:rsidRDefault="008412C1" w:rsidP="008412C1">
      <w:pPr>
        <w:tabs>
          <w:tab w:val="left" w:pos="350"/>
        </w:tabs>
        <w:rPr>
          <w:rFonts w:eastAsia="Times New Roman"/>
          <w:b/>
          <w:szCs w:val="17"/>
        </w:rPr>
      </w:pPr>
      <w:r w:rsidRPr="008412C1">
        <w:rPr>
          <w:rFonts w:eastAsia="Times New Roman"/>
          <w:b/>
          <w:szCs w:val="17"/>
        </w:rPr>
        <w:t>3.</w:t>
      </w:r>
      <w:r w:rsidRPr="008412C1">
        <w:rPr>
          <w:rFonts w:eastAsia="Times New Roman"/>
          <w:b/>
          <w:szCs w:val="17"/>
        </w:rPr>
        <w:tab/>
        <w:t>Inquiries</w:t>
      </w:r>
    </w:p>
    <w:p w:rsidR="008412C1" w:rsidRPr="008412C1" w:rsidRDefault="008412C1" w:rsidP="008412C1">
      <w:pPr>
        <w:ind w:left="320"/>
        <w:rPr>
          <w:rFonts w:eastAsia="Times New Roman"/>
          <w:szCs w:val="17"/>
        </w:rPr>
      </w:pPr>
      <w:r w:rsidRPr="008412C1">
        <w:rPr>
          <w:rFonts w:eastAsia="Times New Roman"/>
          <w:szCs w:val="17"/>
        </w:rPr>
        <w:t>Inquiries should be directed to:</w:t>
      </w:r>
    </w:p>
    <w:p w:rsidR="008412C1" w:rsidRPr="008412C1" w:rsidRDefault="008412C1" w:rsidP="008412C1">
      <w:pPr>
        <w:spacing w:after="0"/>
        <w:ind w:left="480"/>
        <w:rPr>
          <w:rFonts w:eastAsia="Times New Roman"/>
          <w:szCs w:val="17"/>
        </w:rPr>
      </w:pPr>
      <w:r w:rsidRPr="008412C1">
        <w:rPr>
          <w:rFonts w:eastAsia="Times New Roman"/>
          <w:szCs w:val="17"/>
        </w:rPr>
        <w:t>Ric Lohmeyer</w:t>
      </w:r>
    </w:p>
    <w:p w:rsidR="008412C1" w:rsidRPr="008412C1" w:rsidRDefault="008412C1" w:rsidP="008412C1">
      <w:pPr>
        <w:spacing w:after="0"/>
        <w:ind w:left="480"/>
        <w:rPr>
          <w:rFonts w:eastAsia="Times New Roman"/>
          <w:szCs w:val="17"/>
        </w:rPr>
      </w:pPr>
      <w:r w:rsidRPr="008412C1">
        <w:rPr>
          <w:rFonts w:eastAsia="Times New Roman"/>
          <w:szCs w:val="17"/>
        </w:rPr>
        <w:t>GPO Box 1533</w:t>
      </w:r>
    </w:p>
    <w:p w:rsidR="008412C1" w:rsidRPr="008412C1" w:rsidRDefault="008412C1" w:rsidP="008412C1">
      <w:pPr>
        <w:spacing w:after="0"/>
        <w:ind w:left="480"/>
        <w:rPr>
          <w:rFonts w:eastAsia="Times New Roman"/>
          <w:szCs w:val="17"/>
        </w:rPr>
      </w:pPr>
      <w:r w:rsidRPr="008412C1">
        <w:rPr>
          <w:rFonts w:eastAsia="Times New Roman"/>
          <w:szCs w:val="17"/>
        </w:rPr>
        <w:t>Adelaide  SA  5001</w:t>
      </w:r>
    </w:p>
    <w:p w:rsidR="008412C1" w:rsidRPr="008412C1" w:rsidRDefault="008412C1" w:rsidP="008412C1">
      <w:pPr>
        <w:ind w:left="480"/>
        <w:rPr>
          <w:rFonts w:eastAsia="Times New Roman"/>
          <w:szCs w:val="17"/>
        </w:rPr>
      </w:pPr>
      <w:r w:rsidRPr="008412C1">
        <w:rPr>
          <w:rFonts w:eastAsia="Times New Roman"/>
          <w:szCs w:val="17"/>
        </w:rPr>
        <w:t>Telephone: (08) 8343 2554</w:t>
      </w:r>
    </w:p>
    <w:p w:rsidR="008412C1" w:rsidRPr="008412C1" w:rsidRDefault="008412C1" w:rsidP="008412C1">
      <w:pPr>
        <w:rPr>
          <w:rFonts w:eastAsia="Times New Roman"/>
          <w:szCs w:val="17"/>
        </w:rPr>
      </w:pPr>
      <w:r w:rsidRPr="008412C1">
        <w:rPr>
          <w:rFonts w:eastAsia="Times New Roman"/>
          <w:szCs w:val="17"/>
        </w:rPr>
        <w:t>Dated: 1 June 2020</w:t>
      </w:r>
    </w:p>
    <w:p w:rsidR="008412C1" w:rsidRPr="008412C1" w:rsidRDefault="008412C1" w:rsidP="008412C1">
      <w:pPr>
        <w:rPr>
          <w:rFonts w:eastAsia="Times New Roman"/>
          <w:szCs w:val="17"/>
        </w:rPr>
      </w:pPr>
      <w:r w:rsidRPr="008412C1">
        <w:rPr>
          <w:rFonts w:eastAsia="Times New Roman"/>
          <w:szCs w:val="17"/>
        </w:rPr>
        <w:t>The Common Seal of the COMMISSIONER OF HIGHWAYS was hereto affixed by authority of the Commissioner in the presence of:</w:t>
      </w:r>
    </w:p>
    <w:p w:rsidR="008412C1" w:rsidRPr="008412C1" w:rsidRDefault="008412C1" w:rsidP="008412C1">
      <w:pPr>
        <w:spacing w:after="0"/>
        <w:jc w:val="right"/>
        <w:rPr>
          <w:rFonts w:eastAsia="Times New Roman"/>
          <w:smallCaps/>
          <w:szCs w:val="20"/>
        </w:rPr>
      </w:pPr>
      <w:r w:rsidRPr="008412C1">
        <w:rPr>
          <w:rFonts w:eastAsia="Times New Roman"/>
          <w:smallCaps/>
          <w:szCs w:val="20"/>
        </w:rPr>
        <w:t>Rocco Caruso</w:t>
      </w:r>
    </w:p>
    <w:p w:rsidR="008412C1" w:rsidRPr="008412C1" w:rsidRDefault="008412C1" w:rsidP="008412C1">
      <w:pPr>
        <w:spacing w:after="0"/>
        <w:jc w:val="right"/>
        <w:rPr>
          <w:rFonts w:eastAsia="Times New Roman"/>
          <w:szCs w:val="17"/>
        </w:rPr>
      </w:pPr>
      <w:r w:rsidRPr="008412C1">
        <w:rPr>
          <w:rFonts w:eastAsia="Times New Roman"/>
          <w:szCs w:val="17"/>
        </w:rPr>
        <w:t>Manager, Property Acquisition</w:t>
      </w:r>
    </w:p>
    <w:p w:rsidR="008412C1" w:rsidRPr="008412C1" w:rsidRDefault="008412C1" w:rsidP="008412C1">
      <w:pPr>
        <w:spacing w:after="0"/>
        <w:jc w:val="right"/>
        <w:rPr>
          <w:rFonts w:eastAsia="Times New Roman"/>
          <w:szCs w:val="17"/>
        </w:rPr>
      </w:pPr>
      <w:r w:rsidRPr="008412C1">
        <w:rPr>
          <w:rFonts w:eastAsia="Times New Roman"/>
          <w:szCs w:val="17"/>
        </w:rPr>
        <w:t>Authorised Officer</w:t>
      </w:r>
    </w:p>
    <w:p w:rsidR="008412C1" w:rsidRPr="008412C1" w:rsidRDefault="008412C1" w:rsidP="008412C1">
      <w:pPr>
        <w:spacing w:after="0"/>
        <w:jc w:val="right"/>
        <w:rPr>
          <w:rFonts w:eastAsia="Times New Roman"/>
          <w:szCs w:val="17"/>
        </w:rPr>
      </w:pPr>
      <w:r w:rsidRPr="008412C1">
        <w:rPr>
          <w:rFonts w:eastAsia="Times New Roman"/>
          <w:szCs w:val="17"/>
        </w:rPr>
        <w:t>Department of Planning, Transport and Infrastructure</w:t>
      </w:r>
    </w:p>
    <w:p w:rsidR="008412C1" w:rsidRPr="008412C1" w:rsidRDefault="008412C1" w:rsidP="008412C1">
      <w:pPr>
        <w:spacing w:after="0"/>
        <w:rPr>
          <w:rFonts w:eastAsia="Times New Roman"/>
          <w:szCs w:val="17"/>
        </w:rPr>
      </w:pPr>
      <w:r w:rsidRPr="008412C1">
        <w:rPr>
          <w:rFonts w:eastAsia="Times New Roman"/>
          <w:szCs w:val="17"/>
        </w:rPr>
        <w:t>DPTI 2019/11310/01</w:t>
      </w:r>
    </w:p>
    <w:p w:rsidR="008412C1" w:rsidRDefault="008412C1" w:rsidP="008412C1">
      <w:pPr>
        <w:pBdr>
          <w:bottom w:val="single" w:sz="4" w:space="1" w:color="auto"/>
        </w:pBdr>
        <w:spacing w:after="0" w:line="52" w:lineRule="exact"/>
        <w:jc w:val="center"/>
        <w:rPr>
          <w:lang w:val="en-US"/>
        </w:rPr>
      </w:pPr>
    </w:p>
    <w:p w:rsidR="008412C1" w:rsidRDefault="008412C1" w:rsidP="008412C1">
      <w:pPr>
        <w:pBdr>
          <w:top w:val="single" w:sz="4" w:space="1" w:color="auto"/>
        </w:pBdr>
        <w:spacing w:before="34" w:after="0" w:line="14" w:lineRule="exact"/>
        <w:jc w:val="center"/>
        <w:rPr>
          <w:lang w:val="en-US"/>
        </w:rPr>
      </w:pPr>
    </w:p>
    <w:p w:rsidR="008412C1" w:rsidRDefault="008412C1">
      <w:pPr>
        <w:spacing w:after="0" w:line="240" w:lineRule="auto"/>
        <w:jc w:val="left"/>
        <w:rPr>
          <w:lang w:val="en-US"/>
        </w:rPr>
      </w:pPr>
      <w:r>
        <w:rPr>
          <w:lang w:val="en-US"/>
        </w:rPr>
        <w:br w:type="page"/>
      </w:r>
    </w:p>
    <w:p w:rsidR="008412C1" w:rsidRPr="008412C1" w:rsidRDefault="008412C1" w:rsidP="00300268">
      <w:pPr>
        <w:pStyle w:val="Heading2"/>
      </w:pPr>
      <w:bookmarkStart w:id="16" w:name="_Toc42155334"/>
      <w:r w:rsidRPr="008412C1">
        <w:lastRenderedPageBreak/>
        <w:t>LOCAL GOVERNMENT ACT 1999</w:t>
      </w:r>
      <w:bookmarkEnd w:id="16"/>
    </w:p>
    <w:p w:rsidR="008412C1" w:rsidRPr="008412C1" w:rsidRDefault="008412C1" w:rsidP="008412C1">
      <w:pPr>
        <w:jc w:val="center"/>
        <w:rPr>
          <w:i/>
          <w:szCs w:val="17"/>
        </w:rPr>
      </w:pPr>
      <w:r w:rsidRPr="008412C1">
        <w:rPr>
          <w:i/>
          <w:szCs w:val="17"/>
        </w:rPr>
        <w:t>2019 Kadina Stormwater Management Plan</w:t>
      </w:r>
    </w:p>
    <w:p w:rsidR="008412C1" w:rsidRPr="008412C1" w:rsidRDefault="008412C1" w:rsidP="008412C1">
      <w:pPr>
        <w:rPr>
          <w:rFonts w:eastAsia="Times New Roman"/>
          <w:szCs w:val="17"/>
        </w:rPr>
      </w:pPr>
      <w:r w:rsidRPr="008412C1">
        <w:rPr>
          <w:rFonts w:eastAsia="Times New Roman"/>
          <w:szCs w:val="17"/>
        </w:rPr>
        <w:t>Notice is hereby given in accordance with clause 19(4) of Schedule 1A of the Local Government Act 1999 that the 2019 Kadina Stormwater Management Plan prepared by the District Council of the Copper Coast was approved by the Stormwater Management Authority on 7 November 2019.</w:t>
      </w:r>
    </w:p>
    <w:p w:rsidR="008412C1" w:rsidRPr="008412C1" w:rsidRDefault="008412C1" w:rsidP="00841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17"/>
        </w:rPr>
      </w:pPr>
      <w:r w:rsidRPr="008412C1">
        <w:rPr>
          <w:rFonts w:ascii="CG Times (W1)" w:eastAsia="Times New Roman" w:hAnsi="CG Times (W1)"/>
          <w:szCs w:val="17"/>
        </w:rPr>
        <w:t>Dated: 22 May 2020</w:t>
      </w:r>
    </w:p>
    <w:p w:rsidR="008412C1" w:rsidRPr="008412C1" w:rsidRDefault="008412C1" w:rsidP="00841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8412C1">
        <w:rPr>
          <w:rFonts w:ascii="CG Times (W1)" w:eastAsia="Times New Roman" w:hAnsi="CG Times (W1)"/>
          <w:szCs w:val="17"/>
        </w:rPr>
        <w:t>Executed for and on behalf of the Stormwater Management Authority by its Presiding Member pursuant to a resolution of the Board and</w:t>
      </w:r>
    </w:p>
    <w:p w:rsidR="008412C1" w:rsidRPr="008412C1" w:rsidRDefault="008412C1" w:rsidP="00841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8412C1">
        <w:rPr>
          <w:rFonts w:ascii="CG Times (W1)" w:eastAsia="Times New Roman" w:hAnsi="CG Times (W1)"/>
          <w:szCs w:val="17"/>
        </w:rPr>
        <w:t>in the presence of:</w:t>
      </w:r>
    </w:p>
    <w:p w:rsidR="008412C1" w:rsidRPr="008412C1" w:rsidRDefault="008412C1" w:rsidP="008412C1">
      <w:pPr>
        <w:spacing w:after="0"/>
        <w:jc w:val="right"/>
        <w:rPr>
          <w:rFonts w:eastAsia="Times New Roman"/>
          <w:smallCaps/>
          <w:szCs w:val="20"/>
        </w:rPr>
      </w:pPr>
      <w:r w:rsidRPr="008412C1">
        <w:rPr>
          <w:rFonts w:eastAsia="Times New Roman"/>
          <w:smallCaps/>
          <w:szCs w:val="20"/>
        </w:rPr>
        <w:t>Stephen Hains</w:t>
      </w:r>
    </w:p>
    <w:p w:rsidR="008412C1" w:rsidRPr="008412C1" w:rsidRDefault="008412C1" w:rsidP="008412C1">
      <w:pPr>
        <w:jc w:val="right"/>
        <w:rPr>
          <w:rFonts w:eastAsia="Times New Roman"/>
          <w:szCs w:val="17"/>
        </w:rPr>
      </w:pPr>
      <w:r w:rsidRPr="008412C1">
        <w:rPr>
          <w:rFonts w:eastAsia="Times New Roman"/>
          <w:szCs w:val="17"/>
        </w:rPr>
        <w:t>Presiding Member</w:t>
      </w:r>
    </w:p>
    <w:p w:rsidR="008412C1" w:rsidRPr="008412C1" w:rsidRDefault="008412C1" w:rsidP="008412C1">
      <w:pPr>
        <w:spacing w:after="0"/>
        <w:jc w:val="right"/>
        <w:rPr>
          <w:rFonts w:eastAsia="Times New Roman"/>
          <w:szCs w:val="17"/>
        </w:rPr>
      </w:pPr>
      <w:r w:rsidRPr="008412C1">
        <w:rPr>
          <w:rFonts w:eastAsia="Times New Roman"/>
          <w:szCs w:val="17"/>
        </w:rPr>
        <w:t>Witness:</w:t>
      </w:r>
    </w:p>
    <w:p w:rsidR="008412C1" w:rsidRPr="008412C1" w:rsidRDefault="008412C1" w:rsidP="008412C1">
      <w:pPr>
        <w:spacing w:after="0"/>
        <w:jc w:val="right"/>
        <w:rPr>
          <w:rFonts w:eastAsia="Times New Roman"/>
          <w:smallCaps/>
          <w:szCs w:val="20"/>
        </w:rPr>
      </w:pPr>
      <w:r w:rsidRPr="008412C1">
        <w:rPr>
          <w:rFonts w:eastAsia="Times New Roman"/>
          <w:smallCaps/>
          <w:szCs w:val="20"/>
        </w:rPr>
        <w:t>David Trebilcock</w:t>
      </w:r>
    </w:p>
    <w:p w:rsidR="008412C1" w:rsidRDefault="008412C1" w:rsidP="002B0011">
      <w:pPr>
        <w:spacing w:after="0"/>
        <w:jc w:val="right"/>
        <w:rPr>
          <w:rFonts w:eastAsia="Times New Roman"/>
          <w:szCs w:val="17"/>
        </w:rPr>
      </w:pPr>
      <w:r w:rsidRPr="008412C1">
        <w:rPr>
          <w:rFonts w:eastAsia="Times New Roman"/>
          <w:szCs w:val="17"/>
        </w:rPr>
        <w:t>General Manager</w:t>
      </w:r>
    </w:p>
    <w:p w:rsidR="008412C1" w:rsidRDefault="008412C1" w:rsidP="008412C1">
      <w:pPr>
        <w:pBdr>
          <w:bottom w:val="single" w:sz="4" w:space="1" w:color="auto"/>
        </w:pBdr>
        <w:spacing w:after="0" w:line="52" w:lineRule="exact"/>
        <w:jc w:val="center"/>
        <w:rPr>
          <w:lang w:val="en-US"/>
        </w:rPr>
      </w:pPr>
    </w:p>
    <w:p w:rsidR="008412C1" w:rsidRDefault="008412C1" w:rsidP="008412C1">
      <w:pPr>
        <w:pBdr>
          <w:top w:val="single" w:sz="4" w:space="1" w:color="auto"/>
        </w:pBdr>
        <w:spacing w:before="34" w:after="0" w:line="14" w:lineRule="exact"/>
        <w:jc w:val="center"/>
        <w:rPr>
          <w:lang w:val="en-US"/>
        </w:rPr>
      </w:pPr>
    </w:p>
    <w:p w:rsidR="008412C1" w:rsidRDefault="008412C1" w:rsidP="00841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412C1" w:rsidRPr="008412C1" w:rsidRDefault="008412C1" w:rsidP="00300268">
      <w:pPr>
        <w:pStyle w:val="Heading2"/>
      </w:pPr>
      <w:bookmarkStart w:id="17" w:name="_Toc42155335"/>
      <w:r w:rsidRPr="008412C1">
        <w:t>MENTAL HEALTH ACT 2009</w:t>
      </w:r>
      <w:bookmarkEnd w:id="17"/>
    </w:p>
    <w:p w:rsidR="008412C1" w:rsidRPr="008412C1" w:rsidRDefault="008412C1" w:rsidP="008412C1">
      <w:pPr>
        <w:jc w:val="center"/>
        <w:rPr>
          <w:i/>
          <w:szCs w:val="17"/>
        </w:rPr>
      </w:pPr>
      <w:r w:rsidRPr="008412C1">
        <w:rPr>
          <w:i/>
          <w:szCs w:val="17"/>
        </w:rPr>
        <w:t>Authorised Medical Practitioner</w:t>
      </w:r>
    </w:p>
    <w:p w:rsidR="008412C1" w:rsidRPr="008412C1" w:rsidRDefault="008412C1" w:rsidP="008412C1">
      <w:pPr>
        <w:rPr>
          <w:rFonts w:eastAsia="Times New Roman"/>
          <w:szCs w:val="17"/>
        </w:rPr>
      </w:pPr>
      <w:r w:rsidRPr="008412C1">
        <w:rPr>
          <w:rFonts w:eastAsia="Times New Roman"/>
          <w:szCs w:val="17"/>
        </w:rPr>
        <w:t xml:space="preserve">NOTICE is hereby given in accordance with Section 93(1) of the Mental Health Act 2009 that the Chief Psychiatrist has determined on </w:t>
      </w:r>
      <w:r w:rsidR="002B0011">
        <w:rPr>
          <w:rFonts w:eastAsia="Times New Roman"/>
          <w:szCs w:val="17"/>
        </w:rPr>
        <w:t>2 </w:t>
      </w:r>
      <w:r w:rsidRPr="008412C1">
        <w:rPr>
          <w:rFonts w:eastAsia="Times New Roman"/>
          <w:szCs w:val="17"/>
        </w:rPr>
        <w:t>June 2020 the following person as an Authorised Medical Practitioner:</w:t>
      </w:r>
    </w:p>
    <w:p w:rsidR="008412C1" w:rsidRPr="008412C1" w:rsidRDefault="008412C1" w:rsidP="008412C1">
      <w:pPr>
        <w:ind w:firstLine="160"/>
        <w:rPr>
          <w:rFonts w:eastAsia="Times New Roman"/>
          <w:szCs w:val="17"/>
        </w:rPr>
      </w:pPr>
      <w:r w:rsidRPr="008412C1">
        <w:rPr>
          <w:rFonts w:eastAsia="Times New Roman"/>
          <w:szCs w:val="17"/>
        </w:rPr>
        <w:t>Rumy Bose</w:t>
      </w:r>
    </w:p>
    <w:p w:rsidR="008412C1" w:rsidRPr="008412C1" w:rsidRDefault="008412C1" w:rsidP="008412C1">
      <w:pPr>
        <w:rPr>
          <w:rFonts w:eastAsia="Times New Roman"/>
          <w:szCs w:val="17"/>
        </w:rPr>
      </w:pPr>
      <w:r w:rsidRPr="008412C1">
        <w:rPr>
          <w:rFonts w:eastAsia="Times New Roman"/>
          <w:szCs w:val="17"/>
        </w:rPr>
        <w:t>A determination will be automatically revoked upon the person being registered as a specialist psychiatrist with the Australian Health Practitioner Regulation Agency and as a fellow of the Royal Australian and New Zealand College of Psychiatrists.</w:t>
      </w:r>
    </w:p>
    <w:p w:rsidR="008412C1" w:rsidRPr="008412C1" w:rsidRDefault="008412C1" w:rsidP="008412C1">
      <w:pPr>
        <w:spacing w:after="0"/>
        <w:rPr>
          <w:rFonts w:eastAsia="Times New Roman"/>
          <w:szCs w:val="17"/>
        </w:rPr>
      </w:pPr>
      <w:r w:rsidRPr="008412C1">
        <w:rPr>
          <w:rFonts w:eastAsia="Times New Roman"/>
          <w:szCs w:val="17"/>
        </w:rPr>
        <w:t>Dated: 4 June 2020</w:t>
      </w:r>
    </w:p>
    <w:p w:rsidR="008412C1" w:rsidRPr="008412C1" w:rsidRDefault="008412C1" w:rsidP="008412C1">
      <w:pPr>
        <w:spacing w:after="0"/>
        <w:jc w:val="right"/>
        <w:rPr>
          <w:rFonts w:eastAsia="Times New Roman"/>
          <w:smallCaps/>
          <w:szCs w:val="20"/>
        </w:rPr>
      </w:pPr>
      <w:r w:rsidRPr="008412C1">
        <w:rPr>
          <w:rFonts w:eastAsia="Times New Roman"/>
          <w:smallCaps/>
          <w:szCs w:val="17"/>
        </w:rPr>
        <w:t>Dr J</w:t>
      </w:r>
      <w:r w:rsidRPr="008412C1">
        <w:rPr>
          <w:rFonts w:eastAsia="Times New Roman"/>
          <w:smallCaps/>
          <w:szCs w:val="20"/>
        </w:rPr>
        <w:t>. Brayley</w:t>
      </w:r>
    </w:p>
    <w:p w:rsidR="008412C1" w:rsidRDefault="008412C1" w:rsidP="00473263">
      <w:pPr>
        <w:spacing w:after="0"/>
        <w:jc w:val="right"/>
        <w:rPr>
          <w:rFonts w:eastAsia="Times New Roman"/>
          <w:szCs w:val="17"/>
        </w:rPr>
      </w:pPr>
      <w:r w:rsidRPr="008412C1">
        <w:rPr>
          <w:rFonts w:eastAsia="Times New Roman"/>
          <w:szCs w:val="17"/>
        </w:rPr>
        <w:t>Chief Psychiatrist</w:t>
      </w:r>
    </w:p>
    <w:p w:rsidR="00473263" w:rsidRDefault="00473263" w:rsidP="00473263">
      <w:pPr>
        <w:pBdr>
          <w:bottom w:val="single" w:sz="4" w:space="1" w:color="auto"/>
        </w:pBdr>
        <w:spacing w:after="0" w:line="52" w:lineRule="exact"/>
        <w:jc w:val="center"/>
        <w:rPr>
          <w:lang w:val="en-US"/>
        </w:rPr>
      </w:pPr>
    </w:p>
    <w:p w:rsidR="00473263" w:rsidRDefault="00473263" w:rsidP="00473263">
      <w:pPr>
        <w:pBdr>
          <w:top w:val="single" w:sz="4" w:space="1" w:color="auto"/>
        </w:pBdr>
        <w:spacing w:before="34" w:after="0" w:line="14" w:lineRule="exact"/>
        <w:jc w:val="center"/>
        <w:rPr>
          <w:lang w:val="en-US"/>
        </w:rPr>
      </w:pPr>
    </w:p>
    <w:p w:rsidR="00473263" w:rsidRDefault="00473263" w:rsidP="00493E5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4443A" w:rsidRPr="00B4443A" w:rsidRDefault="00B4443A" w:rsidP="00300268">
      <w:pPr>
        <w:pStyle w:val="Heading2"/>
      </w:pPr>
      <w:bookmarkStart w:id="18" w:name="_Toc42155336"/>
      <w:r w:rsidRPr="00B4443A">
        <w:t>MINING ACT 1971</w:t>
      </w:r>
      <w:bookmarkEnd w:id="18"/>
    </w:p>
    <w:p w:rsidR="00B4443A" w:rsidRPr="00B4443A" w:rsidRDefault="00B4443A" w:rsidP="00B4443A">
      <w:pPr>
        <w:jc w:val="center"/>
        <w:rPr>
          <w:i/>
          <w:szCs w:val="17"/>
        </w:rPr>
      </w:pPr>
      <w:r w:rsidRPr="00B4443A">
        <w:rPr>
          <w:i/>
          <w:szCs w:val="17"/>
        </w:rPr>
        <w:t>Extractive Minerals Lease</w:t>
      </w:r>
    </w:p>
    <w:p w:rsidR="00B4443A" w:rsidRPr="00B4443A" w:rsidRDefault="00B4443A" w:rsidP="00B4443A">
      <w:pPr>
        <w:rPr>
          <w:rFonts w:eastAsia="Times New Roman"/>
          <w:szCs w:val="17"/>
        </w:rPr>
      </w:pPr>
      <w:r w:rsidRPr="00B4443A">
        <w:rPr>
          <w:rFonts w:eastAsia="Times New Roman"/>
          <w:szCs w:val="17"/>
        </w:rPr>
        <w:t xml:space="preserve">Notice is hereby given in accordance with Section 35A(1) of the </w:t>
      </w:r>
      <w:r w:rsidRPr="00B4443A">
        <w:rPr>
          <w:rFonts w:eastAsia="Times New Roman"/>
          <w:i/>
          <w:iCs/>
          <w:szCs w:val="17"/>
        </w:rPr>
        <w:t>Mining Act 1971</w:t>
      </w:r>
      <w:r w:rsidRPr="00B4443A">
        <w:rPr>
          <w:rFonts w:eastAsia="Times New Roman"/>
          <w:szCs w:val="17"/>
        </w:rPr>
        <w:t>, that an application for an Extractive Minerals Lease over the undermentioned Retention Lease has been received:</w:t>
      </w:r>
    </w:p>
    <w:p w:rsidR="00B4443A" w:rsidRPr="00B4443A" w:rsidRDefault="00B4443A" w:rsidP="00B4443A">
      <w:pPr>
        <w:tabs>
          <w:tab w:val="left" w:pos="1560"/>
        </w:tabs>
        <w:spacing w:after="0"/>
        <w:ind w:left="142"/>
        <w:rPr>
          <w:rFonts w:eastAsia="Times New Roman"/>
          <w:szCs w:val="17"/>
        </w:rPr>
      </w:pPr>
      <w:r w:rsidRPr="00B4443A">
        <w:rPr>
          <w:rFonts w:eastAsia="Times New Roman"/>
          <w:szCs w:val="17"/>
        </w:rPr>
        <w:t>Applicant:</w:t>
      </w:r>
      <w:r w:rsidRPr="00B4443A">
        <w:rPr>
          <w:rFonts w:eastAsia="Times New Roman"/>
          <w:szCs w:val="17"/>
        </w:rPr>
        <w:tab/>
        <w:t>Hanson Construction Materials Pty Ltd</w:t>
      </w:r>
    </w:p>
    <w:p w:rsidR="00B4443A" w:rsidRPr="00B4443A" w:rsidRDefault="00B4443A" w:rsidP="00B4443A">
      <w:pPr>
        <w:tabs>
          <w:tab w:val="left" w:pos="1560"/>
        </w:tabs>
        <w:spacing w:after="0"/>
        <w:ind w:left="142"/>
        <w:rPr>
          <w:rFonts w:eastAsia="Times New Roman"/>
          <w:szCs w:val="17"/>
        </w:rPr>
      </w:pPr>
      <w:r w:rsidRPr="00B4443A">
        <w:rPr>
          <w:rFonts w:eastAsia="Times New Roman"/>
          <w:szCs w:val="17"/>
        </w:rPr>
        <w:t>Claim Number:</w:t>
      </w:r>
      <w:r w:rsidRPr="00B4443A">
        <w:rPr>
          <w:rFonts w:eastAsia="Times New Roman"/>
          <w:szCs w:val="17"/>
        </w:rPr>
        <w:tab/>
        <w:t>132</w:t>
      </w:r>
    </w:p>
    <w:p w:rsidR="00B4443A" w:rsidRPr="00B4443A" w:rsidRDefault="00B4443A" w:rsidP="00B4443A">
      <w:pPr>
        <w:tabs>
          <w:tab w:val="left" w:pos="1560"/>
        </w:tabs>
        <w:spacing w:after="0"/>
        <w:ind w:left="142"/>
        <w:rPr>
          <w:rFonts w:eastAsia="Times New Roman"/>
          <w:szCs w:val="17"/>
        </w:rPr>
      </w:pPr>
      <w:r w:rsidRPr="00B4443A">
        <w:rPr>
          <w:rFonts w:eastAsia="Times New Roman"/>
          <w:szCs w:val="17"/>
        </w:rPr>
        <w:t>Location:</w:t>
      </w:r>
      <w:r w:rsidRPr="00B4443A">
        <w:rPr>
          <w:rFonts w:eastAsia="Times New Roman"/>
          <w:szCs w:val="17"/>
        </w:rPr>
        <w:tab/>
        <w:t>Allotment 9 Filed Plan 160548, Kanmantoo area, approximately 8km east of Mount Barker (CT 5735/307)</w:t>
      </w:r>
    </w:p>
    <w:p w:rsidR="00B4443A" w:rsidRPr="00B4443A" w:rsidRDefault="00B4443A" w:rsidP="00B4443A">
      <w:pPr>
        <w:tabs>
          <w:tab w:val="left" w:pos="1560"/>
        </w:tabs>
        <w:spacing w:after="0"/>
        <w:ind w:left="142"/>
        <w:rPr>
          <w:rFonts w:eastAsia="Times New Roman"/>
          <w:szCs w:val="17"/>
        </w:rPr>
      </w:pPr>
      <w:r w:rsidRPr="00B4443A">
        <w:rPr>
          <w:rFonts w:eastAsia="Times New Roman"/>
          <w:szCs w:val="17"/>
        </w:rPr>
        <w:t xml:space="preserve">Area: </w:t>
      </w:r>
      <w:r w:rsidRPr="00B4443A">
        <w:rPr>
          <w:rFonts w:eastAsia="Times New Roman"/>
          <w:szCs w:val="17"/>
        </w:rPr>
        <w:tab/>
        <w:t>161 hectares approximately</w:t>
      </w:r>
    </w:p>
    <w:p w:rsidR="00B4443A" w:rsidRPr="00B4443A" w:rsidRDefault="00B4443A" w:rsidP="00B4443A">
      <w:pPr>
        <w:tabs>
          <w:tab w:val="left" w:pos="1560"/>
        </w:tabs>
        <w:spacing w:after="0"/>
        <w:ind w:left="142"/>
        <w:rPr>
          <w:rFonts w:eastAsia="Times New Roman"/>
          <w:szCs w:val="17"/>
        </w:rPr>
      </w:pPr>
      <w:r w:rsidRPr="00B4443A">
        <w:rPr>
          <w:rFonts w:eastAsia="Times New Roman"/>
          <w:szCs w:val="17"/>
        </w:rPr>
        <w:t xml:space="preserve">Purpose: </w:t>
      </w:r>
      <w:r w:rsidRPr="00B4443A">
        <w:rPr>
          <w:rFonts w:eastAsia="Times New Roman"/>
          <w:szCs w:val="17"/>
        </w:rPr>
        <w:tab/>
        <w:t xml:space="preserve">Construction Materials </w:t>
      </w:r>
    </w:p>
    <w:p w:rsidR="00B4443A" w:rsidRPr="00B4443A" w:rsidRDefault="00B4443A" w:rsidP="00B4443A">
      <w:pPr>
        <w:tabs>
          <w:tab w:val="left" w:pos="1560"/>
        </w:tabs>
        <w:ind w:left="142"/>
        <w:rPr>
          <w:rFonts w:eastAsia="Times New Roman"/>
          <w:szCs w:val="17"/>
        </w:rPr>
      </w:pPr>
      <w:r w:rsidRPr="00B4443A">
        <w:rPr>
          <w:rFonts w:eastAsia="Times New Roman"/>
          <w:szCs w:val="17"/>
        </w:rPr>
        <w:t>Reference:</w:t>
      </w:r>
      <w:r w:rsidRPr="00B4443A">
        <w:rPr>
          <w:rFonts w:eastAsia="Times New Roman"/>
          <w:szCs w:val="17"/>
        </w:rPr>
        <w:tab/>
        <w:t>2016/000314</w:t>
      </w:r>
    </w:p>
    <w:p w:rsidR="00B4443A" w:rsidRPr="00B4443A" w:rsidRDefault="00B4443A" w:rsidP="00B4443A">
      <w:pPr>
        <w:rPr>
          <w:rFonts w:eastAsia="Times New Roman"/>
          <w:szCs w:val="17"/>
        </w:rPr>
      </w:pPr>
      <w:r w:rsidRPr="00B4443A">
        <w:rPr>
          <w:rFonts w:eastAsia="Times New Roman"/>
          <w:szCs w:val="17"/>
        </w:rPr>
        <w:t>To arrange an inspection of the proposal at the Department for Energy and Mining, please call the Department on 08 8463 3103.</w:t>
      </w:r>
    </w:p>
    <w:p w:rsidR="00B4443A" w:rsidRPr="00B4443A" w:rsidRDefault="00B4443A" w:rsidP="00B4443A">
      <w:pPr>
        <w:tabs>
          <w:tab w:val="left" w:pos="0"/>
        </w:tabs>
        <w:spacing w:after="40"/>
        <w:ind w:left="159" w:hanging="159"/>
        <w:jc w:val="left"/>
        <w:rPr>
          <w:rFonts w:eastAsia="Times New Roman"/>
          <w:szCs w:val="17"/>
        </w:rPr>
      </w:pPr>
      <w:r w:rsidRPr="00B4443A">
        <w:rPr>
          <w:rFonts w:eastAsia="Times New Roman"/>
          <w:szCs w:val="17"/>
        </w:rPr>
        <w:t>An electronic copy of the proposal can be found on the Department for Energy and Mining website:</w:t>
      </w:r>
    </w:p>
    <w:p w:rsidR="00B4443A" w:rsidRPr="00B4443A" w:rsidRDefault="00C84A5A" w:rsidP="00B4443A">
      <w:pPr>
        <w:ind w:firstLine="142"/>
        <w:jc w:val="left"/>
        <w:rPr>
          <w:rFonts w:eastAsia="Times New Roman" w:cs="Arial"/>
          <w:szCs w:val="17"/>
        </w:rPr>
      </w:pPr>
      <w:hyperlink r:id="rId19" w:history="1">
        <w:r w:rsidR="00B4443A" w:rsidRPr="00B4443A">
          <w:rPr>
            <w:rFonts w:eastAsia="Times New Roman" w:cs="Arial"/>
            <w:color w:val="0000FF"/>
            <w:szCs w:val="17"/>
            <w:u w:val="single"/>
          </w:rPr>
          <w:t>http://energymining.sa.gov.au/minerals/mining/public_notices_mining</w:t>
        </w:r>
      </w:hyperlink>
    </w:p>
    <w:p w:rsidR="00B4443A" w:rsidRPr="00B4443A" w:rsidRDefault="00B4443A" w:rsidP="00B4443A">
      <w:pPr>
        <w:rPr>
          <w:rFonts w:eastAsia="Times New Roman"/>
          <w:szCs w:val="17"/>
        </w:rPr>
      </w:pPr>
      <w:r w:rsidRPr="00B4443A">
        <w:rPr>
          <w:rFonts w:eastAsia="Times New Roman"/>
          <w:szCs w:val="17"/>
        </w:rPr>
        <w:t xml:space="preserve">Written submissions in relation to this application are invited to be received at the Department for Energy and Mining, Mining Regulation Attn: Business Support Officer, GPO Box 320 ADELAIDE SA 5001 or </w:t>
      </w:r>
      <w:hyperlink r:id="rId20" w:history="1">
        <w:r w:rsidRPr="00B4443A">
          <w:rPr>
            <w:rFonts w:eastAsia="Times New Roman"/>
            <w:color w:val="0000FF"/>
            <w:szCs w:val="17"/>
            <w:u w:val="single"/>
          </w:rPr>
          <w:t>dem.miningregrehab@sa.gov.au</w:t>
        </w:r>
      </w:hyperlink>
      <w:r w:rsidRPr="00B4443A">
        <w:rPr>
          <w:rFonts w:eastAsia="Times New Roman"/>
          <w:szCs w:val="17"/>
        </w:rPr>
        <w:t xml:space="preserve"> by no later than </w:t>
      </w:r>
      <w:r w:rsidRPr="00B4443A">
        <w:rPr>
          <w:rFonts w:eastAsia="Times New Roman"/>
          <w:b/>
          <w:szCs w:val="17"/>
        </w:rPr>
        <w:t>16 July 2020</w:t>
      </w:r>
      <w:r w:rsidRPr="00B4443A">
        <w:rPr>
          <w:rFonts w:eastAsia="Times New Roman"/>
          <w:szCs w:val="17"/>
        </w:rPr>
        <w:t>.</w:t>
      </w:r>
    </w:p>
    <w:p w:rsidR="00B4443A" w:rsidRPr="00B4443A" w:rsidRDefault="00B4443A" w:rsidP="00B4443A">
      <w:pPr>
        <w:rPr>
          <w:rFonts w:eastAsia="Times New Roman"/>
          <w:szCs w:val="17"/>
        </w:rPr>
      </w:pPr>
      <w:r w:rsidRPr="00B4443A">
        <w:rPr>
          <w:rFonts w:eastAsia="Times New Roman"/>
          <w:szCs w:val="17"/>
        </w:rPr>
        <w:t xml:space="preserve">The delegate of the </w:t>
      </w:r>
      <w:r w:rsidRPr="00B4443A">
        <w:rPr>
          <w:rFonts w:eastAsia="Times New Roman" w:cs="Arial"/>
          <w:color w:val="000000"/>
          <w:szCs w:val="24"/>
        </w:rPr>
        <w:t xml:space="preserve">Minister for </w:t>
      </w:r>
      <w:r w:rsidRPr="00B4443A">
        <w:rPr>
          <w:rFonts w:eastAsia="Times New Roman"/>
          <w:szCs w:val="17"/>
        </w:rPr>
        <w:t>Energy and Mining is required to have regard to these submissions in determining whether to grant or refuse the application and, if granted, the terms and conditions on which it should be granted.</w:t>
      </w:r>
    </w:p>
    <w:p w:rsidR="00B4443A" w:rsidRPr="00B4443A" w:rsidRDefault="00B4443A" w:rsidP="00B4443A">
      <w:pPr>
        <w:rPr>
          <w:rFonts w:eastAsia="Times New Roman"/>
          <w:szCs w:val="17"/>
        </w:rPr>
      </w:pPr>
      <w:r w:rsidRPr="00B4443A">
        <w:rPr>
          <w:rFonts w:eastAsia="Times New Roman"/>
          <w:szCs w:val="17"/>
        </w:rPr>
        <w:t>When you make a written submission, that submission becomes a public record. Your submission will be provided to the applicant and may be made available for public inspection.</w:t>
      </w:r>
    </w:p>
    <w:p w:rsidR="00B4443A" w:rsidRPr="00B4443A" w:rsidRDefault="00B4443A" w:rsidP="00B4443A">
      <w:pPr>
        <w:spacing w:after="0"/>
        <w:rPr>
          <w:rFonts w:eastAsia="Times New Roman"/>
          <w:szCs w:val="17"/>
        </w:rPr>
      </w:pPr>
      <w:r w:rsidRPr="00B4443A">
        <w:rPr>
          <w:rFonts w:eastAsia="Times New Roman"/>
          <w:szCs w:val="17"/>
        </w:rPr>
        <w:t>Dated: 4 June 2020</w:t>
      </w:r>
    </w:p>
    <w:p w:rsidR="00B4443A" w:rsidRPr="00B4443A" w:rsidRDefault="00B4443A" w:rsidP="00B4443A">
      <w:pPr>
        <w:spacing w:after="0"/>
        <w:jc w:val="right"/>
        <w:rPr>
          <w:rFonts w:eastAsia="Times New Roman"/>
          <w:smallCaps/>
          <w:szCs w:val="20"/>
        </w:rPr>
      </w:pPr>
      <w:r w:rsidRPr="00B4443A">
        <w:rPr>
          <w:rFonts w:eastAsia="Times New Roman"/>
          <w:smallCaps/>
          <w:szCs w:val="20"/>
        </w:rPr>
        <w:t>J Martin</w:t>
      </w:r>
    </w:p>
    <w:p w:rsidR="00B4443A" w:rsidRPr="00B4443A" w:rsidRDefault="00B4443A" w:rsidP="00B4443A">
      <w:pPr>
        <w:spacing w:after="0"/>
        <w:jc w:val="right"/>
        <w:rPr>
          <w:rFonts w:eastAsia="Times New Roman"/>
          <w:szCs w:val="17"/>
        </w:rPr>
      </w:pPr>
      <w:r w:rsidRPr="00B4443A">
        <w:rPr>
          <w:rFonts w:eastAsia="Times New Roman"/>
          <w:szCs w:val="17"/>
        </w:rPr>
        <w:t>Mining Registrar as delegate for the Minister for Energy and Mining</w:t>
      </w:r>
    </w:p>
    <w:p w:rsidR="00B4443A" w:rsidRDefault="00B4443A" w:rsidP="00B4443A">
      <w:pPr>
        <w:spacing w:after="10"/>
        <w:jc w:val="right"/>
        <w:rPr>
          <w:rFonts w:eastAsia="Times New Roman" w:cs="Arial"/>
          <w:color w:val="000000"/>
          <w:szCs w:val="24"/>
        </w:rPr>
      </w:pPr>
      <w:r w:rsidRPr="00B4443A">
        <w:rPr>
          <w:rFonts w:eastAsia="Times New Roman"/>
          <w:szCs w:val="17"/>
        </w:rPr>
        <w:t>Department for Energy and Mining</w:t>
      </w:r>
    </w:p>
    <w:p w:rsidR="00B4443A" w:rsidRDefault="00B4443A" w:rsidP="00B4443A">
      <w:pPr>
        <w:pBdr>
          <w:bottom w:val="single" w:sz="4" w:space="1" w:color="auto"/>
        </w:pBdr>
        <w:spacing w:after="0" w:line="52" w:lineRule="exact"/>
        <w:jc w:val="center"/>
        <w:rPr>
          <w:rFonts w:eastAsia="Times New Roman" w:cs="Arial"/>
          <w:color w:val="000000"/>
          <w:szCs w:val="24"/>
        </w:rPr>
      </w:pPr>
    </w:p>
    <w:p w:rsidR="00B4443A" w:rsidRDefault="00B4443A" w:rsidP="00B4443A">
      <w:pPr>
        <w:pBdr>
          <w:top w:val="single" w:sz="4" w:space="1" w:color="auto"/>
        </w:pBdr>
        <w:spacing w:before="34" w:after="0" w:line="14" w:lineRule="exact"/>
        <w:jc w:val="center"/>
        <w:rPr>
          <w:rFonts w:eastAsia="Times New Roman" w:cs="Arial"/>
          <w:color w:val="000000"/>
          <w:szCs w:val="24"/>
        </w:rPr>
      </w:pPr>
    </w:p>
    <w:p w:rsidR="008412C1" w:rsidRDefault="008412C1"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009BB" w:rsidRDefault="001009BB" w:rsidP="00300268">
      <w:pPr>
        <w:pStyle w:val="Heading2"/>
        <w:rPr>
          <w:lang w:eastAsia="en-AU"/>
        </w:rPr>
      </w:pPr>
      <w:bookmarkStart w:id="19" w:name="_Toc42155337"/>
      <w:r w:rsidRPr="00E47B5A">
        <w:rPr>
          <w:lang w:eastAsia="en-AU"/>
        </w:rPr>
        <w:t>Motor Vehicles Act 1959</w:t>
      </w:r>
      <w:bookmarkEnd w:id="19"/>
    </w:p>
    <w:p w:rsidR="00E47B5A" w:rsidRPr="00E47B5A" w:rsidRDefault="00E47B5A" w:rsidP="00E47B5A">
      <w:pPr>
        <w:keepLines/>
        <w:autoSpaceDE w:val="0"/>
        <w:autoSpaceDN w:val="0"/>
        <w:adjustRightInd w:val="0"/>
        <w:spacing w:before="240" w:after="0" w:line="240" w:lineRule="auto"/>
        <w:jc w:val="left"/>
        <w:rPr>
          <w:rFonts w:eastAsia="Times New Roman"/>
          <w:color w:val="000000"/>
          <w:sz w:val="28"/>
          <w:szCs w:val="28"/>
          <w:lang w:eastAsia="en-AU"/>
        </w:rPr>
      </w:pPr>
      <w:r w:rsidRPr="00E47B5A">
        <w:rPr>
          <w:rFonts w:eastAsia="Times New Roman"/>
          <w:color w:val="000000"/>
          <w:sz w:val="28"/>
          <w:szCs w:val="28"/>
          <w:lang w:eastAsia="en-AU"/>
        </w:rPr>
        <w:t>South Australia</w:t>
      </w:r>
    </w:p>
    <w:p w:rsidR="00E47B5A" w:rsidRPr="00E47B5A" w:rsidRDefault="00E47B5A" w:rsidP="00E47B5A">
      <w:pPr>
        <w:keepLines/>
        <w:autoSpaceDE w:val="0"/>
        <w:autoSpaceDN w:val="0"/>
        <w:adjustRightInd w:val="0"/>
        <w:spacing w:before="120" w:after="200" w:line="240" w:lineRule="auto"/>
        <w:jc w:val="left"/>
        <w:rPr>
          <w:rFonts w:eastAsia="Times New Roman"/>
          <w:b/>
          <w:bCs/>
          <w:color w:val="000000"/>
          <w:sz w:val="36"/>
          <w:szCs w:val="36"/>
          <w:lang w:eastAsia="en-AU"/>
        </w:rPr>
      </w:pPr>
      <w:r w:rsidRPr="00E47B5A">
        <w:rPr>
          <w:rFonts w:eastAsia="Times New Roman"/>
          <w:b/>
          <w:bCs/>
          <w:color w:val="000000"/>
          <w:sz w:val="36"/>
          <w:szCs w:val="36"/>
          <w:lang w:eastAsia="en-AU"/>
        </w:rPr>
        <w:t xml:space="preserve">Motor Vehicles (Conditional Registration—Recognition of Motor Vehicle Clubs) Notice 2020 - HK-HT-HG Owners Car Club of South Australia Incorporated </w:t>
      </w:r>
    </w:p>
    <w:p w:rsidR="00E47B5A" w:rsidRPr="00E47B5A" w:rsidRDefault="00E47B5A" w:rsidP="00E47B5A">
      <w:pPr>
        <w:keepLines/>
        <w:autoSpaceDE w:val="0"/>
        <w:autoSpaceDN w:val="0"/>
        <w:adjustRightInd w:val="0"/>
        <w:spacing w:before="120" w:after="200" w:line="240" w:lineRule="auto"/>
        <w:jc w:val="left"/>
        <w:rPr>
          <w:rFonts w:eastAsia="Times New Roman"/>
          <w:sz w:val="24"/>
          <w:szCs w:val="24"/>
          <w:lang w:eastAsia="en-AU"/>
        </w:rPr>
      </w:pPr>
      <w:r w:rsidRPr="00E47B5A">
        <w:rPr>
          <w:rFonts w:eastAsia="Times New Roman"/>
          <w:color w:val="000000"/>
          <w:sz w:val="24"/>
          <w:szCs w:val="24"/>
          <w:lang w:eastAsia="en-AU"/>
        </w:rPr>
        <w:t xml:space="preserve">under the </w:t>
      </w:r>
      <w:r w:rsidRPr="00E47B5A">
        <w:rPr>
          <w:rFonts w:eastAsia="Times New Roman"/>
          <w:i/>
          <w:iCs/>
          <w:color w:val="000000"/>
          <w:sz w:val="24"/>
          <w:szCs w:val="24"/>
          <w:lang w:eastAsia="en-AU"/>
        </w:rPr>
        <w:t>Motor Vehicles Act 1959</w:t>
      </w:r>
    </w:p>
    <w:p w:rsidR="00AC20EB" w:rsidRDefault="00AC20EB">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E47B5A" w:rsidRPr="00E47B5A" w:rsidRDefault="00E47B5A" w:rsidP="00E47B5A">
      <w:pPr>
        <w:keepLines/>
        <w:autoSpaceDE w:val="0"/>
        <w:autoSpaceDN w:val="0"/>
        <w:adjustRightInd w:val="0"/>
        <w:spacing w:before="480" w:after="0" w:line="240" w:lineRule="auto"/>
        <w:jc w:val="left"/>
        <w:rPr>
          <w:rFonts w:eastAsia="Times New Roman"/>
          <w:b/>
          <w:bCs/>
          <w:color w:val="000000"/>
          <w:sz w:val="26"/>
          <w:szCs w:val="26"/>
          <w:lang w:eastAsia="en-AU"/>
        </w:rPr>
      </w:pPr>
      <w:r w:rsidRPr="00E47B5A">
        <w:rPr>
          <w:rFonts w:eastAsia="Times New Roman"/>
          <w:b/>
          <w:bCs/>
          <w:color w:val="000000"/>
          <w:sz w:val="26"/>
          <w:szCs w:val="26"/>
          <w:lang w:eastAsia="en-AU"/>
        </w:rPr>
        <w:lastRenderedPageBreak/>
        <w:t>1—Short title</w:t>
      </w:r>
    </w:p>
    <w:p w:rsidR="00E47B5A" w:rsidRPr="00E47B5A" w:rsidRDefault="00E47B5A" w:rsidP="00E47B5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47B5A">
        <w:rPr>
          <w:rFonts w:eastAsia="Times New Roman"/>
          <w:color w:val="000000"/>
          <w:sz w:val="23"/>
          <w:szCs w:val="23"/>
          <w:lang w:eastAsia="en-AU"/>
        </w:rPr>
        <w:t xml:space="preserve">This notice may be cited as the </w:t>
      </w:r>
      <w:hyperlink r:id="rId21" w:history="1">
        <w:r w:rsidRPr="00E47B5A">
          <w:rPr>
            <w:rFonts w:eastAsia="Times New Roman"/>
            <w:color w:val="000000"/>
            <w:sz w:val="23"/>
            <w:szCs w:val="23"/>
            <w:lang w:eastAsia="en-AU"/>
          </w:rPr>
          <w:t>Motor Vehicles (Conditional Registration—Recognition of Motor Vehicle Clubs) Notice 20</w:t>
        </w:r>
      </w:hyperlink>
      <w:r w:rsidRPr="00E47B5A">
        <w:rPr>
          <w:rFonts w:eastAsia="Times New Roman"/>
          <w:color w:val="000000"/>
          <w:sz w:val="23"/>
          <w:szCs w:val="23"/>
          <w:lang w:eastAsia="en-AU"/>
        </w:rPr>
        <w:t>20 - HK-HT-HG Owners Car Club of South Australia Incorporated</w:t>
      </w:r>
    </w:p>
    <w:p w:rsidR="00E47B5A" w:rsidRPr="00E47B5A" w:rsidRDefault="00E47B5A" w:rsidP="00E47B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7B5A">
        <w:rPr>
          <w:rFonts w:eastAsia="Times New Roman"/>
          <w:b/>
          <w:bCs/>
          <w:color w:val="000000"/>
          <w:sz w:val="26"/>
          <w:szCs w:val="26"/>
          <w:lang w:eastAsia="en-AU"/>
        </w:rPr>
        <w:t>2—Commencement</w:t>
      </w:r>
    </w:p>
    <w:p w:rsidR="00E47B5A" w:rsidRPr="00E47B5A" w:rsidRDefault="00E47B5A" w:rsidP="00E47B5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47B5A">
        <w:rPr>
          <w:rFonts w:eastAsia="Times New Roman"/>
          <w:color w:val="000000"/>
          <w:sz w:val="23"/>
          <w:szCs w:val="23"/>
          <w:lang w:eastAsia="en-AU"/>
        </w:rPr>
        <w:t>This notice takes effect from the date it is published in the Gazette.</w:t>
      </w:r>
    </w:p>
    <w:p w:rsidR="00E47B5A" w:rsidRPr="00E47B5A" w:rsidRDefault="00E47B5A" w:rsidP="00E47B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7B5A">
        <w:rPr>
          <w:rFonts w:eastAsia="Times New Roman"/>
          <w:b/>
          <w:bCs/>
          <w:color w:val="000000"/>
          <w:sz w:val="26"/>
          <w:szCs w:val="26"/>
          <w:lang w:eastAsia="en-AU"/>
        </w:rPr>
        <w:t>3—Interpretation</w:t>
      </w:r>
    </w:p>
    <w:p w:rsidR="00E47B5A" w:rsidRPr="00E47B5A" w:rsidRDefault="00E47B5A" w:rsidP="00E47B5A">
      <w:pPr>
        <w:keepNext/>
        <w:keepLines/>
        <w:autoSpaceDE w:val="0"/>
        <w:autoSpaceDN w:val="0"/>
        <w:adjustRightInd w:val="0"/>
        <w:spacing w:before="120" w:after="120" w:line="240" w:lineRule="auto"/>
        <w:ind w:left="794"/>
        <w:jc w:val="left"/>
        <w:rPr>
          <w:rFonts w:eastAsia="Times New Roman"/>
          <w:color w:val="000000"/>
          <w:sz w:val="23"/>
          <w:szCs w:val="23"/>
          <w:lang w:eastAsia="en-AU"/>
        </w:rPr>
      </w:pPr>
      <w:r w:rsidRPr="00E47B5A">
        <w:rPr>
          <w:rFonts w:eastAsia="Times New Roman"/>
          <w:color w:val="000000"/>
          <w:sz w:val="23"/>
          <w:szCs w:val="23"/>
          <w:lang w:eastAsia="en-AU"/>
        </w:rPr>
        <w:t>In this notice—</w:t>
      </w: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bCs/>
          <w:i/>
          <w:iCs/>
          <w:color w:val="000000"/>
          <w:sz w:val="23"/>
          <w:szCs w:val="23"/>
          <w:lang w:eastAsia="en-AU"/>
        </w:rPr>
        <w:t>Act</w:t>
      </w:r>
      <w:r w:rsidRPr="00E47B5A">
        <w:rPr>
          <w:rFonts w:eastAsia="Times New Roman"/>
          <w:color w:val="000000"/>
          <w:sz w:val="23"/>
          <w:szCs w:val="23"/>
          <w:lang w:eastAsia="en-AU"/>
        </w:rPr>
        <w:t xml:space="preserve"> means the </w:t>
      </w:r>
      <w:hyperlink r:id="rId22" w:history="1">
        <w:r w:rsidRPr="00E47B5A">
          <w:rPr>
            <w:rFonts w:eastAsia="Times New Roman"/>
            <w:i/>
            <w:iCs/>
            <w:color w:val="000000"/>
            <w:sz w:val="23"/>
            <w:szCs w:val="23"/>
            <w:u w:val="single"/>
            <w:lang w:eastAsia="en-AU"/>
          </w:rPr>
          <w:t>Motor Vehicles Act 1959</w:t>
        </w:r>
      </w:hyperlink>
      <w:r w:rsidRPr="00E47B5A">
        <w:rPr>
          <w:rFonts w:eastAsia="Times New Roman"/>
          <w:color w:val="000000"/>
          <w:sz w:val="23"/>
          <w:szCs w:val="23"/>
          <w:lang w:eastAsia="en-AU"/>
        </w:rPr>
        <w:t>;</w:t>
      </w: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i/>
          <w:color w:val="000000"/>
          <w:sz w:val="23"/>
          <w:szCs w:val="23"/>
          <w:lang w:eastAsia="en-AU"/>
        </w:rPr>
        <w:t>Code of Practice</w:t>
      </w:r>
      <w:r w:rsidRPr="00E47B5A">
        <w:rPr>
          <w:rFonts w:eastAsia="Times New Roman"/>
          <w:color w:val="000000"/>
          <w:sz w:val="23"/>
          <w:szCs w:val="23"/>
          <w:lang w:eastAsia="en-AU"/>
        </w:rPr>
        <w:t xml:space="preserve"> means the ‘Code of Practice for Club Registration - a 90 day conditional registration scheme for historic, left hand drive and street rod vehicles’ published by the Department of Planning, Transport and Infrastructure;</w:t>
      </w: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bCs/>
          <w:i/>
          <w:iCs/>
          <w:color w:val="000000"/>
          <w:sz w:val="23"/>
          <w:szCs w:val="23"/>
          <w:lang w:eastAsia="en-AU"/>
        </w:rPr>
        <w:t>Conditional Registration Scheme</w:t>
      </w:r>
      <w:r w:rsidRPr="00E47B5A">
        <w:rPr>
          <w:rFonts w:eastAsia="Times New Roman"/>
          <w:color w:val="000000"/>
          <w:sz w:val="23"/>
          <w:szCs w:val="23"/>
          <w:lang w:eastAsia="en-AU"/>
        </w:rPr>
        <w:t xml:space="preserve"> or </w:t>
      </w:r>
      <w:r w:rsidRPr="00E47B5A">
        <w:rPr>
          <w:rFonts w:eastAsia="Times New Roman"/>
          <w:b/>
          <w:bCs/>
          <w:i/>
          <w:iCs/>
          <w:color w:val="000000"/>
          <w:sz w:val="23"/>
          <w:szCs w:val="23"/>
          <w:lang w:eastAsia="en-AU"/>
        </w:rPr>
        <w:t>Scheme</w:t>
      </w:r>
      <w:r w:rsidRPr="00E47B5A">
        <w:rPr>
          <w:rFonts w:eastAsia="Times New Roman"/>
          <w:color w:val="000000"/>
          <w:sz w:val="23"/>
          <w:szCs w:val="23"/>
          <w:lang w:eastAsia="en-AU"/>
        </w:rPr>
        <w:t xml:space="preserve"> means the scheme for conditional registration of historic, prescribed left hand drive and street rod motor vehicles under section 25 of the Act and regulations 15 and 16 of the Motor Vehicles Regulations 2010;</w:t>
      </w: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i/>
          <w:color w:val="000000"/>
          <w:sz w:val="23"/>
          <w:szCs w:val="23"/>
          <w:lang w:eastAsia="en-AU"/>
        </w:rPr>
        <w:t>Department</w:t>
      </w:r>
      <w:r w:rsidRPr="00E47B5A">
        <w:rPr>
          <w:rFonts w:eastAsia="Times New Roman"/>
          <w:color w:val="000000"/>
          <w:sz w:val="23"/>
          <w:szCs w:val="23"/>
          <w:lang w:eastAsia="en-AU"/>
        </w:rPr>
        <w:t xml:space="preserve"> means the Department of Planning, Transport and Infrastructure</w:t>
      </w: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i/>
          <w:color w:val="000000"/>
          <w:sz w:val="23"/>
          <w:szCs w:val="23"/>
          <w:lang w:eastAsia="en-AU"/>
        </w:rPr>
        <w:t>Federation</w:t>
      </w:r>
      <w:r w:rsidRPr="00E47B5A">
        <w:rPr>
          <w:rFonts w:eastAsia="Times New Roman"/>
          <w:color w:val="000000"/>
          <w:sz w:val="23"/>
          <w:szCs w:val="23"/>
          <w:lang w:eastAsia="en-AU"/>
        </w:rPr>
        <w:t xml:space="preserve"> means the Federation of Historic Motoring Clubs Inc;</w:t>
      </w: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i/>
          <w:color w:val="000000"/>
          <w:sz w:val="23"/>
          <w:szCs w:val="23"/>
          <w:lang w:eastAsia="en-AU"/>
        </w:rPr>
        <w:t>MR334 form</w:t>
      </w:r>
      <w:r w:rsidRPr="00E47B5A">
        <w:rPr>
          <w:rFonts w:eastAsia="Times New Roman"/>
          <w:color w:val="000000"/>
          <w:sz w:val="23"/>
          <w:szCs w:val="23"/>
          <w:lang w:eastAsia="en-AU"/>
        </w:rPr>
        <w:t xml:space="preserve"> means an ‘</w:t>
      </w:r>
      <w:r w:rsidRPr="00E47B5A">
        <w:rPr>
          <w:rFonts w:eastAsia="Times New Roman"/>
          <w:sz w:val="24"/>
          <w:szCs w:val="24"/>
          <w:lang w:eastAsia="en-AU"/>
        </w:rPr>
        <w:t>Approval for Registration of Vehicle on the Club Registration Scheme</w:t>
      </w:r>
      <w:r w:rsidRPr="00E47B5A">
        <w:rPr>
          <w:rFonts w:eastAsia="Times New Roman"/>
          <w:color w:val="000000"/>
          <w:sz w:val="23"/>
          <w:szCs w:val="23"/>
          <w:lang w:eastAsia="en-AU"/>
        </w:rPr>
        <w:t xml:space="preserve"> (MR334)’;</w:t>
      </w: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i/>
          <w:color w:val="000000"/>
          <w:sz w:val="23"/>
          <w:szCs w:val="23"/>
          <w:lang w:eastAsia="en-AU"/>
        </w:rPr>
        <w:t>Prescribed log book</w:t>
      </w:r>
      <w:r w:rsidRPr="00E47B5A">
        <w:rPr>
          <w:rFonts w:eastAsia="Times New Roman"/>
          <w:color w:val="000000"/>
          <w:sz w:val="23"/>
          <w:szCs w:val="23"/>
          <w:lang w:eastAsia="en-AU"/>
        </w:rPr>
        <w:t xml:space="preserve"> means a log book in a form approved by the Registrar;</w:t>
      </w: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i/>
          <w:color w:val="000000"/>
          <w:sz w:val="23"/>
          <w:szCs w:val="23"/>
          <w:lang w:eastAsia="en-AU"/>
        </w:rPr>
        <w:t xml:space="preserve">Registrar </w:t>
      </w:r>
      <w:r w:rsidRPr="00E47B5A">
        <w:rPr>
          <w:rFonts w:eastAsia="Times New Roman"/>
          <w:color w:val="000000"/>
          <w:sz w:val="23"/>
          <w:szCs w:val="23"/>
          <w:lang w:eastAsia="en-AU"/>
        </w:rPr>
        <w:t>means the Registrar of Motor Vehicles;</w:t>
      </w:r>
    </w:p>
    <w:p w:rsidR="00E47B5A" w:rsidRPr="00E47B5A" w:rsidRDefault="00E47B5A" w:rsidP="00E47B5A">
      <w:pPr>
        <w:autoSpaceDE w:val="0"/>
        <w:autoSpaceDN w:val="0"/>
        <w:adjustRightInd w:val="0"/>
        <w:spacing w:after="0" w:line="240" w:lineRule="auto"/>
        <w:ind w:left="760"/>
        <w:jc w:val="left"/>
        <w:rPr>
          <w:rFonts w:eastAsia="Times New Roman"/>
          <w:b/>
          <w:color w:val="000000"/>
          <w:sz w:val="23"/>
          <w:szCs w:val="23"/>
          <w:lang w:eastAsia="en-AU"/>
        </w:rPr>
      </w:pPr>
    </w:p>
    <w:p w:rsidR="00E47B5A" w:rsidRPr="00E47B5A" w:rsidRDefault="00E47B5A" w:rsidP="00E47B5A">
      <w:pPr>
        <w:autoSpaceDE w:val="0"/>
        <w:autoSpaceDN w:val="0"/>
        <w:adjustRightInd w:val="0"/>
        <w:spacing w:after="0" w:line="240" w:lineRule="auto"/>
        <w:ind w:left="760"/>
        <w:jc w:val="left"/>
        <w:rPr>
          <w:rFonts w:eastAsia="Times New Roman"/>
          <w:color w:val="000000"/>
          <w:sz w:val="23"/>
          <w:szCs w:val="23"/>
          <w:lang w:eastAsia="en-AU"/>
        </w:rPr>
      </w:pPr>
      <w:r w:rsidRPr="00E47B5A">
        <w:rPr>
          <w:rFonts w:eastAsia="Times New Roman"/>
          <w:b/>
          <w:i/>
          <w:color w:val="000000"/>
          <w:sz w:val="23"/>
          <w:szCs w:val="23"/>
          <w:lang w:eastAsia="en-AU"/>
        </w:rPr>
        <w:t xml:space="preserve">Regulations </w:t>
      </w:r>
      <w:r w:rsidRPr="00E47B5A">
        <w:rPr>
          <w:rFonts w:eastAsia="Times New Roman"/>
          <w:color w:val="000000"/>
          <w:sz w:val="23"/>
          <w:szCs w:val="23"/>
          <w:lang w:eastAsia="en-AU"/>
        </w:rPr>
        <w:t>means the Motor Vehicles Regulations 2010.</w:t>
      </w:r>
    </w:p>
    <w:p w:rsidR="00E47B5A" w:rsidRPr="00E47B5A" w:rsidRDefault="00E47B5A" w:rsidP="00E47B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7B5A">
        <w:rPr>
          <w:rFonts w:eastAsia="Times New Roman"/>
          <w:b/>
          <w:bCs/>
          <w:color w:val="000000"/>
          <w:sz w:val="26"/>
          <w:szCs w:val="26"/>
          <w:lang w:eastAsia="en-AU"/>
        </w:rPr>
        <w:t>4—Recognition of motor vehicles clubs</w:t>
      </w:r>
    </w:p>
    <w:p w:rsidR="00E47B5A" w:rsidRPr="00E47B5A" w:rsidRDefault="00E47B5A" w:rsidP="00E47B5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47B5A">
        <w:rPr>
          <w:rFonts w:eastAsia="Times New Roman"/>
          <w:color w:val="000000"/>
          <w:sz w:val="23"/>
          <w:szCs w:val="23"/>
          <w:lang w:eastAsia="en-AU"/>
        </w:rPr>
        <w:t xml:space="preserve">The motor vehicle clubs specified in </w:t>
      </w:r>
      <w:hyperlink r:id="rId23" w:anchor="id5608d260_1550_466c_a7d5_eca9041be6" w:history="1">
        <w:r w:rsidRPr="00E47B5A">
          <w:rPr>
            <w:rFonts w:eastAsia="Times New Roman"/>
            <w:color w:val="000000"/>
            <w:sz w:val="23"/>
            <w:szCs w:val="23"/>
            <w:lang w:eastAsia="en-AU"/>
          </w:rPr>
          <w:t>Schedule 1</w:t>
        </w:r>
      </w:hyperlink>
      <w:r w:rsidRPr="00E47B5A">
        <w:rPr>
          <w:rFonts w:eastAsia="Times New Roman"/>
          <w:color w:val="000000"/>
          <w:sz w:val="23"/>
          <w:szCs w:val="23"/>
          <w:lang w:eastAsia="en-AU"/>
        </w:rPr>
        <w:t xml:space="preserve"> are, subject to the conditions set out in clause </w:t>
      </w:r>
      <w:hyperlink r:id="rId24" w:anchor="id2782a17d_f046_4aac_9651_b186efd5c6" w:history="1">
        <w:r w:rsidRPr="00E47B5A">
          <w:rPr>
            <w:rFonts w:eastAsia="Times New Roman"/>
            <w:color w:val="000000"/>
            <w:sz w:val="23"/>
            <w:szCs w:val="23"/>
            <w:lang w:eastAsia="en-AU"/>
          </w:rPr>
          <w:t>5</w:t>
        </w:r>
      </w:hyperlink>
      <w:r w:rsidRPr="00E47B5A">
        <w:rPr>
          <w:rFonts w:eastAsia="Times New Roman"/>
          <w:color w:val="000000"/>
          <w:sz w:val="23"/>
          <w:szCs w:val="23"/>
          <w:lang w:eastAsia="en-AU"/>
        </w:rPr>
        <w:t xml:space="preserve">, recognised for the purposes of regulation 16 of </w:t>
      </w:r>
      <w:r w:rsidRPr="00E47B5A">
        <w:rPr>
          <w:rFonts w:eastAsia="Times New Roman"/>
          <w:sz w:val="24"/>
          <w:szCs w:val="24"/>
          <w:lang w:eastAsia="en-AU"/>
        </w:rPr>
        <w:t>the Regulations</w:t>
      </w:r>
      <w:r w:rsidRPr="00E47B5A">
        <w:rPr>
          <w:rFonts w:eastAsia="Times New Roman"/>
          <w:color w:val="000000"/>
          <w:sz w:val="23"/>
          <w:szCs w:val="23"/>
          <w:lang w:eastAsia="en-AU"/>
        </w:rPr>
        <w:t>.</w:t>
      </w:r>
    </w:p>
    <w:p w:rsidR="00E47B5A" w:rsidRPr="00E47B5A" w:rsidRDefault="00E47B5A" w:rsidP="00E47B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7B5A">
        <w:rPr>
          <w:rFonts w:eastAsia="Times New Roman"/>
          <w:b/>
          <w:bCs/>
          <w:color w:val="000000"/>
          <w:sz w:val="26"/>
          <w:szCs w:val="26"/>
          <w:lang w:eastAsia="en-AU"/>
        </w:rPr>
        <w:t>5—Conditions of recognition</w:t>
      </w:r>
    </w:p>
    <w:p w:rsidR="00E47B5A" w:rsidRPr="00E47B5A" w:rsidRDefault="00E47B5A" w:rsidP="00E47B5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47B5A">
        <w:rPr>
          <w:rFonts w:eastAsia="Times New Roman"/>
          <w:color w:val="000000"/>
          <w:sz w:val="23"/>
          <w:szCs w:val="23"/>
          <w:lang w:eastAsia="en-AU"/>
        </w:rPr>
        <w:t xml:space="preserve">A motor vehicle club specified in </w:t>
      </w:r>
      <w:hyperlink r:id="rId25" w:anchor="id5608d260_1550_466c_a7d5_eca9041be6" w:history="1">
        <w:r w:rsidRPr="00E47B5A">
          <w:rPr>
            <w:rFonts w:eastAsia="Times New Roman"/>
            <w:color w:val="000000"/>
            <w:sz w:val="23"/>
            <w:szCs w:val="23"/>
            <w:lang w:eastAsia="en-AU"/>
          </w:rPr>
          <w:t>Schedule 1</w:t>
        </w:r>
      </w:hyperlink>
      <w:r w:rsidRPr="00E47B5A">
        <w:rPr>
          <w:rFonts w:eastAsia="Times New Roman"/>
          <w:color w:val="000000"/>
          <w:sz w:val="23"/>
          <w:szCs w:val="23"/>
          <w:lang w:eastAsia="en-AU"/>
        </w:rPr>
        <w:t xml:space="preserve"> must comply with the following conditions:</w:t>
      </w:r>
    </w:p>
    <w:p w:rsidR="00E47B5A" w:rsidRPr="00E47B5A" w:rsidRDefault="00E47B5A" w:rsidP="00E47B5A">
      <w:pPr>
        <w:keepLines/>
        <w:numPr>
          <w:ilvl w:val="1"/>
          <w:numId w:val="35"/>
        </w:numPr>
        <w:tabs>
          <w:tab w:val="center" w:pos="1191"/>
          <w:tab w:val="left" w:pos="1588"/>
        </w:tabs>
        <w:autoSpaceDE w:val="0"/>
        <w:autoSpaceDN w:val="0"/>
        <w:adjustRightInd w:val="0"/>
        <w:spacing w:before="120" w:after="0" w:line="240" w:lineRule="auto"/>
        <w:ind w:left="1588" w:hanging="524"/>
        <w:jc w:val="left"/>
        <w:rPr>
          <w:rFonts w:eastAsia="Times New Roman"/>
          <w:color w:val="000000"/>
          <w:sz w:val="23"/>
          <w:szCs w:val="23"/>
          <w:lang w:eastAsia="en-AU"/>
        </w:rPr>
      </w:pPr>
      <w:r w:rsidRPr="00E47B5A">
        <w:rPr>
          <w:rFonts w:eastAsia="Times New Roman"/>
          <w:color w:val="000000"/>
          <w:sz w:val="23"/>
          <w:szCs w:val="23"/>
          <w:lang w:eastAsia="en-AU"/>
        </w:rPr>
        <w:t>the club must maintain a constitution approved by the Registrar;</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tab/>
        <w:t>(b)</w:t>
      </w:r>
      <w:r w:rsidRPr="00E47B5A">
        <w:rPr>
          <w:rFonts w:eastAsia="Times New Roman"/>
          <w:color w:val="000000"/>
          <w:sz w:val="23"/>
          <w:szCs w:val="23"/>
          <w:lang w:eastAsia="en-AU"/>
        </w:rPr>
        <w:tab/>
        <w:t>the club must nominate and have members authorised by the Registrar (authorised persons). The club’s authorised person(s) are responsible for approving applicants and motor vehicles for registration under the Scheme. This includes confirming that Scheme applicants are financial members of a club; any other details as required by the Registrar on the MR334 form; and to inspect members’ vehicles when requested to do so by the Registrar;</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tab/>
        <w:t>(c)</w:t>
      </w:r>
      <w:r w:rsidRPr="00E47B5A">
        <w:rPr>
          <w:rFonts w:eastAsia="Times New Roman"/>
          <w:color w:val="000000"/>
          <w:sz w:val="23"/>
          <w:szCs w:val="23"/>
          <w:lang w:eastAsia="en-AU"/>
        </w:rPr>
        <w:tab/>
        <w:t>the club must issue a prescribed log book to club members for each of their vehicles to record vehicle use;</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lastRenderedPageBreak/>
        <w:tab/>
        <w:t>(d)</w:t>
      </w:r>
      <w:r w:rsidRPr="00E47B5A">
        <w:rPr>
          <w:rFonts w:eastAsia="Times New Roman"/>
          <w:color w:val="000000"/>
          <w:sz w:val="23"/>
          <w:szCs w:val="23"/>
          <w:lang w:eastAsia="en-AU"/>
        </w:rPr>
        <w:tab/>
        <w:t>the club must cancel a member’s prescribed log book when a member resigns, must ensure that a statutory declaration is provided when a member’s log book is lost or destroyed, must keep details of members’ prescribed log book return sheets and forward copies of the same to the Registrar or Federation annually as required;</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tab/>
        <w:t>(e)</w:t>
      </w:r>
      <w:r w:rsidRPr="00E47B5A">
        <w:rPr>
          <w:rFonts w:eastAsia="Times New Roman"/>
          <w:color w:val="000000"/>
          <w:sz w:val="23"/>
          <w:szCs w:val="23"/>
          <w:lang w:eastAsia="en-AU"/>
        </w:rPr>
        <w:tab/>
        <w:t>the club must create and maintain records detailing all its financial members, its authorised persons, all vehicles for which an MR334 form has been issued, all statutory declarations received and prescribed log books issued and returned to the club;</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tab/>
        <w:t>(f)</w:t>
      </w:r>
      <w:r w:rsidRPr="00E47B5A">
        <w:rPr>
          <w:rFonts w:eastAsia="Times New Roman"/>
          <w:color w:val="000000"/>
          <w:sz w:val="23"/>
          <w:szCs w:val="23"/>
          <w:lang w:eastAsia="en-AU"/>
        </w:rPr>
        <w:tab/>
        <w:t>the club must keep records for a period of 5 years from the date of the document and these records must include all duplicate MR334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tab/>
        <w:t>(g)</w:t>
      </w:r>
      <w:r w:rsidRPr="00E47B5A">
        <w:rPr>
          <w:rFonts w:eastAsia="Times New Roman"/>
          <w:color w:val="000000"/>
          <w:sz w:val="23"/>
          <w:szCs w:val="23"/>
          <w:lang w:eastAsia="en-AU"/>
        </w:rPr>
        <w:tab/>
        <w:t>the club must ensure, as far as practicable, that all members comply with the Code of Practice;</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tab/>
        <w:t>(h)</w:t>
      </w:r>
      <w:r w:rsidRPr="00E47B5A">
        <w:rPr>
          <w:rFonts w:eastAsia="Times New Roman"/>
          <w:color w:val="000000"/>
          <w:sz w:val="23"/>
          <w:szCs w:val="23"/>
          <w:lang w:eastAsia="en-AU"/>
        </w:rPr>
        <w:tab/>
        <w:t xml:space="preserve">the club, as far as practicable, must report to the Registrar or the Federation details of members and motor vehicles not complying with the conditions and criteria set out in the Code of Practice for the Scheme; </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tab/>
        <w:t>(i)</w:t>
      </w:r>
      <w:r w:rsidRPr="00E47B5A">
        <w:rPr>
          <w:rFonts w:eastAsia="Times New Roman"/>
          <w:color w:val="000000"/>
          <w:sz w:val="23"/>
          <w:szCs w:val="23"/>
          <w:lang w:eastAsia="en-AU"/>
        </w:rPr>
        <w:tab/>
        <w:t>the club must provide to the Registrar, within 2 months after the end of the club’s financial year, an annual report detailing members from that financial year with vehicles registered under the Scheme who are no longer financial members of the club;</w:t>
      </w:r>
    </w:p>
    <w:p w:rsidR="00E47B5A" w:rsidRPr="00E47B5A" w:rsidRDefault="00E47B5A" w:rsidP="00E47B5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47B5A">
        <w:rPr>
          <w:rFonts w:eastAsia="Times New Roman"/>
          <w:color w:val="000000"/>
          <w:sz w:val="23"/>
          <w:szCs w:val="23"/>
          <w:lang w:eastAsia="en-AU"/>
        </w:rPr>
        <w:tab/>
        <w:t>(j)</w:t>
      </w:r>
      <w:r w:rsidRPr="00E47B5A">
        <w:rPr>
          <w:rFonts w:eastAsia="Times New Roman"/>
          <w:color w:val="000000"/>
          <w:sz w:val="23"/>
          <w:szCs w:val="23"/>
          <w:lang w:eastAsia="en-AU"/>
        </w:rPr>
        <w:tab/>
        <w:t>the club must notify the Registrar, in writing, within 14 days of resolution to cease operation as a club and must provide the club records specified in paragraph (f) to the Registrar within 14 days of its dissolution.</w:t>
      </w:r>
    </w:p>
    <w:p w:rsidR="00E47B5A" w:rsidRPr="00E47B5A" w:rsidRDefault="00E47B5A" w:rsidP="00E47B5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E47B5A">
        <w:rPr>
          <w:rFonts w:eastAsia="Times New Roman"/>
          <w:b/>
          <w:bCs/>
          <w:color w:val="000000"/>
          <w:sz w:val="20"/>
          <w:szCs w:val="20"/>
          <w:lang w:eastAsia="en-AU"/>
        </w:rPr>
        <w:t>Note—</w:t>
      </w:r>
    </w:p>
    <w:p w:rsidR="00E47B5A" w:rsidRPr="00E47B5A" w:rsidRDefault="00E47B5A" w:rsidP="00E47B5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E47B5A">
        <w:rPr>
          <w:rFonts w:eastAsia="Times New Roman"/>
          <w:color w:val="000000"/>
          <w:sz w:val="20"/>
          <w:szCs w:val="20"/>
          <w:lang w:eastAsia="en-AU"/>
        </w:rPr>
        <w:t xml:space="preserve">Under regulation 16(3)(c) of the </w:t>
      </w:r>
      <w:hyperlink r:id="rId26" w:history="1">
        <w:r w:rsidRPr="00E47B5A">
          <w:rPr>
            <w:rFonts w:eastAsia="Times New Roman"/>
            <w:i/>
            <w:iCs/>
            <w:color w:val="000000"/>
            <w:sz w:val="20"/>
            <w:szCs w:val="20"/>
            <w:lang w:eastAsia="en-AU"/>
          </w:rPr>
          <w:t>Motor Vehicles Regulations 2010</w:t>
        </w:r>
      </w:hyperlink>
      <w:r w:rsidRPr="00E47B5A">
        <w:rPr>
          <w:rFonts w:eastAsia="Times New Roman"/>
          <w:color w:val="000000"/>
          <w:sz w:val="20"/>
          <w:szCs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rsidR="00E47B5A" w:rsidRPr="00E47B5A" w:rsidRDefault="00E47B5A" w:rsidP="00E47B5A">
      <w:pPr>
        <w:keepLines/>
        <w:autoSpaceDE w:val="0"/>
        <w:autoSpaceDN w:val="0"/>
        <w:adjustRightInd w:val="0"/>
        <w:spacing w:before="120" w:after="0" w:line="240" w:lineRule="auto"/>
        <w:ind w:left="1588"/>
        <w:jc w:val="left"/>
        <w:rPr>
          <w:rFonts w:eastAsia="Times New Roman"/>
          <w:color w:val="000000"/>
          <w:sz w:val="20"/>
          <w:szCs w:val="20"/>
          <w:lang w:eastAsia="en-AU"/>
        </w:rPr>
      </w:pPr>
    </w:p>
    <w:p w:rsidR="00E47B5A" w:rsidRPr="00E47B5A" w:rsidRDefault="00E47B5A" w:rsidP="00E47B5A">
      <w:pPr>
        <w:keepLines/>
        <w:autoSpaceDE w:val="0"/>
        <w:autoSpaceDN w:val="0"/>
        <w:adjustRightInd w:val="0"/>
        <w:spacing w:before="120" w:after="0" w:line="240" w:lineRule="auto"/>
        <w:ind w:left="1588"/>
        <w:jc w:val="left"/>
        <w:rPr>
          <w:rFonts w:eastAsia="Times New Roman"/>
          <w:color w:val="000000"/>
          <w:sz w:val="20"/>
          <w:szCs w:val="20"/>
          <w:lang w:eastAsia="en-AU"/>
        </w:rPr>
      </w:pPr>
    </w:p>
    <w:p w:rsidR="00E47B5A" w:rsidRPr="00E47B5A" w:rsidRDefault="00E47B5A" w:rsidP="00E47B5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47B5A">
        <w:rPr>
          <w:rFonts w:eastAsia="Times New Roman"/>
          <w:b/>
          <w:bCs/>
          <w:color w:val="000000"/>
          <w:sz w:val="32"/>
          <w:szCs w:val="32"/>
          <w:lang w:eastAsia="en-AU"/>
        </w:rPr>
        <w:t>Schedule 1—Recognised motor vehicle clubs</w:t>
      </w:r>
    </w:p>
    <w:p w:rsidR="00E47B5A" w:rsidRPr="00E47B5A" w:rsidRDefault="00E47B5A" w:rsidP="00E47B5A">
      <w:pPr>
        <w:keepLines/>
        <w:autoSpaceDE w:val="0"/>
        <w:autoSpaceDN w:val="0"/>
        <w:adjustRightInd w:val="0"/>
        <w:spacing w:before="120" w:after="0" w:line="240" w:lineRule="auto"/>
        <w:jc w:val="left"/>
        <w:rPr>
          <w:rFonts w:eastAsia="Times New Roman"/>
          <w:b/>
          <w:bCs/>
          <w:color w:val="000000"/>
          <w:sz w:val="23"/>
          <w:szCs w:val="23"/>
          <w:lang w:eastAsia="en-AU"/>
        </w:rPr>
      </w:pPr>
      <w:r w:rsidRPr="00E47B5A">
        <w:rPr>
          <w:rFonts w:eastAsia="Times New Roman"/>
          <w:b/>
          <w:bCs/>
          <w:color w:val="000000"/>
          <w:sz w:val="23"/>
          <w:szCs w:val="23"/>
          <w:lang w:eastAsia="en-AU"/>
        </w:rPr>
        <w:t>Historic, left-hand drive and street rod motor vehicle clubs</w:t>
      </w:r>
    </w:p>
    <w:p w:rsidR="00E47B5A" w:rsidRPr="00E47B5A" w:rsidRDefault="00E47B5A" w:rsidP="00E47B5A">
      <w:pPr>
        <w:keepNext/>
        <w:keepLines/>
        <w:autoSpaceDE w:val="0"/>
        <w:autoSpaceDN w:val="0"/>
        <w:adjustRightInd w:val="0"/>
        <w:spacing w:before="120" w:after="0" w:line="240" w:lineRule="auto"/>
        <w:ind w:left="142"/>
        <w:jc w:val="left"/>
        <w:rPr>
          <w:rFonts w:ascii="Arial" w:eastAsia="Times New Roman" w:hAnsi="Arial" w:cs="Arial"/>
          <w:sz w:val="22"/>
          <w:lang w:eastAsia="en-AU"/>
        </w:rPr>
      </w:pPr>
      <w:r w:rsidRPr="00E47B5A">
        <w:rPr>
          <w:rFonts w:eastAsia="Times New Roman"/>
          <w:sz w:val="23"/>
          <w:szCs w:val="23"/>
          <w:lang w:eastAsia="en-AU"/>
        </w:rPr>
        <w:t>HK-HT-HG Owners Car Club of South Australia Incorporated</w:t>
      </w:r>
    </w:p>
    <w:p w:rsidR="00E47B5A" w:rsidRPr="00E47B5A" w:rsidRDefault="00E47B5A" w:rsidP="00E47B5A">
      <w:pPr>
        <w:keepNext/>
        <w:keepLines/>
        <w:autoSpaceDE w:val="0"/>
        <w:autoSpaceDN w:val="0"/>
        <w:adjustRightInd w:val="0"/>
        <w:spacing w:before="120" w:after="0" w:line="240" w:lineRule="auto"/>
        <w:jc w:val="left"/>
        <w:rPr>
          <w:rFonts w:ascii="Arial" w:eastAsia="Times New Roman" w:hAnsi="Arial" w:cs="Arial"/>
          <w:sz w:val="22"/>
          <w:lang w:eastAsia="en-AU"/>
        </w:rPr>
      </w:pPr>
    </w:p>
    <w:p w:rsidR="00E47B5A" w:rsidRPr="00E47B5A" w:rsidRDefault="00E47B5A" w:rsidP="00E47B5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47B5A">
        <w:rPr>
          <w:rFonts w:eastAsia="Times New Roman"/>
          <w:b/>
          <w:bCs/>
          <w:color w:val="000000"/>
          <w:sz w:val="26"/>
          <w:szCs w:val="26"/>
          <w:lang w:eastAsia="en-AU"/>
        </w:rPr>
        <w:t>Made by the Deputy Registrar of Motor Vehicles</w:t>
      </w:r>
    </w:p>
    <w:p w:rsidR="00E47B5A" w:rsidRPr="00E47B5A" w:rsidRDefault="00E47B5A" w:rsidP="00E47B5A">
      <w:pPr>
        <w:spacing w:after="0" w:line="240" w:lineRule="auto"/>
        <w:jc w:val="left"/>
        <w:rPr>
          <w:sz w:val="23"/>
          <w:szCs w:val="23"/>
          <w:lang w:eastAsia="en-AU"/>
        </w:rPr>
      </w:pPr>
    </w:p>
    <w:p w:rsidR="00E47B5A" w:rsidRPr="00E47B5A" w:rsidRDefault="00E47B5A" w:rsidP="00E47B5A">
      <w:pPr>
        <w:spacing w:after="0" w:line="240" w:lineRule="auto"/>
        <w:jc w:val="left"/>
        <w:rPr>
          <w:sz w:val="23"/>
          <w:szCs w:val="23"/>
          <w:lang w:eastAsia="en-AU"/>
        </w:rPr>
      </w:pPr>
      <w:r w:rsidRPr="00E47B5A">
        <w:rPr>
          <w:sz w:val="23"/>
          <w:szCs w:val="23"/>
          <w:lang w:eastAsia="en-AU"/>
        </w:rPr>
        <w:t>On 26 May 2020</w:t>
      </w:r>
    </w:p>
    <w:p w:rsidR="00E47B5A" w:rsidRDefault="00E47B5A" w:rsidP="00E47B5A">
      <w:pPr>
        <w:pBdr>
          <w:bottom w:val="single" w:sz="4" w:space="1" w:color="auto"/>
        </w:pBdr>
        <w:spacing w:after="0" w:line="52" w:lineRule="exact"/>
        <w:jc w:val="center"/>
        <w:rPr>
          <w:rFonts w:eastAsia="Times New Roman"/>
          <w:sz w:val="24"/>
          <w:szCs w:val="24"/>
          <w:lang w:eastAsia="en-AU"/>
        </w:rPr>
      </w:pPr>
    </w:p>
    <w:p w:rsidR="00E47B5A" w:rsidRDefault="00E47B5A" w:rsidP="00E47B5A">
      <w:pPr>
        <w:pBdr>
          <w:top w:val="single" w:sz="4" w:space="1" w:color="auto"/>
        </w:pBdr>
        <w:spacing w:before="34" w:after="0" w:line="14" w:lineRule="exact"/>
        <w:jc w:val="center"/>
        <w:rPr>
          <w:rFonts w:eastAsia="Times New Roman"/>
          <w:sz w:val="24"/>
          <w:szCs w:val="24"/>
          <w:lang w:eastAsia="en-AU"/>
        </w:rPr>
      </w:pPr>
    </w:p>
    <w:p w:rsidR="00295727" w:rsidRDefault="00295727">
      <w:pPr>
        <w:spacing w:after="0" w:line="240" w:lineRule="auto"/>
        <w:jc w:val="left"/>
        <w:rPr>
          <w:rFonts w:ascii="CG Times (W1)" w:eastAsia="Times New Roman" w:hAnsi="CG Times (W1)"/>
          <w:szCs w:val="17"/>
        </w:rPr>
      </w:pPr>
      <w:r>
        <w:rPr>
          <w:rFonts w:ascii="CG Times (W1)" w:eastAsia="Times New Roman" w:hAnsi="CG Times (W1)"/>
          <w:szCs w:val="17"/>
        </w:rPr>
        <w:br w:type="page"/>
      </w:r>
    </w:p>
    <w:p w:rsidR="00295727" w:rsidRPr="00295727" w:rsidRDefault="00295727" w:rsidP="00300268">
      <w:pPr>
        <w:pStyle w:val="Heading2"/>
      </w:pPr>
      <w:bookmarkStart w:id="20" w:name="_Toc42155338"/>
      <w:r w:rsidRPr="00295727">
        <w:lastRenderedPageBreak/>
        <w:t>PASTORAL LAND MANAGEMENT AND CONSERVATION ACT 1989</w:t>
      </w:r>
      <w:bookmarkEnd w:id="20"/>
    </w:p>
    <w:p w:rsidR="00295727" w:rsidRPr="00295727" w:rsidRDefault="00295727" w:rsidP="00295727">
      <w:pPr>
        <w:jc w:val="center"/>
        <w:rPr>
          <w:rFonts w:eastAsia="Times New Roman"/>
          <w:i/>
          <w:szCs w:val="17"/>
        </w:rPr>
      </w:pPr>
      <w:r w:rsidRPr="00295727">
        <w:rPr>
          <w:rFonts w:eastAsia="Times New Roman"/>
          <w:i/>
          <w:szCs w:val="17"/>
        </w:rPr>
        <w:t>Public Access Route Closure</w:t>
      </w:r>
    </w:p>
    <w:p w:rsidR="00295727" w:rsidRPr="00295727" w:rsidRDefault="00295727" w:rsidP="00295727">
      <w:pPr>
        <w:jc w:val="left"/>
        <w:rPr>
          <w:rFonts w:eastAsia="Times New Roman"/>
          <w:b/>
          <w:szCs w:val="17"/>
        </w:rPr>
      </w:pPr>
      <w:r w:rsidRPr="00295727">
        <w:rPr>
          <w:rFonts w:eastAsia="Times New Roman"/>
          <w:b/>
          <w:szCs w:val="17"/>
        </w:rPr>
        <w:t>Notice of Intent to Temporarily Close Public Access Route Number 2, named Level Post Bay</w:t>
      </w:r>
    </w:p>
    <w:p w:rsidR="00295727" w:rsidRPr="00295727" w:rsidRDefault="00295727" w:rsidP="00295727">
      <w:pPr>
        <w:rPr>
          <w:rFonts w:eastAsia="Times New Roman"/>
          <w:szCs w:val="17"/>
        </w:rPr>
      </w:pPr>
      <w:r w:rsidRPr="00295727">
        <w:rPr>
          <w:rFonts w:eastAsia="Times New Roman"/>
          <w:szCs w:val="17"/>
        </w:rPr>
        <w:t xml:space="preserve">Notice is hereby given of the intent to temporarily close the Level Post Bay Public Access Route from Muloorina to Kati Thanda-Lake Eyre National Park, from 2 June 2020 until further notice, pursuant to section 45 (7) of the </w:t>
      </w:r>
      <w:r w:rsidRPr="00295727">
        <w:rPr>
          <w:rFonts w:eastAsia="Times New Roman"/>
          <w:i/>
          <w:szCs w:val="17"/>
        </w:rPr>
        <w:t>Pastoral Land Management and Conservation Act 1989</w:t>
      </w:r>
      <w:r w:rsidRPr="00295727">
        <w:rPr>
          <w:rFonts w:eastAsia="Times New Roman"/>
          <w:szCs w:val="17"/>
        </w:rPr>
        <w:t xml:space="preserve">. Notification of the re-opening of the Public Access Route will be provided on the Department of Planning, Transport and Infrastructure’s Outback Road Warnings website at </w:t>
      </w:r>
      <w:hyperlink r:id="rId27" w:history="1">
        <w:r w:rsidRPr="00295727">
          <w:rPr>
            <w:rFonts w:eastAsia="Times New Roman"/>
            <w:color w:val="0000FF"/>
            <w:szCs w:val="17"/>
            <w:u w:val="single"/>
          </w:rPr>
          <w:t>www.dpti.sa.gov.au/OutbackRoads/outback_road_conditions/special_notices</w:t>
        </w:r>
      </w:hyperlink>
      <w:r w:rsidRPr="00295727">
        <w:rPr>
          <w:rFonts w:eastAsia="Times New Roman"/>
          <w:szCs w:val="17"/>
        </w:rPr>
        <w:t xml:space="preserve">. </w:t>
      </w:r>
    </w:p>
    <w:p w:rsidR="00295727" w:rsidRPr="00295727" w:rsidRDefault="00295727" w:rsidP="00295727">
      <w:pPr>
        <w:spacing w:after="0"/>
        <w:rPr>
          <w:rFonts w:eastAsia="Times New Roman"/>
          <w:szCs w:val="17"/>
        </w:rPr>
      </w:pPr>
      <w:r w:rsidRPr="00295727">
        <w:rPr>
          <w:rFonts w:eastAsia="Times New Roman"/>
          <w:szCs w:val="17"/>
        </w:rPr>
        <w:t>Dated: 2 June 2020</w:t>
      </w:r>
    </w:p>
    <w:p w:rsidR="00295727" w:rsidRPr="00295727" w:rsidRDefault="00295727" w:rsidP="00295727">
      <w:pPr>
        <w:spacing w:after="0"/>
        <w:jc w:val="right"/>
        <w:rPr>
          <w:rFonts w:eastAsia="Times New Roman"/>
          <w:smallCaps/>
          <w:szCs w:val="20"/>
        </w:rPr>
      </w:pPr>
      <w:r w:rsidRPr="00295727">
        <w:rPr>
          <w:rFonts w:eastAsia="Times New Roman"/>
          <w:smallCaps/>
          <w:szCs w:val="20"/>
        </w:rPr>
        <w:t>Andrew Willson</w:t>
      </w:r>
    </w:p>
    <w:p w:rsidR="00295727" w:rsidRPr="00295727" w:rsidRDefault="00295727" w:rsidP="00295727">
      <w:pPr>
        <w:spacing w:after="0"/>
        <w:jc w:val="right"/>
        <w:rPr>
          <w:rFonts w:eastAsia="Times New Roman"/>
          <w:i/>
          <w:szCs w:val="17"/>
        </w:rPr>
      </w:pPr>
      <w:r w:rsidRPr="00295727">
        <w:rPr>
          <w:rFonts w:eastAsia="Times New Roman"/>
          <w:szCs w:val="17"/>
        </w:rPr>
        <w:t>Pastoral Board delegate of section 45 (7) of the Pastoral Land Management and Conservation Act 1989</w:t>
      </w:r>
    </w:p>
    <w:p w:rsidR="00295727" w:rsidRPr="00295727" w:rsidRDefault="00295727" w:rsidP="00295727">
      <w:pPr>
        <w:spacing w:after="0"/>
        <w:jc w:val="right"/>
        <w:rPr>
          <w:rFonts w:eastAsia="Times New Roman"/>
          <w:szCs w:val="17"/>
        </w:rPr>
      </w:pPr>
      <w:r w:rsidRPr="00295727">
        <w:rPr>
          <w:rFonts w:eastAsia="Times New Roman"/>
          <w:szCs w:val="17"/>
        </w:rPr>
        <w:t>Senior Policy-Executive Officer</w:t>
      </w:r>
    </w:p>
    <w:p w:rsidR="00295727" w:rsidRPr="00295727" w:rsidRDefault="00295727" w:rsidP="00295727">
      <w:pPr>
        <w:spacing w:after="0"/>
        <w:jc w:val="right"/>
        <w:rPr>
          <w:rFonts w:eastAsia="Times New Roman"/>
          <w:szCs w:val="17"/>
        </w:rPr>
      </w:pPr>
      <w:r w:rsidRPr="00295727">
        <w:rPr>
          <w:rFonts w:eastAsia="Times New Roman"/>
          <w:szCs w:val="17"/>
        </w:rPr>
        <w:t>Rural Solutions SA</w:t>
      </w:r>
    </w:p>
    <w:p w:rsidR="00E47B5A" w:rsidRDefault="00295727" w:rsidP="00295727">
      <w:pPr>
        <w:spacing w:after="0"/>
        <w:jc w:val="right"/>
        <w:rPr>
          <w:rFonts w:eastAsia="Times New Roman"/>
          <w:szCs w:val="17"/>
        </w:rPr>
      </w:pPr>
      <w:r w:rsidRPr="00295727">
        <w:rPr>
          <w:rFonts w:eastAsia="Times New Roman"/>
          <w:szCs w:val="17"/>
        </w:rPr>
        <w:t>Department of Primary Industries and Regions SA</w:t>
      </w:r>
    </w:p>
    <w:p w:rsidR="00295727" w:rsidRDefault="00295727" w:rsidP="00295727">
      <w:pPr>
        <w:pBdr>
          <w:bottom w:val="single" w:sz="4" w:space="1" w:color="auto"/>
        </w:pBdr>
        <w:spacing w:after="0" w:line="52" w:lineRule="exact"/>
        <w:jc w:val="center"/>
        <w:rPr>
          <w:rFonts w:ascii="CG Times (W1)" w:eastAsia="Times New Roman" w:hAnsi="CG Times (W1)"/>
          <w:szCs w:val="17"/>
        </w:rPr>
      </w:pPr>
    </w:p>
    <w:p w:rsidR="00295727" w:rsidRDefault="00295727" w:rsidP="00295727">
      <w:pPr>
        <w:pBdr>
          <w:top w:val="single" w:sz="4" w:space="1" w:color="auto"/>
        </w:pBdr>
        <w:spacing w:before="34" w:after="0" w:line="14" w:lineRule="exact"/>
        <w:jc w:val="center"/>
        <w:rPr>
          <w:rFonts w:ascii="CG Times (W1)" w:eastAsia="Times New Roman" w:hAnsi="CG Times (W1)"/>
          <w:szCs w:val="17"/>
        </w:rPr>
      </w:pPr>
    </w:p>
    <w:p w:rsidR="00295727" w:rsidRDefault="00295727" w:rsidP="00E47B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FD196A" w:rsidRPr="00FD196A" w:rsidRDefault="00FD196A" w:rsidP="00300268">
      <w:pPr>
        <w:pStyle w:val="Heading2"/>
      </w:pPr>
      <w:bookmarkStart w:id="21" w:name="_Toc42155339"/>
      <w:r w:rsidRPr="00FD196A">
        <w:t>PETROLEUM AND GEOTHERMAL ENERGY ACT 2000</w:t>
      </w:r>
      <w:bookmarkEnd w:id="21"/>
    </w:p>
    <w:p w:rsidR="00FD196A" w:rsidRPr="00FD196A" w:rsidRDefault="00FD196A" w:rsidP="00FD196A">
      <w:pPr>
        <w:jc w:val="center"/>
        <w:rPr>
          <w:i/>
          <w:szCs w:val="17"/>
        </w:rPr>
      </w:pPr>
      <w:r w:rsidRPr="00FD196A">
        <w:rPr>
          <w:i/>
          <w:szCs w:val="17"/>
        </w:rPr>
        <w:t xml:space="preserve">Suspension of Condition </w:t>
      </w:r>
      <w:r w:rsidR="00436380">
        <w:rPr>
          <w:i/>
          <w:szCs w:val="17"/>
        </w:rPr>
        <w:t xml:space="preserve">&amp; </w:t>
      </w:r>
      <w:r w:rsidRPr="00FD196A">
        <w:rPr>
          <w:i/>
          <w:szCs w:val="17"/>
        </w:rPr>
        <w:t xml:space="preserve">Extension of Licence Term </w:t>
      </w:r>
      <w:r w:rsidRPr="00FD196A">
        <w:rPr>
          <w:i/>
          <w:szCs w:val="17"/>
        </w:rPr>
        <w:br/>
        <w:t>Petroleum Exploration Licence PEL 182</w:t>
      </w:r>
    </w:p>
    <w:p w:rsidR="00FD196A" w:rsidRPr="00FD196A" w:rsidRDefault="00FD196A" w:rsidP="00FD196A">
      <w:pPr>
        <w:jc w:val="center"/>
        <w:rPr>
          <w:i/>
          <w:szCs w:val="17"/>
        </w:rPr>
      </w:pPr>
      <w:r w:rsidRPr="00FD196A">
        <w:rPr>
          <w:i/>
          <w:szCs w:val="17"/>
        </w:rPr>
        <w:t>Extension of Licence Term</w:t>
      </w:r>
      <w:r w:rsidRPr="00FD196A">
        <w:rPr>
          <w:i/>
          <w:szCs w:val="17"/>
        </w:rPr>
        <w:br/>
        <w:t>Associated Activities Licence AAL 224</w:t>
      </w:r>
    </w:p>
    <w:p w:rsidR="00FD196A" w:rsidRPr="00FD196A" w:rsidRDefault="00FD196A" w:rsidP="00FD196A">
      <w:pPr>
        <w:rPr>
          <w:szCs w:val="17"/>
        </w:rPr>
      </w:pPr>
      <w:r w:rsidRPr="00FD196A">
        <w:rPr>
          <w:szCs w:val="17"/>
        </w:rPr>
        <w:t xml:space="preserve">Pursuant to section 76A of the </w:t>
      </w:r>
      <w:r w:rsidRPr="00FD196A">
        <w:rPr>
          <w:i/>
          <w:szCs w:val="17"/>
        </w:rPr>
        <w:t>Petroleum and Geothermal Energy Act 2000</w:t>
      </w:r>
      <w:r w:rsidRPr="00FD196A">
        <w:rPr>
          <w:szCs w:val="17"/>
        </w:rPr>
        <w:t>, notice is hereby given that Condition 1 of Petroleum Exploration Licence 182 has been suspended for the period from 17 November 2020 to 16 November 2021 inclusive, pursuant to delegated powers dated 29 June 2018.</w:t>
      </w:r>
    </w:p>
    <w:p w:rsidR="00FD196A" w:rsidRPr="00FD196A" w:rsidRDefault="00FD196A" w:rsidP="00FD196A">
      <w:pPr>
        <w:rPr>
          <w:szCs w:val="17"/>
        </w:rPr>
      </w:pPr>
      <w:r w:rsidRPr="00FD196A">
        <w:rPr>
          <w:szCs w:val="17"/>
        </w:rPr>
        <w:t xml:space="preserve">The term of PEL 182 has been extended by a period corresponding to the period of suspension, such that PEL 182 will now expire on </w:t>
      </w:r>
      <w:r w:rsidR="00436380">
        <w:rPr>
          <w:szCs w:val="17"/>
        </w:rPr>
        <w:t>16 </w:t>
      </w:r>
      <w:r w:rsidRPr="00FD196A">
        <w:rPr>
          <w:szCs w:val="17"/>
        </w:rPr>
        <w:t>November 2023.</w:t>
      </w:r>
    </w:p>
    <w:p w:rsidR="00FD196A" w:rsidRPr="00FD196A" w:rsidRDefault="00FD196A" w:rsidP="00FD196A">
      <w:pPr>
        <w:rPr>
          <w:szCs w:val="17"/>
        </w:rPr>
      </w:pPr>
      <w:r w:rsidRPr="00FD196A">
        <w:rPr>
          <w:szCs w:val="17"/>
        </w:rPr>
        <w:t>As a consequence of the suspension and extension of PEL 182, the term of the adjunct Associated Activities Licence AAL 224 is extended, such that AAL 224 will now expire on 16 November 2021.</w:t>
      </w:r>
    </w:p>
    <w:p w:rsidR="00FD196A" w:rsidRPr="00FD196A" w:rsidRDefault="00436380" w:rsidP="00436380">
      <w:pPr>
        <w:pStyle w:val="GG-SDated"/>
      </w:pPr>
      <w:r>
        <w:t xml:space="preserve">Dated: </w:t>
      </w:r>
      <w:r w:rsidR="00FD196A" w:rsidRPr="00FD196A">
        <w:t>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295727" w:rsidRDefault="00295727" w:rsidP="00E47B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FD196A" w:rsidRPr="00FD196A" w:rsidRDefault="00FD196A" w:rsidP="00FD196A">
      <w:pPr>
        <w:jc w:val="center"/>
        <w:rPr>
          <w:caps/>
          <w:szCs w:val="17"/>
        </w:rPr>
      </w:pPr>
      <w:r w:rsidRPr="00FD196A">
        <w:rPr>
          <w:caps/>
          <w:szCs w:val="17"/>
        </w:rPr>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Condition</w:t>
      </w:r>
      <w:r>
        <w:rPr>
          <w:i/>
          <w:szCs w:val="17"/>
        </w:rPr>
        <w:t xml:space="preserve"> </w:t>
      </w:r>
      <w:r w:rsidR="00436380">
        <w:rPr>
          <w:i/>
          <w:szCs w:val="17"/>
        </w:rPr>
        <w:t xml:space="preserve">&amp; </w:t>
      </w:r>
      <w:r w:rsidRPr="00FD196A">
        <w:rPr>
          <w:i/>
          <w:szCs w:val="17"/>
        </w:rPr>
        <w:t>Extension of Licence Term</w:t>
      </w:r>
      <w:r w:rsidRPr="00FD196A">
        <w:rPr>
          <w:i/>
          <w:szCs w:val="17"/>
        </w:rPr>
        <w:br/>
        <w:t>Petroleum Retention Licences PRLs 78, 79 and 80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Pursuant to section 76A of the </w:t>
      </w:r>
      <w:r w:rsidRPr="00FD196A">
        <w:rPr>
          <w:i/>
          <w:szCs w:val="17"/>
        </w:rPr>
        <w:t>Petroleum and Geothermal Energy Act 2000</w:t>
      </w:r>
      <w:r w:rsidRPr="00FD196A">
        <w:rPr>
          <w:szCs w:val="17"/>
        </w:rPr>
        <w:t>, notice is hereby given that Condition 14.1 of Petroleum Retention Licences 78, 79 and 80 have been suspended for the period from 24 April 2020 to 23 April 2021 inclusive, pursuant to delegated powers dated 29 June 2018.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The term of PRLs 78, 79 and 80 has been extended by a period corresponding to the period of suspension, such that PRLs 78, 79 and 80 will now expire on 23 April 2023.</w:t>
      </w:r>
    </w:p>
    <w:p w:rsidR="00FD196A" w:rsidRPr="00FD196A" w:rsidRDefault="00FD196A" w:rsidP="00436380">
      <w:pPr>
        <w:pStyle w:val="GG-SDated"/>
      </w:pPr>
      <w:r w:rsidRPr="00FD196A">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295727" w:rsidRDefault="00295727" w:rsidP="00E47B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FD196A" w:rsidRPr="00FD196A" w:rsidRDefault="00FD196A" w:rsidP="00FD196A">
      <w:pPr>
        <w:jc w:val="center"/>
        <w:rPr>
          <w:caps/>
          <w:szCs w:val="17"/>
        </w:rPr>
      </w:pPr>
      <w:r w:rsidRPr="00FD196A">
        <w:rPr>
          <w:caps/>
          <w:szCs w:val="17"/>
        </w:rPr>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Condition</w:t>
      </w:r>
      <w:r>
        <w:rPr>
          <w:i/>
          <w:szCs w:val="17"/>
        </w:rPr>
        <w:t xml:space="preserve"> </w:t>
      </w:r>
      <w:r w:rsidR="00436380">
        <w:rPr>
          <w:i/>
          <w:szCs w:val="17"/>
        </w:rPr>
        <w:t xml:space="preserve">&amp; </w:t>
      </w:r>
      <w:r w:rsidRPr="00FD196A">
        <w:rPr>
          <w:i/>
          <w:szCs w:val="17"/>
        </w:rPr>
        <w:t>Extension of Licence Term</w:t>
      </w:r>
      <w:r w:rsidRPr="00FD196A">
        <w:rPr>
          <w:i/>
          <w:szCs w:val="17"/>
        </w:rPr>
        <w:br/>
        <w:t>Petroleum Retention Licences PRLs 76 and 77</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Pursuant to section 76A of the Petroleum and Geothermal Energy Act 2000, notice is hereby given that Condition 14.1 of Petroleum Retention Licences PRLs 76 and 77 have been suspended for the following periods, pursuant to delegated powers dated 29 June 2018:</w:t>
      </w:r>
    </w:p>
    <w:p w:rsidR="00FD196A" w:rsidRPr="00FD196A" w:rsidRDefault="00FD196A" w:rsidP="00FD196A">
      <w:pPr>
        <w:pStyle w:val="ListParagraph"/>
        <w:numPr>
          <w:ilvl w:val="0"/>
          <w:numId w:val="36"/>
        </w:numPr>
        <w:tabs>
          <w:tab w:val="left" w:pos="567"/>
        </w:tabs>
        <w:spacing w:after="0"/>
        <w:ind w:left="567" w:hanging="283"/>
        <w:rPr>
          <w:rFonts w:eastAsia="Times New Roman"/>
          <w:szCs w:val="17"/>
        </w:rPr>
      </w:pPr>
      <w:r w:rsidRPr="00FD196A">
        <w:rPr>
          <w:rFonts w:eastAsia="Times New Roman"/>
          <w:szCs w:val="17"/>
        </w:rPr>
        <w:t>PRL 76 for the period from 12 November 2020 to 11 November 2021 inclusive; and</w:t>
      </w:r>
    </w:p>
    <w:p w:rsidR="00FD196A" w:rsidRPr="00FD196A" w:rsidRDefault="00FD196A" w:rsidP="00FD196A">
      <w:pPr>
        <w:pStyle w:val="ListParagraph"/>
        <w:numPr>
          <w:ilvl w:val="0"/>
          <w:numId w:val="36"/>
        </w:numPr>
        <w:tabs>
          <w:tab w:val="left" w:pos="567"/>
        </w:tabs>
        <w:ind w:left="567" w:hanging="283"/>
        <w:rPr>
          <w:rFonts w:eastAsia="Times New Roman"/>
          <w:szCs w:val="17"/>
        </w:rPr>
      </w:pPr>
      <w:r w:rsidRPr="00FD196A">
        <w:rPr>
          <w:rFonts w:eastAsia="Times New Roman"/>
          <w:szCs w:val="17"/>
        </w:rPr>
        <w:t>PRL 77 for the period from 12 May 2021 to 11 May 2022 inclusive.</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The term of PRL 76 has been extended by a period corresponding to the period of suspension, such that PRL 76 will now expire on </w:t>
      </w:r>
      <w:r w:rsidR="00436380">
        <w:rPr>
          <w:szCs w:val="17"/>
        </w:rPr>
        <w:t>11 </w:t>
      </w:r>
      <w:r w:rsidRPr="00FD196A">
        <w:rPr>
          <w:szCs w:val="17"/>
        </w:rPr>
        <w:t>November 2022.</w:t>
      </w:r>
    </w:p>
    <w:p w:rsidR="00FD196A" w:rsidRPr="00436380"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pacing w:val="-4"/>
          <w:szCs w:val="17"/>
        </w:rPr>
      </w:pPr>
      <w:r w:rsidRPr="00436380">
        <w:rPr>
          <w:spacing w:val="-4"/>
          <w:szCs w:val="17"/>
        </w:rPr>
        <w:t>The term of PRL 77 has been extended by a period corresponding to the period of suspension, such that PRL 77 will now expire on 11</w:t>
      </w:r>
      <w:r w:rsidR="00436380" w:rsidRPr="00436380">
        <w:rPr>
          <w:spacing w:val="-4"/>
          <w:szCs w:val="17"/>
        </w:rPr>
        <w:t> </w:t>
      </w:r>
      <w:r w:rsidRPr="00436380">
        <w:rPr>
          <w:spacing w:val="-4"/>
          <w:szCs w:val="17"/>
        </w:rPr>
        <w:t>May 2022.</w:t>
      </w:r>
    </w:p>
    <w:p w:rsidR="00FD196A" w:rsidRPr="00FD196A" w:rsidRDefault="00FD196A" w:rsidP="00436380">
      <w:pPr>
        <w:pStyle w:val="GG-SDated"/>
      </w:pPr>
      <w:r w:rsidRPr="00FD196A">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436380" w:rsidRDefault="00436380">
      <w:pPr>
        <w:spacing w:after="0" w:line="240" w:lineRule="auto"/>
        <w:jc w:val="left"/>
        <w:rPr>
          <w:caps/>
          <w:szCs w:val="17"/>
        </w:rPr>
      </w:pPr>
      <w:r>
        <w:rPr>
          <w:caps/>
          <w:szCs w:val="17"/>
        </w:rPr>
        <w:br w:type="page"/>
      </w:r>
    </w:p>
    <w:p w:rsidR="00FD196A" w:rsidRPr="00FD196A" w:rsidRDefault="00FD196A" w:rsidP="00FD196A">
      <w:pPr>
        <w:jc w:val="center"/>
        <w:rPr>
          <w:caps/>
          <w:szCs w:val="17"/>
        </w:rPr>
      </w:pPr>
      <w:r w:rsidRPr="00FD196A">
        <w:rPr>
          <w:caps/>
          <w:szCs w:val="17"/>
        </w:rPr>
        <w:lastRenderedPageBreak/>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Condition</w:t>
      </w:r>
      <w:r w:rsidR="00436380">
        <w:rPr>
          <w:i/>
          <w:szCs w:val="17"/>
        </w:rPr>
        <w:t xml:space="preserve"> &amp; </w:t>
      </w:r>
      <w:r w:rsidRPr="00FD196A">
        <w:rPr>
          <w:i/>
          <w:szCs w:val="17"/>
        </w:rPr>
        <w:t>Extension of Licence Term</w:t>
      </w:r>
      <w:r w:rsidRPr="00FD196A">
        <w:rPr>
          <w:i/>
          <w:szCs w:val="17"/>
        </w:rPr>
        <w:br/>
        <w:t>Petroleum Retention Licences PRLs 231, 232 and 233</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Pursuant to section 76A of the </w:t>
      </w:r>
      <w:r w:rsidRPr="00FD196A">
        <w:rPr>
          <w:i/>
          <w:szCs w:val="17"/>
        </w:rPr>
        <w:t>Petroleum and Geothermal Energy Act 2000</w:t>
      </w:r>
      <w:r w:rsidRPr="00FD196A">
        <w:rPr>
          <w:szCs w:val="17"/>
        </w:rPr>
        <w:t>, notice is hereby given that Condition 12.1 of Petroleum Retention Licences 231, 232 and 233 have been suspended for the period from 19 January 2021 to 18 January 2022 inclusive, pursuant to delegated powers dated 29 June 2018.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The term of PRLs 231, 232 and 233 has been extended by a period corresponding to the period of suspension, such that PRLs 231, 232 and 233 will now expire on 18 January 2024.</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FD196A">
        <w:rPr>
          <w:szCs w:val="17"/>
        </w:rPr>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295727" w:rsidRPr="00E47B5A" w:rsidRDefault="00295727" w:rsidP="00E47B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FD196A" w:rsidRPr="00FD196A" w:rsidRDefault="00FD196A" w:rsidP="00FD196A">
      <w:pPr>
        <w:jc w:val="center"/>
        <w:rPr>
          <w:caps/>
          <w:szCs w:val="17"/>
        </w:rPr>
      </w:pPr>
      <w:r w:rsidRPr="00FD196A">
        <w:rPr>
          <w:caps/>
          <w:szCs w:val="17"/>
        </w:rPr>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Condition</w:t>
      </w:r>
      <w:r w:rsidR="00436380">
        <w:rPr>
          <w:i/>
          <w:szCs w:val="17"/>
        </w:rPr>
        <w:t xml:space="preserve"> &amp;</w:t>
      </w:r>
      <w:r w:rsidRPr="00FD196A">
        <w:rPr>
          <w:i/>
          <w:szCs w:val="17"/>
        </w:rPr>
        <w:t>Extension of Licence Term</w:t>
      </w:r>
      <w:r w:rsidRPr="00FD196A">
        <w:rPr>
          <w:i/>
          <w:szCs w:val="17"/>
        </w:rPr>
        <w:br/>
        <w:t>Petroleum Exploration Licence PEL 639</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Pursuant to section 76A of the </w:t>
      </w:r>
      <w:r w:rsidRPr="00FD196A">
        <w:rPr>
          <w:i/>
          <w:szCs w:val="17"/>
        </w:rPr>
        <w:t>Petroleum and Geothermal Energy Act 2000</w:t>
      </w:r>
      <w:r w:rsidRPr="00FD196A">
        <w:rPr>
          <w:szCs w:val="17"/>
        </w:rPr>
        <w:t>, notice is hereby given that Condition 1 of Petroleum Exploration Licence 639 has been suspended for the period from 26 October 2020 to 25 October 2021 inclusive, pursuant to delegated powers dated 29 June 2018.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The term of PEL 639 has been extended by a period corresponding to the period of suspension, such that PEL 639 will now expire on </w:t>
      </w:r>
      <w:r w:rsidR="00436380">
        <w:rPr>
          <w:szCs w:val="17"/>
        </w:rPr>
        <w:t>25 </w:t>
      </w:r>
      <w:r w:rsidRPr="00FD196A">
        <w:rPr>
          <w:szCs w:val="17"/>
        </w:rPr>
        <w:t>October 2025.</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FD196A">
        <w:rPr>
          <w:szCs w:val="17"/>
        </w:rPr>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B4443A" w:rsidRDefault="00B4443A"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196A" w:rsidRPr="00FD196A" w:rsidRDefault="00FD196A" w:rsidP="00FD196A">
      <w:pPr>
        <w:jc w:val="center"/>
        <w:rPr>
          <w:caps/>
          <w:szCs w:val="17"/>
        </w:rPr>
      </w:pPr>
      <w:r w:rsidRPr="00FD196A">
        <w:rPr>
          <w:caps/>
          <w:szCs w:val="17"/>
        </w:rPr>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Condition</w:t>
      </w:r>
      <w:r w:rsidR="00436380">
        <w:rPr>
          <w:i/>
          <w:szCs w:val="17"/>
        </w:rPr>
        <w:t xml:space="preserve"> &amp; </w:t>
      </w:r>
      <w:r w:rsidRPr="00FD196A">
        <w:rPr>
          <w:i/>
          <w:szCs w:val="17"/>
        </w:rPr>
        <w:t>Extension of Licence Term</w:t>
      </w:r>
      <w:r w:rsidRPr="00FD196A">
        <w:rPr>
          <w:i/>
          <w:szCs w:val="17"/>
        </w:rPr>
        <w:br/>
        <w:t>Petroleum Retention Licence PRL 211</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Pursuant to section 76A of the </w:t>
      </w:r>
      <w:r w:rsidRPr="00FD196A">
        <w:rPr>
          <w:i/>
          <w:szCs w:val="17"/>
        </w:rPr>
        <w:t>Petroleum and Geothermal Energy Act 2000</w:t>
      </w:r>
      <w:r w:rsidRPr="00FD196A">
        <w:rPr>
          <w:szCs w:val="17"/>
        </w:rPr>
        <w:t>, notice is hereby given that Condition 12.1 of Petroleum Retention Licence 211 has been suspended for the period from 25 October 2020 to 24 October 2021 inclusive, pursuant to delegated powers dated 29 June 2018.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The term of PRL 211 has been extended by a period corresponding to the period of suspension, such that PRL 211 will now expire on </w:t>
      </w:r>
      <w:r w:rsidR="00436380">
        <w:rPr>
          <w:szCs w:val="17"/>
        </w:rPr>
        <w:t>24 </w:t>
      </w:r>
      <w:r w:rsidRPr="00FD196A">
        <w:rPr>
          <w:szCs w:val="17"/>
        </w:rPr>
        <w:t>October 2023.</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FD196A">
        <w:rPr>
          <w:szCs w:val="17"/>
        </w:rPr>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FD196A" w:rsidRDefault="00FD196A"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196A" w:rsidRPr="00FD196A" w:rsidRDefault="00FD196A" w:rsidP="00FD196A">
      <w:pPr>
        <w:jc w:val="center"/>
        <w:rPr>
          <w:caps/>
          <w:szCs w:val="17"/>
        </w:rPr>
      </w:pPr>
      <w:r w:rsidRPr="00FD196A">
        <w:rPr>
          <w:caps/>
          <w:szCs w:val="17"/>
        </w:rPr>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Petroleum Retention Licences</w:t>
      </w:r>
      <w:r w:rsidRPr="00FD196A">
        <w:rPr>
          <w:i/>
          <w:szCs w:val="17"/>
        </w:rPr>
        <w:br/>
        <w:t>PRLs 183, 184, 185, 186, 187, 188, 189 and 190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Pursuant to section 90 of the </w:t>
      </w:r>
      <w:r w:rsidRPr="00FD196A">
        <w:rPr>
          <w:i/>
          <w:szCs w:val="17"/>
        </w:rPr>
        <w:t>Petroleum and Geothermal Energy Act 2000</w:t>
      </w:r>
      <w:r w:rsidRPr="00FD196A">
        <w:rPr>
          <w:szCs w:val="17"/>
        </w:rPr>
        <w:t>, notice is hereby given that the abovementioned Petroleum Retention Licences have been suspended for the periods indicated below, pursuant to delegated powers dated 29 June 2018.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PRLs 183, 184, 185, 186, 187, 188 and 189 for the period from 1 November 2020 to 31 October 2021 inclusive; and PRL 190 for the period from 3 April 2020 to 2 April 2021 inclusive.</w:t>
      </w:r>
    </w:p>
    <w:p w:rsidR="00FD196A" w:rsidRPr="00FD196A" w:rsidRDefault="00FD196A" w:rsidP="00FD196A">
      <w:pPr>
        <w:pStyle w:val="ListParagraph"/>
        <w:numPr>
          <w:ilvl w:val="0"/>
          <w:numId w:val="37"/>
        </w:numPr>
        <w:tabs>
          <w:tab w:val="left" w:pos="567"/>
        </w:tabs>
        <w:spacing w:after="0"/>
        <w:ind w:left="567" w:hanging="283"/>
        <w:rPr>
          <w:szCs w:val="17"/>
        </w:rPr>
      </w:pPr>
      <w:r w:rsidRPr="00FD196A">
        <w:rPr>
          <w:szCs w:val="17"/>
        </w:rPr>
        <w:t>The expiry date of PRLs 183, 184, 185, 186, 187, 188 and 189 is now determined to be 2 November 2024.</w:t>
      </w:r>
    </w:p>
    <w:p w:rsidR="00FD196A" w:rsidRPr="00FD196A" w:rsidRDefault="00FD196A" w:rsidP="00FD196A">
      <w:pPr>
        <w:pStyle w:val="ListParagraph"/>
        <w:numPr>
          <w:ilvl w:val="0"/>
          <w:numId w:val="37"/>
        </w:numPr>
        <w:tabs>
          <w:tab w:val="left" w:pos="567"/>
        </w:tabs>
        <w:ind w:left="567" w:hanging="283"/>
        <w:rPr>
          <w:szCs w:val="17"/>
        </w:rPr>
      </w:pPr>
      <w:r w:rsidRPr="00FD196A">
        <w:rPr>
          <w:szCs w:val="17"/>
        </w:rPr>
        <w:t>The expiry date of PRL 190 is now determined to be 2 November 2022.</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FD196A">
        <w:rPr>
          <w:szCs w:val="17"/>
        </w:rPr>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FD196A" w:rsidRDefault="00FD196A">
      <w:pPr>
        <w:spacing w:after="0" w:line="240" w:lineRule="auto"/>
        <w:jc w:val="left"/>
        <w:rPr>
          <w:lang w:val="en-US"/>
        </w:rPr>
      </w:pPr>
      <w:r>
        <w:rPr>
          <w:lang w:val="en-US"/>
        </w:rPr>
        <w:br w:type="page"/>
      </w:r>
    </w:p>
    <w:p w:rsidR="00FD196A" w:rsidRPr="00FD196A" w:rsidRDefault="00FD196A" w:rsidP="00FD196A">
      <w:pPr>
        <w:jc w:val="center"/>
        <w:rPr>
          <w:caps/>
          <w:szCs w:val="17"/>
        </w:rPr>
      </w:pPr>
      <w:r w:rsidRPr="00FD196A">
        <w:rPr>
          <w:caps/>
          <w:szCs w:val="17"/>
        </w:rPr>
        <w:lastRenderedPageBreak/>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Petroleum Retention Licence PRL 237</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Pursuant to section 90 of the </w:t>
      </w:r>
      <w:r w:rsidRPr="00FD196A">
        <w:rPr>
          <w:i/>
          <w:szCs w:val="17"/>
        </w:rPr>
        <w:t>Petroleum and Geothermal Energy Act 2000</w:t>
      </w:r>
      <w:r w:rsidRPr="00FD196A">
        <w:rPr>
          <w:szCs w:val="17"/>
        </w:rPr>
        <w:t>, notice is hereby given that the abovementioned Petroleum Retention Licence has been suspended from 3 April 2020 to 2 April 2021 inclusive, pursuant to delegated powers dated 29 June 2018.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The expiry date of PRL 237 is now determined to be 18 January 2024.</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mallCaps/>
          <w:szCs w:val="17"/>
        </w:rPr>
      </w:pPr>
      <w:r w:rsidRPr="00FD196A">
        <w:rPr>
          <w:szCs w:val="17"/>
        </w:rPr>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FD196A" w:rsidRDefault="00FD196A"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196A" w:rsidRPr="00FD196A" w:rsidRDefault="00FD196A" w:rsidP="00FD196A">
      <w:pPr>
        <w:jc w:val="center"/>
        <w:rPr>
          <w:caps/>
          <w:szCs w:val="17"/>
        </w:rPr>
      </w:pPr>
      <w:r w:rsidRPr="00FD196A">
        <w:rPr>
          <w:caps/>
          <w:szCs w:val="17"/>
        </w:rPr>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Petroleum Retention Licences</w:t>
      </w:r>
      <w:r w:rsidRPr="00FD196A">
        <w:rPr>
          <w:i/>
          <w:szCs w:val="17"/>
        </w:rPr>
        <w:br/>
        <w:t>PRLs 81, 82 and 84</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Pursuant to section 90 of the </w:t>
      </w:r>
      <w:r w:rsidRPr="00FD196A">
        <w:rPr>
          <w:i/>
          <w:szCs w:val="17"/>
        </w:rPr>
        <w:t>Petroleum and Geothermal Energy Act 2000</w:t>
      </w:r>
      <w:r w:rsidRPr="00FD196A">
        <w:rPr>
          <w:szCs w:val="17"/>
        </w:rPr>
        <w:t>, notice is hereby given that the abovementioned Petroleum Retention Licences have been suspended from 11 May 2020 to 10 May 2021 inclusive, pursuant to delegated powers dated 29 June 2018.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The expiry date of PRLs 81, 82 and 84 is now determined to be 12 May 2023.</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FD196A">
        <w:rPr>
          <w:szCs w:val="17"/>
        </w:rPr>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FD196A" w:rsidRDefault="00FD196A"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196A" w:rsidRPr="00FD196A" w:rsidRDefault="00FD196A" w:rsidP="00FD196A">
      <w:pPr>
        <w:jc w:val="center"/>
        <w:rPr>
          <w:caps/>
          <w:szCs w:val="17"/>
        </w:rPr>
      </w:pPr>
      <w:r w:rsidRPr="00FD196A">
        <w:rPr>
          <w:caps/>
          <w:szCs w:val="17"/>
        </w:rPr>
        <w:t>PETROLEUM AND GEOTHERMAL ENERGY ACT 2000</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FD196A">
        <w:rPr>
          <w:i/>
          <w:szCs w:val="17"/>
        </w:rPr>
        <w:t>Suspension of Petroleum Retention Licences</w:t>
      </w:r>
      <w:r w:rsidRPr="00FD196A">
        <w:rPr>
          <w:i/>
          <w:szCs w:val="17"/>
        </w:rPr>
        <w:br/>
        <w:t>PRLs 120 and 128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 xml:space="preserve">Pursuant to section 90 of the </w:t>
      </w:r>
      <w:r w:rsidRPr="00FD196A">
        <w:rPr>
          <w:i/>
          <w:szCs w:val="17"/>
        </w:rPr>
        <w:t>Petroleum and Geothermal Energy Act 2000</w:t>
      </w:r>
      <w:r w:rsidRPr="00FD196A">
        <w:rPr>
          <w:szCs w:val="17"/>
        </w:rPr>
        <w:t>, notice is hereby given that the abovementioned Petroleum Retention Licences have been suspended from 3 April 2020 to 2 April 2021 inclusive, pursuant to delegated powers dated 29 June 2018.</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FD196A">
        <w:rPr>
          <w:szCs w:val="17"/>
        </w:rPr>
        <w:t>The expiry date of PRLs 120 and 128 is now determined to be 24 November 2021.</w:t>
      </w:r>
    </w:p>
    <w:p w:rsidR="00FD196A" w:rsidRPr="00FD196A" w:rsidRDefault="00FD196A" w:rsidP="00FD19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FD196A">
        <w:rPr>
          <w:szCs w:val="17"/>
        </w:rPr>
        <w:t>Dated: 29 May 2020</w:t>
      </w:r>
    </w:p>
    <w:p w:rsidR="00FD196A" w:rsidRPr="00FD196A" w:rsidRDefault="00FD196A" w:rsidP="00FD196A">
      <w:pPr>
        <w:spacing w:after="0"/>
        <w:jc w:val="right"/>
        <w:rPr>
          <w:smallCaps/>
          <w:szCs w:val="17"/>
        </w:rPr>
      </w:pPr>
      <w:r w:rsidRPr="00FD196A">
        <w:rPr>
          <w:smallCaps/>
          <w:szCs w:val="17"/>
        </w:rPr>
        <w:t>Barry A. Goldstein</w:t>
      </w:r>
    </w:p>
    <w:p w:rsidR="00FD196A" w:rsidRPr="00FD196A" w:rsidRDefault="00FD196A" w:rsidP="00FD196A">
      <w:pPr>
        <w:spacing w:after="0"/>
        <w:jc w:val="right"/>
        <w:rPr>
          <w:szCs w:val="17"/>
        </w:rPr>
      </w:pPr>
      <w:r w:rsidRPr="00FD196A">
        <w:rPr>
          <w:szCs w:val="17"/>
        </w:rPr>
        <w:t>Executive Director</w:t>
      </w:r>
    </w:p>
    <w:p w:rsidR="00FD196A" w:rsidRPr="00FD196A" w:rsidRDefault="00FD196A" w:rsidP="00FD196A">
      <w:pPr>
        <w:spacing w:after="0"/>
        <w:jc w:val="right"/>
        <w:rPr>
          <w:szCs w:val="17"/>
        </w:rPr>
      </w:pPr>
      <w:r w:rsidRPr="00FD196A">
        <w:rPr>
          <w:szCs w:val="17"/>
        </w:rPr>
        <w:t>Energy Resources Division</w:t>
      </w:r>
    </w:p>
    <w:p w:rsidR="00FD196A" w:rsidRPr="00FD196A" w:rsidRDefault="00FD196A" w:rsidP="00FD196A">
      <w:pPr>
        <w:spacing w:after="0"/>
        <w:jc w:val="right"/>
        <w:rPr>
          <w:szCs w:val="17"/>
        </w:rPr>
      </w:pPr>
      <w:r w:rsidRPr="00FD196A">
        <w:rPr>
          <w:szCs w:val="17"/>
        </w:rPr>
        <w:t>Department for Energy and Mining</w:t>
      </w:r>
    </w:p>
    <w:p w:rsidR="00FD196A" w:rsidRPr="00FD196A" w:rsidRDefault="00FD196A" w:rsidP="00FD196A">
      <w:pPr>
        <w:spacing w:after="0" w:line="259" w:lineRule="auto"/>
        <w:jc w:val="right"/>
        <w:rPr>
          <w:szCs w:val="17"/>
        </w:rPr>
      </w:pPr>
      <w:r w:rsidRPr="00FD196A">
        <w:rPr>
          <w:szCs w:val="17"/>
        </w:rPr>
        <w:t>Delegate of the Minister for Energy and Mining</w:t>
      </w:r>
    </w:p>
    <w:p w:rsidR="00FD196A" w:rsidRPr="00FD196A" w:rsidRDefault="00FD196A" w:rsidP="00FD196A">
      <w:pPr>
        <w:pBdr>
          <w:top w:val="single" w:sz="4" w:space="1" w:color="auto"/>
        </w:pBdr>
        <w:spacing w:before="100" w:after="0" w:line="14" w:lineRule="exact"/>
        <w:jc w:val="center"/>
        <w:rPr>
          <w:szCs w:val="17"/>
        </w:rPr>
      </w:pPr>
    </w:p>
    <w:p w:rsidR="00FD196A" w:rsidRDefault="00FD196A"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219DF" w:rsidRPr="002219DF" w:rsidRDefault="002219DF" w:rsidP="002219DF">
      <w:pPr>
        <w:jc w:val="center"/>
        <w:rPr>
          <w:caps/>
          <w:szCs w:val="17"/>
        </w:rPr>
      </w:pPr>
      <w:r w:rsidRPr="002219DF">
        <w:rPr>
          <w:caps/>
          <w:szCs w:val="17"/>
        </w:rPr>
        <w:t>PETROLEUM AND GEOTHERMAL ENERGY ACT 2000</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2219DF">
        <w:rPr>
          <w:i/>
          <w:szCs w:val="17"/>
        </w:rPr>
        <w:t>Suspension of Petroleum Retention Licences</w:t>
      </w:r>
      <w:r w:rsidRPr="002219DF">
        <w:rPr>
          <w:i/>
          <w:szCs w:val="17"/>
        </w:rPr>
        <w:br/>
        <w:t>PRLs 207, 208 and 209</w:t>
      </w:r>
    </w:p>
    <w:p w:rsidR="002219DF" w:rsidRPr="00436380"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pacing w:val="-2"/>
          <w:szCs w:val="17"/>
        </w:rPr>
      </w:pPr>
      <w:r w:rsidRPr="00436380">
        <w:rPr>
          <w:spacing w:val="-2"/>
          <w:szCs w:val="17"/>
        </w:rPr>
        <w:t xml:space="preserve">Pursuant to section 90 of the </w:t>
      </w:r>
      <w:r w:rsidRPr="00436380">
        <w:rPr>
          <w:i/>
          <w:spacing w:val="-2"/>
          <w:szCs w:val="17"/>
        </w:rPr>
        <w:t>Petroleum and Geothermal Energy Act 2000</w:t>
      </w:r>
      <w:r w:rsidRPr="00436380">
        <w:rPr>
          <w:spacing w:val="-2"/>
          <w:szCs w:val="17"/>
        </w:rPr>
        <w:t>, notice is hereby given that the abovementioned Petroleum Retention Licences have been suspended from 28 October 2020 to 27 October 2021 inclusive, pursuant to delegated powers dated 29 June 2018.</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2219DF">
        <w:rPr>
          <w:szCs w:val="17"/>
        </w:rPr>
        <w:t>The expiry date of PRLs 207, 208 and 209 is now determined to be 7 December 2023.</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2219DF">
        <w:rPr>
          <w:szCs w:val="17"/>
        </w:rPr>
        <w:t>Dated: 29 May 2020</w:t>
      </w:r>
    </w:p>
    <w:p w:rsidR="002219DF" w:rsidRPr="002219DF" w:rsidRDefault="002219DF" w:rsidP="002219DF">
      <w:pPr>
        <w:spacing w:after="0"/>
        <w:jc w:val="right"/>
        <w:rPr>
          <w:smallCaps/>
          <w:szCs w:val="17"/>
        </w:rPr>
      </w:pPr>
      <w:r w:rsidRPr="002219DF">
        <w:rPr>
          <w:smallCaps/>
          <w:szCs w:val="17"/>
        </w:rPr>
        <w:t>Barry A. Goldstein</w:t>
      </w:r>
    </w:p>
    <w:p w:rsidR="002219DF" w:rsidRPr="002219DF" w:rsidRDefault="002219DF" w:rsidP="002219DF">
      <w:pPr>
        <w:spacing w:after="0"/>
        <w:jc w:val="right"/>
        <w:rPr>
          <w:szCs w:val="17"/>
        </w:rPr>
      </w:pPr>
      <w:r w:rsidRPr="002219DF">
        <w:rPr>
          <w:szCs w:val="17"/>
        </w:rPr>
        <w:t>Executive Director</w:t>
      </w:r>
    </w:p>
    <w:p w:rsidR="002219DF" w:rsidRPr="002219DF" w:rsidRDefault="002219DF" w:rsidP="002219DF">
      <w:pPr>
        <w:spacing w:after="0"/>
        <w:jc w:val="right"/>
        <w:rPr>
          <w:szCs w:val="17"/>
        </w:rPr>
      </w:pPr>
      <w:r w:rsidRPr="002219DF">
        <w:rPr>
          <w:szCs w:val="17"/>
        </w:rPr>
        <w:t>Energy Resources Division</w:t>
      </w:r>
    </w:p>
    <w:p w:rsidR="002219DF" w:rsidRPr="002219DF" w:rsidRDefault="002219DF" w:rsidP="002219DF">
      <w:pPr>
        <w:spacing w:after="0"/>
        <w:jc w:val="right"/>
        <w:rPr>
          <w:szCs w:val="17"/>
        </w:rPr>
      </w:pPr>
      <w:r w:rsidRPr="002219DF">
        <w:rPr>
          <w:szCs w:val="17"/>
        </w:rPr>
        <w:t>Department for Energy and Mining</w:t>
      </w:r>
    </w:p>
    <w:p w:rsidR="002219DF" w:rsidRPr="002219DF" w:rsidRDefault="002219DF" w:rsidP="002219DF">
      <w:pPr>
        <w:spacing w:after="0" w:line="259" w:lineRule="auto"/>
        <w:jc w:val="right"/>
        <w:rPr>
          <w:szCs w:val="17"/>
        </w:rPr>
      </w:pPr>
      <w:r w:rsidRPr="002219DF">
        <w:rPr>
          <w:szCs w:val="17"/>
        </w:rPr>
        <w:t>Delegate of the Minister for Energy and Mining</w:t>
      </w:r>
    </w:p>
    <w:p w:rsidR="002219DF" w:rsidRPr="002219DF" w:rsidRDefault="002219DF" w:rsidP="002219DF">
      <w:pPr>
        <w:pBdr>
          <w:top w:val="single" w:sz="4" w:space="1" w:color="auto"/>
        </w:pBdr>
        <w:spacing w:before="100" w:after="0" w:line="14" w:lineRule="exact"/>
        <w:jc w:val="center"/>
        <w:rPr>
          <w:szCs w:val="17"/>
        </w:rPr>
      </w:pPr>
    </w:p>
    <w:p w:rsidR="00FD196A" w:rsidRDefault="00FD196A"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219DF" w:rsidRPr="002219DF" w:rsidRDefault="002219DF" w:rsidP="002219DF">
      <w:pPr>
        <w:jc w:val="center"/>
        <w:rPr>
          <w:caps/>
          <w:szCs w:val="17"/>
        </w:rPr>
      </w:pPr>
      <w:r w:rsidRPr="002219DF">
        <w:rPr>
          <w:caps/>
          <w:szCs w:val="17"/>
        </w:rPr>
        <w:t>PETROLEUM AND GEOTHERMAL ENERGY ACT 2000</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2219DF">
        <w:rPr>
          <w:i/>
          <w:szCs w:val="17"/>
        </w:rPr>
        <w:t>Suspension of Petroleum Retention Licences</w:t>
      </w:r>
      <w:r w:rsidRPr="002219DF">
        <w:rPr>
          <w:i/>
          <w:szCs w:val="17"/>
        </w:rPr>
        <w:br/>
        <w:t>PRLs 210, 212, 213, 214, 215, 216, 217, 218, 219 and 220</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2219DF">
        <w:rPr>
          <w:szCs w:val="17"/>
        </w:rPr>
        <w:t xml:space="preserve">Pursuant to section 90 of the </w:t>
      </w:r>
      <w:r w:rsidRPr="002219DF">
        <w:rPr>
          <w:i/>
          <w:szCs w:val="17"/>
        </w:rPr>
        <w:t>Petroleum and Geothermal Energy Act 2000</w:t>
      </w:r>
      <w:r w:rsidRPr="002219DF">
        <w:rPr>
          <w:szCs w:val="17"/>
        </w:rPr>
        <w:t>, notice is hereby given that the abovementioned Petroleum Retention Licences have been suspended from 3 April 2020 to 2 April 2021 inclusive, pursuant to delegated powers dated 29 June 2018.</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2219DF">
        <w:rPr>
          <w:szCs w:val="17"/>
        </w:rPr>
        <w:t>The expiry date of PRLs 210, 212, 213, 214, 215, 216, 217, 218, 219 and 220 is now determined to be 24 October 2023.</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2219DF">
        <w:rPr>
          <w:szCs w:val="17"/>
        </w:rPr>
        <w:t>Dated: 29 May 2020</w:t>
      </w:r>
    </w:p>
    <w:p w:rsidR="002219DF" w:rsidRPr="002219DF" w:rsidRDefault="002219DF" w:rsidP="002219DF">
      <w:pPr>
        <w:spacing w:after="0"/>
        <w:jc w:val="right"/>
        <w:rPr>
          <w:smallCaps/>
          <w:szCs w:val="17"/>
        </w:rPr>
      </w:pPr>
      <w:r w:rsidRPr="002219DF">
        <w:rPr>
          <w:smallCaps/>
          <w:szCs w:val="17"/>
        </w:rPr>
        <w:t>Barry A. Goldstein</w:t>
      </w:r>
    </w:p>
    <w:p w:rsidR="002219DF" w:rsidRPr="002219DF" w:rsidRDefault="002219DF" w:rsidP="002219DF">
      <w:pPr>
        <w:spacing w:after="0"/>
        <w:jc w:val="right"/>
        <w:rPr>
          <w:szCs w:val="17"/>
        </w:rPr>
      </w:pPr>
      <w:r w:rsidRPr="002219DF">
        <w:rPr>
          <w:szCs w:val="17"/>
        </w:rPr>
        <w:t>Executive Director</w:t>
      </w:r>
    </w:p>
    <w:p w:rsidR="002219DF" w:rsidRPr="002219DF" w:rsidRDefault="002219DF" w:rsidP="002219DF">
      <w:pPr>
        <w:spacing w:after="0"/>
        <w:jc w:val="right"/>
        <w:rPr>
          <w:szCs w:val="17"/>
        </w:rPr>
      </w:pPr>
      <w:r w:rsidRPr="002219DF">
        <w:rPr>
          <w:szCs w:val="17"/>
        </w:rPr>
        <w:t>Energy Resources Division</w:t>
      </w:r>
    </w:p>
    <w:p w:rsidR="002219DF" w:rsidRPr="002219DF" w:rsidRDefault="002219DF" w:rsidP="002219DF">
      <w:pPr>
        <w:spacing w:after="0"/>
        <w:jc w:val="right"/>
        <w:rPr>
          <w:szCs w:val="17"/>
        </w:rPr>
      </w:pPr>
      <w:r w:rsidRPr="002219DF">
        <w:rPr>
          <w:szCs w:val="17"/>
        </w:rPr>
        <w:t>Department for Energy and Mining</w:t>
      </w:r>
    </w:p>
    <w:p w:rsidR="002219DF" w:rsidRPr="002219DF" w:rsidRDefault="002219DF" w:rsidP="002219DF">
      <w:pPr>
        <w:spacing w:after="0" w:line="259" w:lineRule="auto"/>
        <w:jc w:val="right"/>
        <w:rPr>
          <w:szCs w:val="17"/>
        </w:rPr>
      </w:pPr>
      <w:r w:rsidRPr="002219DF">
        <w:rPr>
          <w:szCs w:val="17"/>
        </w:rPr>
        <w:t>Delegate of the Minister for Energy and Mining</w:t>
      </w:r>
    </w:p>
    <w:p w:rsidR="002219DF" w:rsidRPr="002219DF" w:rsidRDefault="002219DF" w:rsidP="002219DF">
      <w:pPr>
        <w:pBdr>
          <w:top w:val="single" w:sz="4" w:space="1" w:color="auto"/>
        </w:pBdr>
        <w:spacing w:before="100" w:after="0" w:line="14" w:lineRule="exact"/>
        <w:jc w:val="center"/>
        <w:rPr>
          <w:szCs w:val="17"/>
        </w:rPr>
      </w:pPr>
    </w:p>
    <w:p w:rsidR="002219DF" w:rsidRDefault="002219DF">
      <w:pPr>
        <w:spacing w:after="0" w:line="240" w:lineRule="auto"/>
        <w:jc w:val="left"/>
        <w:rPr>
          <w:lang w:val="en-US"/>
        </w:rPr>
      </w:pPr>
      <w:r>
        <w:rPr>
          <w:lang w:val="en-US"/>
        </w:rPr>
        <w:br w:type="page"/>
      </w:r>
    </w:p>
    <w:p w:rsidR="002219DF" w:rsidRPr="002219DF" w:rsidRDefault="002219DF" w:rsidP="002219DF">
      <w:pPr>
        <w:jc w:val="center"/>
        <w:rPr>
          <w:caps/>
          <w:szCs w:val="17"/>
        </w:rPr>
      </w:pPr>
      <w:r w:rsidRPr="002219DF">
        <w:rPr>
          <w:caps/>
          <w:szCs w:val="17"/>
        </w:rPr>
        <w:lastRenderedPageBreak/>
        <w:t>PETROLEUM AND GEOTHERMAL ENERGY ACT 2000</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2219DF">
        <w:rPr>
          <w:i/>
          <w:szCs w:val="17"/>
        </w:rPr>
        <w:t>Suspension of Petroleum Retention Licences</w:t>
      </w:r>
      <w:r w:rsidRPr="002219DF">
        <w:rPr>
          <w:i/>
          <w:szCs w:val="17"/>
        </w:rPr>
        <w:br/>
        <w:t>PRLs 221, 222, 223, 224, 225, 226, 227, 228, 229 and 230</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2219DF">
        <w:rPr>
          <w:szCs w:val="17"/>
        </w:rPr>
        <w:t xml:space="preserve">Pursuant to section 90 of the </w:t>
      </w:r>
      <w:r w:rsidRPr="002219DF">
        <w:rPr>
          <w:i/>
          <w:szCs w:val="17"/>
        </w:rPr>
        <w:t>Petroleum and Geothermal Energy Act 2000</w:t>
      </w:r>
      <w:r w:rsidRPr="002219DF">
        <w:rPr>
          <w:szCs w:val="17"/>
        </w:rPr>
        <w:t>, notice is hereby given that the abovementioned Petroleum Retention Licences have been suspended from 3 April 2020 to 2 April 2021 inclusive, pursuant to delegated powers dated 29 June 2018.</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2219DF">
        <w:rPr>
          <w:szCs w:val="17"/>
        </w:rPr>
        <w:t>The expiry date of PRLs 221, 222, 223, 224, 225, 226, 227, 228, 229 and 230 is now determined to be 24 October 2023.</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2219DF">
        <w:rPr>
          <w:szCs w:val="17"/>
        </w:rPr>
        <w:t>Dated: 29 May 2020</w:t>
      </w:r>
    </w:p>
    <w:p w:rsidR="002219DF" w:rsidRPr="002219DF" w:rsidRDefault="002219DF" w:rsidP="002219DF">
      <w:pPr>
        <w:spacing w:after="0"/>
        <w:jc w:val="right"/>
        <w:rPr>
          <w:smallCaps/>
          <w:szCs w:val="17"/>
        </w:rPr>
      </w:pPr>
      <w:r w:rsidRPr="002219DF">
        <w:rPr>
          <w:smallCaps/>
          <w:szCs w:val="17"/>
        </w:rPr>
        <w:t>Barry A. Goldstein</w:t>
      </w:r>
    </w:p>
    <w:p w:rsidR="002219DF" w:rsidRPr="002219DF" w:rsidRDefault="002219DF" w:rsidP="002219DF">
      <w:pPr>
        <w:spacing w:after="0"/>
        <w:jc w:val="right"/>
        <w:rPr>
          <w:szCs w:val="17"/>
        </w:rPr>
      </w:pPr>
      <w:r w:rsidRPr="002219DF">
        <w:rPr>
          <w:szCs w:val="17"/>
        </w:rPr>
        <w:t>Executive Director</w:t>
      </w:r>
    </w:p>
    <w:p w:rsidR="002219DF" w:rsidRPr="002219DF" w:rsidRDefault="002219DF" w:rsidP="002219DF">
      <w:pPr>
        <w:spacing w:after="0"/>
        <w:jc w:val="right"/>
        <w:rPr>
          <w:szCs w:val="17"/>
        </w:rPr>
      </w:pPr>
      <w:r w:rsidRPr="002219DF">
        <w:rPr>
          <w:szCs w:val="17"/>
        </w:rPr>
        <w:t>Energy Resources Division</w:t>
      </w:r>
    </w:p>
    <w:p w:rsidR="002219DF" w:rsidRPr="002219DF" w:rsidRDefault="002219DF" w:rsidP="002219DF">
      <w:pPr>
        <w:spacing w:after="0"/>
        <w:jc w:val="right"/>
        <w:rPr>
          <w:szCs w:val="17"/>
        </w:rPr>
      </w:pPr>
      <w:r w:rsidRPr="002219DF">
        <w:rPr>
          <w:szCs w:val="17"/>
        </w:rPr>
        <w:t>Department for Energy and Mining</w:t>
      </w:r>
    </w:p>
    <w:p w:rsidR="002219DF" w:rsidRPr="002219DF" w:rsidRDefault="002219DF" w:rsidP="002219DF">
      <w:pPr>
        <w:spacing w:after="0" w:line="259" w:lineRule="auto"/>
        <w:jc w:val="right"/>
        <w:rPr>
          <w:szCs w:val="17"/>
        </w:rPr>
      </w:pPr>
      <w:r w:rsidRPr="002219DF">
        <w:rPr>
          <w:szCs w:val="17"/>
        </w:rPr>
        <w:t>Delegate of the Minister for Energy and Mining</w:t>
      </w:r>
    </w:p>
    <w:p w:rsidR="002219DF" w:rsidRPr="002219DF" w:rsidRDefault="002219DF" w:rsidP="002219DF">
      <w:pPr>
        <w:pBdr>
          <w:top w:val="single" w:sz="4" w:space="1" w:color="auto"/>
        </w:pBdr>
        <w:spacing w:before="100" w:after="0" w:line="14" w:lineRule="exact"/>
        <w:jc w:val="center"/>
        <w:rPr>
          <w:szCs w:val="17"/>
        </w:rPr>
      </w:pPr>
    </w:p>
    <w:p w:rsidR="00B4443A" w:rsidRDefault="00B4443A"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219DF" w:rsidRPr="002219DF" w:rsidRDefault="002219DF" w:rsidP="002219DF">
      <w:pPr>
        <w:jc w:val="center"/>
        <w:rPr>
          <w:caps/>
          <w:szCs w:val="17"/>
        </w:rPr>
      </w:pPr>
      <w:r w:rsidRPr="002219DF">
        <w:rPr>
          <w:caps/>
          <w:szCs w:val="17"/>
        </w:rPr>
        <w:t>PETROLEUM AND GEOTHERMAL ENERGY ACT 2000</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2219DF">
        <w:rPr>
          <w:i/>
          <w:szCs w:val="17"/>
        </w:rPr>
        <w:t>Suspension of Petroleum Retention Licences</w:t>
      </w:r>
      <w:r w:rsidRPr="002219DF">
        <w:rPr>
          <w:i/>
          <w:szCs w:val="17"/>
        </w:rPr>
        <w:br/>
        <w:t>PRLs 238, 239, 240, 241, 242, 243 and 244</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2219DF">
        <w:rPr>
          <w:szCs w:val="17"/>
        </w:rPr>
        <w:t xml:space="preserve">Pursuant to section 90 of the </w:t>
      </w:r>
      <w:r w:rsidRPr="002219DF">
        <w:rPr>
          <w:i/>
          <w:szCs w:val="17"/>
        </w:rPr>
        <w:t>Petroleum and Geothermal Energy Act 2000</w:t>
      </w:r>
      <w:r w:rsidRPr="002219DF">
        <w:rPr>
          <w:szCs w:val="17"/>
        </w:rPr>
        <w:t>, notice is hereby given that the abovementioned Petroleum Retention Licences have been suspended from 3 April 2020 to 2 April 2021 inclusive, pursuant to delegated powers dated 29 June 2018.</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2219DF">
        <w:rPr>
          <w:szCs w:val="17"/>
        </w:rPr>
        <w:t>The expiry date of PRLs 238, 239, 240, 241, 242, 243 and 244 is now determined to be 13 November 2023.</w:t>
      </w:r>
    </w:p>
    <w:p w:rsidR="002219DF" w:rsidRPr="002219DF" w:rsidRDefault="002219DF" w:rsidP="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r w:rsidRPr="002219DF">
        <w:rPr>
          <w:szCs w:val="17"/>
        </w:rPr>
        <w:t>Dated: 29 May 2020</w:t>
      </w:r>
    </w:p>
    <w:p w:rsidR="002219DF" w:rsidRPr="002219DF" w:rsidRDefault="002219DF" w:rsidP="002219DF">
      <w:pPr>
        <w:spacing w:after="0"/>
        <w:jc w:val="right"/>
        <w:rPr>
          <w:smallCaps/>
          <w:szCs w:val="17"/>
        </w:rPr>
      </w:pPr>
      <w:r w:rsidRPr="002219DF">
        <w:rPr>
          <w:smallCaps/>
          <w:szCs w:val="17"/>
        </w:rPr>
        <w:t>Barry A. Goldstein</w:t>
      </w:r>
    </w:p>
    <w:p w:rsidR="002219DF" w:rsidRPr="002219DF" w:rsidRDefault="002219DF" w:rsidP="002219DF">
      <w:pPr>
        <w:spacing w:after="0"/>
        <w:jc w:val="right"/>
        <w:rPr>
          <w:szCs w:val="17"/>
        </w:rPr>
      </w:pPr>
      <w:r w:rsidRPr="002219DF">
        <w:rPr>
          <w:szCs w:val="17"/>
        </w:rPr>
        <w:t>Executive Director</w:t>
      </w:r>
    </w:p>
    <w:p w:rsidR="002219DF" w:rsidRPr="002219DF" w:rsidRDefault="002219DF" w:rsidP="002219DF">
      <w:pPr>
        <w:spacing w:after="0"/>
        <w:jc w:val="right"/>
        <w:rPr>
          <w:szCs w:val="17"/>
        </w:rPr>
      </w:pPr>
      <w:r w:rsidRPr="002219DF">
        <w:rPr>
          <w:szCs w:val="17"/>
        </w:rPr>
        <w:t>Energy Resources Division</w:t>
      </w:r>
    </w:p>
    <w:p w:rsidR="002219DF" w:rsidRPr="002219DF" w:rsidRDefault="002219DF" w:rsidP="002219DF">
      <w:pPr>
        <w:spacing w:after="0"/>
        <w:jc w:val="right"/>
        <w:rPr>
          <w:szCs w:val="17"/>
        </w:rPr>
      </w:pPr>
      <w:r w:rsidRPr="002219DF">
        <w:rPr>
          <w:szCs w:val="17"/>
        </w:rPr>
        <w:t>Department for Energy and Mining</w:t>
      </w:r>
    </w:p>
    <w:p w:rsidR="002219DF" w:rsidRDefault="002219DF" w:rsidP="002219DF">
      <w:pPr>
        <w:spacing w:after="0" w:line="259" w:lineRule="auto"/>
        <w:jc w:val="right"/>
        <w:rPr>
          <w:szCs w:val="17"/>
        </w:rPr>
      </w:pPr>
      <w:r w:rsidRPr="002219DF">
        <w:rPr>
          <w:szCs w:val="17"/>
        </w:rPr>
        <w:t>Delegate of the Minister for Energy and Mining</w:t>
      </w:r>
    </w:p>
    <w:p w:rsidR="002219DF" w:rsidRDefault="002219DF" w:rsidP="002219DF">
      <w:pPr>
        <w:pBdr>
          <w:bottom w:val="single" w:sz="4" w:space="1" w:color="auto"/>
        </w:pBdr>
        <w:spacing w:after="0" w:line="52" w:lineRule="exact"/>
        <w:jc w:val="center"/>
        <w:rPr>
          <w:lang w:val="en-US"/>
        </w:rPr>
      </w:pPr>
    </w:p>
    <w:p w:rsidR="002219DF" w:rsidRDefault="002219DF" w:rsidP="002219DF">
      <w:pPr>
        <w:pBdr>
          <w:top w:val="single" w:sz="4" w:space="1" w:color="auto"/>
        </w:pBdr>
        <w:spacing w:before="34" w:after="0" w:line="14" w:lineRule="exact"/>
        <w:jc w:val="center"/>
        <w:rPr>
          <w:lang w:val="en-US"/>
        </w:rPr>
      </w:pPr>
    </w:p>
    <w:p w:rsidR="002219DF" w:rsidRDefault="002219DF"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219DF" w:rsidRPr="002219DF" w:rsidRDefault="002219DF" w:rsidP="00DC3F27">
      <w:pPr>
        <w:pStyle w:val="Heading2"/>
      </w:pPr>
      <w:bookmarkStart w:id="22" w:name="_Toc42155340"/>
      <w:r w:rsidRPr="002219DF">
        <w:t>PHYLLOXERA AND GRAPE INDUSTRY ACT 1995</w:t>
      </w:r>
      <w:bookmarkEnd w:id="22"/>
    </w:p>
    <w:p w:rsidR="002219DF" w:rsidRPr="002219DF" w:rsidRDefault="002219DF" w:rsidP="002219DF">
      <w:pPr>
        <w:jc w:val="center"/>
        <w:rPr>
          <w:i/>
          <w:szCs w:val="17"/>
        </w:rPr>
      </w:pPr>
      <w:r w:rsidRPr="002219DF">
        <w:rPr>
          <w:i/>
          <w:szCs w:val="17"/>
        </w:rPr>
        <w:t>Contributions Towards Primary Functions Under the Act for Year 2019-2020</w:t>
      </w:r>
    </w:p>
    <w:p w:rsidR="002219DF" w:rsidRPr="002219DF" w:rsidRDefault="002219DF" w:rsidP="002219DF">
      <w:pPr>
        <w:rPr>
          <w:szCs w:val="17"/>
        </w:rPr>
      </w:pPr>
      <w:r w:rsidRPr="002219DF">
        <w:rPr>
          <w:szCs w:val="17"/>
        </w:rPr>
        <w:t>PURSUANT to section 23 of the above Act, the Phylloxera and Grape Industry Board trading as Vinehealth Australia gives notice that registered persons (being persons who are recorded in the Register established by the Board as owners of 0.5 hectares, or more of planted vines) must contribute to the costs of the Board’s primary functions for the year ending 30 April 2020.</w:t>
      </w:r>
    </w:p>
    <w:p w:rsidR="002219DF" w:rsidRPr="002219DF" w:rsidRDefault="002219DF" w:rsidP="002219DF">
      <w:pPr>
        <w:rPr>
          <w:szCs w:val="17"/>
        </w:rPr>
      </w:pPr>
      <w:r w:rsidRPr="002219DF">
        <w:rPr>
          <w:szCs w:val="17"/>
        </w:rPr>
        <w:t>The rules of calculation of such contributions are as follows:</w:t>
      </w:r>
    </w:p>
    <w:p w:rsidR="002219DF" w:rsidRPr="002219DF" w:rsidRDefault="002219DF" w:rsidP="00C2103E">
      <w:pPr>
        <w:numPr>
          <w:ilvl w:val="0"/>
          <w:numId w:val="38"/>
        </w:numPr>
        <w:tabs>
          <w:tab w:val="left" w:pos="567"/>
        </w:tabs>
        <w:spacing w:after="0"/>
        <w:ind w:left="567" w:hanging="425"/>
        <w:rPr>
          <w:szCs w:val="17"/>
        </w:rPr>
      </w:pPr>
      <w:r w:rsidRPr="002219DF">
        <w:rPr>
          <w:szCs w:val="17"/>
        </w:rPr>
        <w:t>Calculations will be based on the area of vines recorded in the Register as being owned by each person as at 30 April 2020.</w:t>
      </w:r>
    </w:p>
    <w:p w:rsidR="002219DF" w:rsidRPr="002219DF" w:rsidRDefault="002219DF" w:rsidP="00C2103E">
      <w:pPr>
        <w:numPr>
          <w:ilvl w:val="0"/>
          <w:numId w:val="38"/>
        </w:numPr>
        <w:tabs>
          <w:tab w:val="left" w:pos="567"/>
        </w:tabs>
        <w:spacing w:after="0"/>
        <w:ind w:left="567" w:hanging="425"/>
        <w:rPr>
          <w:szCs w:val="17"/>
        </w:rPr>
      </w:pPr>
      <w:r w:rsidRPr="002219DF">
        <w:rPr>
          <w:szCs w:val="17"/>
        </w:rPr>
        <w:t>The rate per hectare of vines will be $9.50 with a minimum contribution of $50.</w:t>
      </w:r>
    </w:p>
    <w:p w:rsidR="002219DF" w:rsidRPr="002219DF" w:rsidRDefault="002219DF" w:rsidP="00C2103E">
      <w:pPr>
        <w:numPr>
          <w:ilvl w:val="0"/>
          <w:numId w:val="38"/>
        </w:numPr>
        <w:tabs>
          <w:tab w:val="left" w:pos="567"/>
        </w:tabs>
        <w:spacing w:after="0"/>
        <w:ind w:left="567" w:hanging="425"/>
        <w:rPr>
          <w:szCs w:val="17"/>
        </w:rPr>
      </w:pPr>
      <w:r w:rsidRPr="002219DF">
        <w:rPr>
          <w:szCs w:val="17"/>
        </w:rPr>
        <w:t>Any fee for default or delay in contribution payment will be calculated on a per hectare basis.</w:t>
      </w:r>
    </w:p>
    <w:p w:rsidR="002219DF" w:rsidRPr="002219DF" w:rsidRDefault="002219DF" w:rsidP="00C2103E">
      <w:pPr>
        <w:numPr>
          <w:ilvl w:val="0"/>
          <w:numId w:val="38"/>
        </w:numPr>
        <w:tabs>
          <w:tab w:val="left" w:pos="567"/>
        </w:tabs>
        <w:ind w:left="567" w:hanging="425"/>
        <w:rPr>
          <w:szCs w:val="17"/>
        </w:rPr>
      </w:pPr>
      <w:r w:rsidRPr="002219DF">
        <w:rPr>
          <w:szCs w:val="17"/>
        </w:rPr>
        <w:t>The levy will be collected or recovered by the Commissioner of Land Tax on behalf of the Board as if the contribution were land tax and will be subject to the same penalties for delay or default in payment (section 23 (3) of the Act).</w:t>
      </w:r>
    </w:p>
    <w:p w:rsidR="002219DF" w:rsidRPr="002219DF" w:rsidRDefault="002219DF" w:rsidP="002219DF">
      <w:pPr>
        <w:rPr>
          <w:szCs w:val="17"/>
        </w:rPr>
      </w:pPr>
      <w:r w:rsidRPr="002219DF">
        <w:rPr>
          <w:szCs w:val="17"/>
        </w:rPr>
        <w:t>Notices of contributions will be forwarded by email or post to registered persons.</w:t>
      </w:r>
    </w:p>
    <w:p w:rsidR="002219DF" w:rsidRPr="002219DF" w:rsidRDefault="002219DF" w:rsidP="002219DF">
      <w:pPr>
        <w:spacing w:after="0"/>
        <w:rPr>
          <w:rFonts w:eastAsia="MS Mincho"/>
          <w:smallCaps/>
          <w:szCs w:val="17"/>
        </w:rPr>
      </w:pPr>
      <w:r w:rsidRPr="002219DF">
        <w:rPr>
          <w:rFonts w:eastAsia="MS Mincho"/>
          <w:szCs w:val="17"/>
        </w:rPr>
        <w:t>Dated: 1 June 2020</w:t>
      </w:r>
    </w:p>
    <w:p w:rsidR="002219DF" w:rsidRPr="002219DF" w:rsidRDefault="002219DF" w:rsidP="002219DF">
      <w:pPr>
        <w:spacing w:after="0"/>
        <w:jc w:val="right"/>
        <w:rPr>
          <w:rFonts w:eastAsia="MS Mincho"/>
          <w:smallCaps/>
          <w:szCs w:val="20"/>
        </w:rPr>
      </w:pPr>
      <w:r w:rsidRPr="002219DF">
        <w:rPr>
          <w:rFonts w:eastAsia="MS Mincho"/>
          <w:smallCaps/>
          <w:szCs w:val="20"/>
        </w:rPr>
        <w:t>Hon Tim Whetstone MP</w:t>
      </w:r>
    </w:p>
    <w:p w:rsidR="002219DF" w:rsidRDefault="002219DF" w:rsidP="002219DF">
      <w:pPr>
        <w:spacing w:after="10"/>
        <w:jc w:val="right"/>
        <w:rPr>
          <w:rFonts w:eastAsia="MS Mincho"/>
          <w:szCs w:val="17"/>
        </w:rPr>
      </w:pPr>
      <w:r w:rsidRPr="002219DF">
        <w:rPr>
          <w:rFonts w:eastAsia="MS Mincho"/>
          <w:szCs w:val="17"/>
        </w:rPr>
        <w:t>Minister for Primary Industries and Regional Development</w:t>
      </w:r>
    </w:p>
    <w:p w:rsidR="002219DF" w:rsidRDefault="002219DF" w:rsidP="002219DF">
      <w:pPr>
        <w:pBdr>
          <w:bottom w:val="single" w:sz="4" w:space="1" w:color="auto"/>
        </w:pBdr>
        <w:spacing w:after="0" w:line="52" w:lineRule="exact"/>
        <w:jc w:val="center"/>
        <w:rPr>
          <w:lang w:val="en-US"/>
        </w:rPr>
      </w:pPr>
    </w:p>
    <w:p w:rsidR="002219DF" w:rsidRDefault="002219DF" w:rsidP="002219DF">
      <w:pPr>
        <w:pBdr>
          <w:top w:val="single" w:sz="4" w:space="1" w:color="auto"/>
        </w:pBdr>
        <w:spacing w:before="34" w:after="0" w:line="14" w:lineRule="exact"/>
        <w:jc w:val="center"/>
        <w:rPr>
          <w:lang w:val="en-US"/>
        </w:rPr>
      </w:pPr>
    </w:p>
    <w:p w:rsidR="002219DF" w:rsidRDefault="002219DF"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219DF" w:rsidRDefault="002219DF" w:rsidP="00DC3F27">
      <w:pPr>
        <w:pStyle w:val="Heading2"/>
      </w:pPr>
      <w:bookmarkStart w:id="23" w:name="_Toc42155341"/>
      <w:r w:rsidRPr="002D1546">
        <w:t>Proof of Sunrise and Sunset Act 1923</w:t>
      </w:r>
      <w:bookmarkEnd w:id="23"/>
    </w:p>
    <w:p w:rsidR="002219DF" w:rsidRDefault="002219DF" w:rsidP="002219DF">
      <w:pPr>
        <w:pStyle w:val="GG-Title3"/>
      </w:pPr>
      <w:r w:rsidRPr="00106156">
        <w:t>Almanac for July, August and September 2020</w:t>
      </w:r>
    </w:p>
    <w:p w:rsidR="002219DF" w:rsidRPr="00152C85" w:rsidRDefault="002219DF" w:rsidP="002219DF">
      <w:pPr>
        <w:pStyle w:val="GG-body"/>
        <w:rPr>
          <w:spacing w:val="-1"/>
        </w:rPr>
      </w:pPr>
      <w:r w:rsidRPr="00106156">
        <w:rPr>
          <w:spacing w:val="-1"/>
        </w:rPr>
        <w:t>Pursuant to the requirements of the Proof of Sunrise and Sunset Act, 1923, I Anthony David Braxton-Smith, Chief Executive, Department of Planning, Transport and Infrastructure at the direction of the Honourable the Minister for Transport, publish in the Schedule hereto an almanac setting out the times of sunrise and sunset on every day for the three calendar months July, August and September 2020.</w:t>
      </w:r>
    </w:p>
    <w:p w:rsidR="002219DF" w:rsidRDefault="002219DF" w:rsidP="002219DF">
      <w:pPr>
        <w:pStyle w:val="GG-SDated"/>
      </w:pPr>
      <w:r>
        <w:t>Dated: 1</w:t>
      </w:r>
      <w:r w:rsidRPr="002D1546">
        <w:t xml:space="preserve"> </w:t>
      </w:r>
      <w:r>
        <w:t>June</w:t>
      </w:r>
      <w:r w:rsidRPr="002D1546">
        <w:t xml:space="preserve"> 2020</w:t>
      </w:r>
    </w:p>
    <w:p w:rsidR="002219DF" w:rsidRPr="002D1546" w:rsidRDefault="002219DF" w:rsidP="002219DF">
      <w:pPr>
        <w:pStyle w:val="GG-SName"/>
        <w:rPr>
          <w:szCs w:val="17"/>
        </w:rPr>
      </w:pPr>
      <w:r w:rsidRPr="002D1546">
        <w:rPr>
          <w:szCs w:val="17"/>
        </w:rPr>
        <w:t xml:space="preserve">A D </w:t>
      </w:r>
      <w:r>
        <w:t>Braxton-Smith</w:t>
      </w:r>
    </w:p>
    <w:p w:rsidR="002219DF" w:rsidRDefault="002219DF" w:rsidP="002219DF">
      <w:pPr>
        <w:pStyle w:val="GG-Signature"/>
      </w:pPr>
      <w:r w:rsidRPr="002D1546">
        <w:t>Chief Executive</w:t>
      </w:r>
    </w:p>
    <w:p w:rsidR="002219DF" w:rsidRDefault="002219DF" w:rsidP="002219DF">
      <w:pPr>
        <w:pStyle w:val="GG-Signature"/>
      </w:pPr>
      <w:r w:rsidRPr="002D1546">
        <w:t>Department of Planning, Transport and Infrastructure</w:t>
      </w:r>
    </w:p>
    <w:p w:rsidR="002219DF" w:rsidRDefault="002219DF" w:rsidP="002219DF">
      <w:pPr>
        <w:pStyle w:val="GG-Signature"/>
        <w:pBdr>
          <w:top w:val="single" w:sz="4" w:space="1" w:color="auto"/>
        </w:pBdr>
        <w:spacing w:before="100" w:after="80" w:line="14" w:lineRule="exact"/>
        <w:ind w:left="1080" w:right="1080"/>
        <w:jc w:val="center"/>
      </w:pPr>
    </w:p>
    <w:p w:rsidR="002219DF" w:rsidRDefault="002219DF" w:rsidP="002219DF">
      <w:pPr>
        <w:pStyle w:val="GG-Title2"/>
      </w:pPr>
      <w:r>
        <w:t xml:space="preserve">Sunrise &amp; </w:t>
      </w:r>
      <w:r w:rsidR="00C2103E">
        <w:t xml:space="preserve">Sunset Times </w:t>
      </w:r>
      <w:r>
        <w:t>for Adelaide 2020</w:t>
      </w:r>
    </w:p>
    <w:p w:rsidR="002219DF" w:rsidRDefault="002219DF" w:rsidP="002219DF">
      <w:pPr>
        <w:pStyle w:val="GG-body"/>
      </w:pPr>
      <w:r>
        <w:t>Latitude: South 34˚ 56' Longitude: East 138˚ 36'</w:t>
      </w:r>
    </w:p>
    <w:p w:rsidR="002219DF" w:rsidRDefault="002219DF" w:rsidP="002219DF">
      <w:pPr>
        <w:pStyle w:val="GG-body"/>
      </w:pPr>
      <w:r>
        <w:t xml:space="preserve">GMT +9.50 </w:t>
      </w:r>
      <w:r w:rsidRPr="00A07025">
        <w:t>hours</w:t>
      </w:r>
      <w:r>
        <w:t xml:space="preserve"> (Daylight saving GMT +10.5 hours)</w:t>
      </w: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386"/>
        <w:gridCol w:w="471"/>
        <w:gridCol w:w="222"/>
        <w:gridCol w:w="386"/>
        <w:gridCol w:w="471"/>
        <w:gridCol w:w="222"/>
        <w:gridCol w:w="386"/>
        <w:gridCol w:w="471"/>
        <w:gridCol w:w="222"/>
        <w:gridCol w:w="386"/>
        <w:gridCol w:w="471"/>
        <w:gridCol w:w="222"/>
        <w:gridCol w:w="386"/>
        <w:gridCol w:w="471"/>
        <w:gridCol w:w="222"/>
        <w:gridCol w:w="386"/>
        <w:gridCol w:w="471"/>
      </w:tblGrid>
      <w:tr w:rsidR="002219DF" w:rsidRPr="002326E4" w:rsidTr="002219DF">
        <w:trPr>
          <w:trHeight w:val="170"/>
          <w:tblHeader/>
        </w:trPr>
        <w:tc>
          <w:tcPr>
            <w:tcW w:w="556" w:type="dxa"/>
            <w:tcBorders>
              <w:top w:val="single" w:sz="4" w:space="0" w:color="auto"/>
            </w:tcBorders>
            <w:noWrap/>
            <w:vAlign w:val="center"/>
            <w:hideMark/>
          </w:tcPr>
          <w:p w:rsidR="002219DF" w:rsidRPr="002326E4" w:rsidRDefault="002219DF" w:rsidP="002219DF">
            <w:pPr>
              <w:pStyle w:val="GG-body"/>
              <w:spacing w:before="20" w:after="20"/>
              <w:ind w:left="-16"/>
              <w:jc w:val="center"/>
              <w:rPr>
                <w:b/>
              </w:rPr>
            </w:pPr>
          </w:p>
        </w:tc>
        <w:tc>
          <w:tcPr>
            <w:tcW w:w="0" w:type="auto"/>
            <w:gridSpan w:val="5"/>
            <w:tcBorders>
              <w:top w:val="single" w:sz="4" w:space="0" w:color="auto"/>
            </w:tcBorders>
            <w:noWrap/>
            <w:vAlign w:val="center"/>
            <w:hideMark/>
          </w:tcPr>
          <w:p w:rsidR="002219DF" w:rsidRPr="002326E4" w:rsidRDefault="002219DF" w:rsidP="002219DF">
            <w:pPr>
              <w:pStyle w:val="GG-body"/>
              <w:spacing w:before="20" w:after="20"/>
              <w:jc w:val="center"/>
              <w:rPr>
                <w:b/>
              </w:rPr>
            </w:pPr>
            <w:r w:rsidRPr="002326E4">
              <w:rPr>
                <w:b/>
              </w:rPr>
              <w:t>July</w:t>
            </w:r>
          </w:p>
        </w:tc>
        <w:tc>
          <w:tcPr>
            <w:tcW w:w="0" w:type="auto"/>
            <w:tcBorders>
              <w:top w:val="single" w:sz="4" w:space="0" w:color="auto"/>
            </w:tcBorders>
            <w:noWrap/>
            <w:vAlign w:val="center"/>
            <w:hideMark/>
          </w:tcPr>
          <w:p w:rsidR="002219DF" w:rsidRPr="002326E4" w:rsidRDefault="002219DF" w:rsidP="002219DF">
            <w:pPr>
              <w:pStyle w:val="GG-body"/>
              <w:spacing w:before="20" w:after="20"/>
              <w:jc w:val="center"/>
              <w:rPr>
                <w:b/>
              </w:rPr>
            </w:pPr>
          </w:p>
        </w:tc>
        <w:tc>
          <w:tcPr>
            <w:tcW w:w="0" w:type="auto"/>
            <w:gridSpan w:val="5"/>
            <w:tcBorders>
              <w:top w:val="single" w:sz="4" w:space="0" w:color="auto"/>
            </w:tcBorders>
            <w:noWrap/>
            <w:vAlign w:val="center"/>
            <w:hideMark/>
          </w:tcPr>
          <w:p w:rsidR="002219DF" w:rsidRPr="002326E4" w:rsidRDefault="002219DF" w:rsidP="002219DF">
            <w:pPr>
              <w:pStyle w:val="GG-body"/>
              <w:spacing w:before="20" w:after="20"/>
              <w:jc w:val="center"/>
              <w:rPr>
                <w:b/>
              </w:rPr>
            </w:pPr>
            <w:r w:rsidRPr="002326E4">
              <w:rPr>
                <w:b/>
              </w:rPr>
              <w:t>August</w:t>
            </w:r>
          </w:p>
        </w:tc>
        <w:tc>
          <w:tcPr>
            <w:tcW w:w="0" w:type="auto"/>
            <w:tcBorders>
              <w:top w:val="single" w:sz="4" w:space="0" w:color="auto"/>
            </w:tcBorders>
            <w:noWrap/>
            <w:vAlign w:val="center"/>
            <w:hideMark/>
          </w:tcPr>
          <w:p w:rsidR="002219DF" w:rsidRPr="002326E4" w:rsidRDefault="002219DF" w:rsidP="002219DF">
            <w:pPr>
              <w:pStyle w:val="GG-body"/>
              <w:spacing w:before="20" w:after="20"/>
              <w:jc w:val="center"/>
              <w:rPr>
                <w:b/>
              </w:rPr>
            </w:pPr>
          </w:p>
        </w:tc>
        <w:tc>
          <w:tcPr>
            <w:tcW w:w="0" w:type="auto"/>
            <w:gridSpan w:val="5"/>
            <w:tcBorders>
              <w:top w:val="single" w:sz="4" w:space="0" w:color="auto"/>
            </w:tcBorders>
            <w:noWrap/>
            <w:vAlign w:val="center"/>
            <w:hideMark/>
          </w:tcPr>
          <w:p w:rsidR="002219DF" w:rsidRPr="002326E4" w:rsidRDefault="002219DF" w:rsidP="002219DF">
            <w:pPr>
              <w:pStyle w:val="GG-body"/>
              <w:spacing w:before="20" w:after="20"/>
              <w:jc w:val="center"/>
              <w:rPr>
                <w:b/>
              </w:rPr>
            </w:pPr>
            <w:r w:rsidRPr="002326E4">
              <w:rPr>
                <w:b/>
              </w:rPr>
              <w:t>September</w:t>
            </w:r>
          </w:p>
        </w:tc>
      </w:tr>
      <w:tr w:rsidR="002219DF" w:rsidRPr="002326E4" w:rsidTr="002219DF">
        <w:trPr>
          <w:trHeight w:val="170"/>
          <w:tblHeader/>
        </w:trPr>
        <w:tc>
          <w:tcPr>
            <w:tcW w:w="556" w:type="dxa"/>
            <w:noWrap/>
            <w:vAlign w:val="center"/>
            <w:hideMark/>
          </w:tcPr>
          <w:p w:rsidR="002219DF" w:rsidRPr="002326E4" w:rsidRDefault="002219DF" w:rsidP="002219DF">
            <w:pPr>
              <w:pStyle w:val="GG-body"/>
              <w:spacing w:after="0"/>
              <w:contextualSpacing/>
              <w:jc w:val="left"/>
            </w:pPr>
          </w:p>
        </w:tc>
        <w:tc>
          <w:tcPr>
            <w:tcW w:w="0" w:type="auto"/>
            <w:gridSpan w:val="2"/>
            <w:noWrap/>
            <w:vAlign w:val="center"/>
            <w:hideMark/>
          </w:tcPr>
          <w:p w:rsidR="002219DF" w:rsidRPr="002326E4" w:rsidRDefault="002219DF" w:rsidP="002219DF">
            <w:pPr>
              <w:pStyle w:val="GG-body"/>
              <w:spacing w:before="20" w:after="20"/>
              <w:jc w:val="center"/>
              <w:rPr>
                <w:b/>
              </w:rPr>
            </w:pPr>
            <w:r w:rsidRPr="002326E4">
              <w:rPr>
                <w:b/>
              </w:rPr>
              <w:t>Rise</w:t>
            </w:r>
          </w:p>
        </w:tc>
        <w:tc>
          <w:tcPr>
            <w:tcW w:w="0" w:type="auto"/>
            <w:noWrap/>
            <w:vAlign w:val="center"/>
            <w:hideMark/>
          </w:tcPr>
          <w:p w:rsidR="002219DF" w:rsidRPr="002326E4" w:rsidRDefault="002219DF" w:rsidP="002219DF">
            <w:pPr>
              <w:pStyle w:val="GG-body"/>
              <w:spacing w:before="20" w:after="20"/>
              <w:jc w:val="center"/>
              <w:rPr>
                <w:b/>
              </w:rPr>
            </w:pPr>
          </w:p>
        </w:tc>
        <w:tc>
          <w:tcPr>
            <w:tcW w:w="0" w:type="auto"/>
            <w:gridSpan w:val="2"/>
            <w:noWrap/>
            <w:vAlign w:val="center"/>
            <w:hideMark/>
          </w:tcPr>
          <w:p w:rsidR="002219DF" w:rsidRPr="002326E4" w:rsidRDefault="002219DF" w:rsidP="002219DF">
            <w:pPr>
              <w:pStyle w:val="GG-body"/>
              <w:spacing w:before="20" w:after="20"/>
              <w:jc w:val="center"/>
              <w:rPr>
                <w:b/>
              </w:rPr>
            </w:pPr>
            <w:r w:rsidRPr="002326E4">
              <w:rPr>
                <w:b/>
              </w:rPr>
              <w:t>Set</w:t>
            </w:r>
          </w:p>
        </w:tc>
        <w:tc>
          <w:tcPr>
            <w:tcW w:w="0" w:type="auto"/>
            <w:noWrap/>
            <w:vAlign w:val="center"/>
            <w:hideMark/>
          </w:tcPr>
          <w:p w:rsidR="002219DF" w:rsidRPr="002326E4" w:rsidRDefault="002219DF" w:rsidP="002219DF">
            <w:pPr>
              <w:pStyle w:val="GG-body"/>
              <w:spacing w:before="20" w:after="20"/>
              <w:jc w:val="center"/>
              <w:rPr>
                <w:b/>
              </w:rPr>
            </w:pPr>
          </w:p>
        </w:tc>
        <w:tc>
          <w:tcPr>
            <w:tcW w:w="0" w:type="auto"/>
            <w:gridSpan w:val="2"/>
            <w:noWrap/>
            <w:vAlign w:val="center"/>
            <w:hideMark/>
          </w:tcPr>
          <w:p w:rsidR="002219DF" w:rsidRPr="002326E4" w:rsidRDefault="002219DF" w:rsidP="002219DF">
            <w:pPr>
              <w:pStyle w:val="GG-body"/>
              <w:spacing w:before="20" w:after="20"/>
              <w:jc w:val="center"/>
              <w:rPr>
                <w:b/>
              </w:rPr>
            </w:pPr>
            <w:r w:rsidRPr="002326E4">
              <w:rPr>
                <w:b/>
              </w:rPr>
              <w:t>Rise</w:t>
            </w:r>
          </w:p>
        </w:tc>
        <w:tc>
          <w:tcPr>
            <w:tcW w:w="0" w:type="auto"/>
            <w:noWrap/>
            <w:vAlign w:val="center"/>
            <w:hideMark/>
          </w:tcPr>
          <w:p w:rsidR="002219DF" w:rsidRPr="002326E4" w:rsidRDefault="002219DF" w:rsidP="002219DF">
            <w:pPr>
              <w:pStyle w:val="GG-body"/>
              <w:spacing w:before="20" w:after="20"/>
              <w:jc w:val="center"/>
              <w:rPr>
                <w:b/>
              </w:rPr>
            </w:pPr>
          </w:p>
        </w:tc>
        <w:tc>
          <w:tcPr>
            <w:tcW w:w="0" w:type="auto"/>
            <w:gridSpan w:val="2"/>
            <w:noWrap/>
            <w:vAlign w:val="center"/>
            <w:hideMark/>
          </w:tcPr>
          <w:p w:rsidR="002219DF" w:rsidRPr="002326E4" w:rsidRDefault="002219DF" w:rsidP="002219DF">
            <w:pPr>
              <w:pStyle w:val="GG-body"/>
              <w:spacing w:before="20" w:after="20"/>
              <w:jc w:val="center"/>
              <w:rPr>
                <w:b/>
              </w:rPr>
            </w:pPr>
            <w:r w:rsidRPr="002326E4">
              <w:rPr>
                <w:b/>
              </w:rPr>
              <w:t>Set</w:t>
            </w:r>
          </w:p>
        </w:tc>
        <w:tc>
          <w:tcPr>
            <w:tcW w:w="0" w:type="auto"/>
            <w:noWrap/>
            <w:vAlign w:val="center"/>
            <w:hideMark/>
          </w:tcPr>
          <w:p w:rsidR="002219DF" w:rsidRPr="002326E4" w:rsidRDefault="002219DF" w:rsidP="002219DF">
            <w:pPr>
              <w:pStyle w:val="GG-body"/>
              <w:spacing w:before="20" w:after="20"/>
              <w:jc w:val="center"/>
              <w:rPr>
                <w:b/>
              </w:rPr>
            </w:pPr>
          </w:p>
        </w:tc>
        <w:tc>
          <w:tcPr>
            <w:tcW w:w="0" w:type="auto"/>
            <w:gridSpan w:val="2"/>
            <w:noWrap/>
            <w:vAlign w:val="center"/>
            <w:hideMark/>
          </w:tcPr>
          <w:p w:rsidR="002219DF" w:rsidRPr="002326E4" w:rsidRDefault="002219DF" w:rsidP="002219DF">
            <w:pPr>
              <w:pStyle w:val="GG-body"/>
              <w:spacing w:before="20" w:after="20"/>
              <w:jc w:val="center"/>
              <w:rPr>
                <w:b/>
              </w:rPr>
            </w:pPr>
            <w:r w:rsidRPr="002326E4">
              <w:rPr>
                <w:b/>
              </w:rPr>
              <w:t>Rise</w:t>
            </w:r>
          </w:p>
        </w:tc>
        <w:tc>
          <w:tcPr>
            <w:tcW w:w="0" w:type="auto"/>
            <w:noWrap/>
            <w:vAlign w:val="center"/>
            <w:hideMark/>
          </w:tcPr>
          <w:p w:rsidR="002219DF" w:rsidRPr="002326E4" w:rsidRDefault="002219DF" w:rsidP="002219DF">
            <w:pPr>
              <w:pStyle w:val="GG-body"/>
              <w:spacing w:before="20" w:after="20"/>
              <w:jc w:val="center"/>
              <w:rPr>
                <w:b/>
              </w:rPr>
            </w:pPr>
          </w:p>
        </w:tc>
        <w:tc>
          <w:tcPr>
            <w:tcW w:w="0" w:type="auto"/>
            <w:gridSpan w:val="2"/>
            <w:noWrap/>
            <w:vAlign w:val="center"/>
            <w:hideMark/>
          </w:tcPr>
          <w:p w:rsidR="002219DF" w:rsidRPr="002326E4" w:rsidRDefault="002219DF" w:rsidP="002219DF">
            <w:pPr>
              <w:pStyle w:val="GG-body"/>
              <w:spacing w:before="20" w:after="20"/>
              <w:jc w:val="center"/>
              <w:rPr>
                <w:b/>
              </w:rPr>
            </w:pPr>
            <w:r w:rsidRPr="002326E4">
              <w:rPr>
                <w:b/>
              </w:rPr>
              <w:t>Set</w:t>
            </w:r>
          </w:p>
        </w:tc>
      </w:tr>
      <w:tr w:rsidR="002219DF" w:rsidRPr="002326E4" w:rsidTr="002219DF">
        <w:trPr>
          <w:trHeight w:val="170"/>
          <w:tblHeader/>
        </w:trPr>
        <w:tc>
          <w:tcPr>
            <w:tcW w:w="556" w:type="dxa"/>
            <w:tcBorders>
              <w:bottom w:val="single" w:sz="4" w:space="0" w:color="auto"/>
            </w:tcBorders>
            <w:noWrap/>
            <w:vAlign w:val="center"/>
            <w:hideMark/>
          </w:tcPr>
          <w:p w:rsidR="002219DF" w:rsidRPr="002326E4" w:rsidRDefault="002219DF" w:rsidP="002219DF">
            <w:pPr>
              <w:pStyle w:val="GG-body"/>
              <w:spacing w:before="20" w:after="20"/>
              <w:jc w:val="center"/>
              <w:rPr>
                <w:b/>
              </w:rPr>
            </w:pPr>
            <w:r w:rsidRPr="002326E4">
              <w:rPr>
                <w:b/>
              </w:rPr>
              <w:t>Date</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hr</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min</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hr</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min</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hr</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min</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hr</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min</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hr</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min</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hr</w:t>
            </w:r>
          </w:p>
        </w:tc>
        <w:tc>
          <w:tcPr>
            <w:tcW w:w="0" w:type="auto"/>
            <w:tcBorders>
              <w:bottom w:val="single" w:sz="4" w:space="0" w:color="auto"/>
            </w:tcBorders>
            <w:noWrap/>
            <w:vAlign w:val="center"/>
            <w:hideMark/>
          </w:tcPr>
          <w:p w:rsidR="002219DF" w:rsidRPr="002326E4" w:rsidRDefault="002219DF" w:rsidP="002219DF">
            <w:pPr>
              <w:pStyle w:val="GG-body"/>
              <w:spacing w:before="20" w:after="20"/>
              <w:jc w:val="center"/>
              <w:rPr>
                <w:i/>
              </w:rPr>
            </w:pPr>
            <w:r w:rsidRPr="002326E4">
              <w:rPr>
                <w:i/>
              </w:rPr>
              <w:t>min</w:t>
            </w:r>
          </w:p>
        </w:tc>
      </w:tr>
      <w:tr w:rsidR="002219DF" w:rsidRPr="002326E4" w:rsidTr="002219DF">
        <w:trPr>
          <w:trHeight w:val="170"/>
        </w:trPr>
        <w:tc>
          <w:tcPr>
            <w:tcW w:w="556" w:type="dxa"/>
            <w:tcBorders>
              <w:top w:val="single" w:sz="4" w:space="0" w:color="auto"/>
            </w:tcBorders>
            <w:noWrap/>
            <w:hideMark/>
          </w:tcPr>
          <w:p w:rsidR="002219DF" w:rsidRPr="002326E4" w:rsidRDefault="002219DF" w:rsidP="002219DF">
            <w:pPr>
              <w:pStyle w:val="GG-body"/>
              <w:spacing w:before="20" w:after="20"/>
            </w:pPr>
            <w:r w:rsidRPr="002326E4">
              <w:t>1</w:t>
            </w:r>
          </w:p>
        </w:tc>
        <w:tc>
          <w:tcPr>
            <w:tcW w:w="0" w:type="auto"/>
            <w:tcBorders>
              <w:top w:val="single" w:sz="4" w:space="0" w:color="auto"/>
            </w:tcBorders>
            <w:noWrap/>
            <w:hideMark/>
          </w:tcPr>
          <w:p w:rsidR="002219DF" w:rsidRPr="002326E4" w:rsidRDefault="002219DF" w:rsidP="002219DF">
            <w:pPr>
              <w:pStyle w:val="GG-body"/>
              <w:spacing w:before="20" w:after="20"/>
            </w:pPr>
            <w:r w:rsidRPr="002326E4">
              <w:t>07</w:t>
            </w:r>
          </w:p>
        </w:tc>
        <w:tc>
          <w:tcPr>
            <w:tcW w:w="0" w:type="auto"/>
            <w:tcBorders>
              <w:top w:val="single" w:sz="4" w:space="0" w:color="auto"/>
            </w:tcBorders>
            <w:noWrap/>
            <w:hideMark/>
          </w:tcPr>
          <w:p w:rsidR="002219DF" w:rsidRPr="002326E4" w:rsidRDefault="002219DF" w:rsidP="002219DF">
            <w:pPr>
              <w:pStyle w:val="GG-body"/>
              <w:spacing w:before="20" w:after="20"/>
            </w:pPr>
            <w:r w:rsidRPr="002326E4">
              <w:t>24</w:t>
            </w:r>
          </w:p>
        </w:tc>
        <w:tc>
          <w:tcPr>
            <w:tcW w:w="0" w:type="auto"/>
            <w:tcBorders>
              <w:top w:val="single" w:sz="4" w:space="0" w:color="auto"/>
            </w:tcBorders>
            <w:noWrap/>
            <w:hideMark/>
          </w:tcPr>
          <w:p w:rsidR="002219DF" w:rsidRPr="002326E4" w:rsidRDefault="002219DF" w:rsidP="002219DF">
            <w:pPr>
              <w:pStyle w:val="GG-body"/>
              <w:spacing w:before="20" w:after="20"/>
            </w:pPr>
          </w:p>
        </w:tc>
        <w:tc>
          <w:tcPr>
            <w:tcW w:w="0" w:type="auto"/>
            <w:tcBorders>
              <w:top w:val="single" w:sz="4" w:space="0" w:color="auto"/>
            </w:tcBorders>
            <w:noWrap/>
            <w:hideMark/>
          </w:tcPr>
          <w:p w:rsidR="002219DF" w:rsidRPr="002326E4" w:rsidRDefault="002219DF" w:rsidP="002219DF">
            <w:pPr>
              <w:pStyle w:val="GG-body"/>
              <w:spacing w:before="20" w:after="20"/>
            </w:pPr>
            <w:r w:rsidRPr="002326E4">
              <w:t>17</w:t>
            </w:r>
          </w:p>
        </w:tc>
        <w:tc>
          <w:tcPr>
            <w:tcW w:w="0" w:type="auto"/>
            <w:tcBorders>
              <w:top w:val="single" w:sz="4" w:space="0" w:color="auto"/>
            </w:tcBorders>
            <w:noWrap/>
            <w:hideMark/>
          </w:tcPr>
          <w:p w:rsidR="002219DF" w:rsidRPr="002326E4" w:rsidRDefault="002219DF" w:rsidP="002219DF">
            <w:pPr>
              <w:pStyle w:val="GG-body"/>
              <w:spacing w:before="20" w:after="20"/>
            </w:pPr>
            <w:r w:rsidRPr="002326E4">
              <w:t>15</w:t>
            </w:r>
          </w:p>
        </w:tc>
        <w:tc>
          <w:tcPr>
            <w:tcW w:w="0" w:type="auto"/>
            <w:tcBorders>
              <w:top w:val="single" w:sz="4" w:space="0" w:color="auto"/>
            </w:tcBorders>
            <w:noWrap/>
            <w:hideMark/>
          </w:tcPr>
          <w:p w:rsidR="002219DF" w:rsidRPr="002326E4" w:rsidRDefault="002219DF" w:rsidP="002219DF">
            <w:pPr>
              <w:pStyle w:val="GG-body"/>
              <w:spacing w:before="20" w:after="20"/>
            </w:pPr>
          </w:p>
        </w:tc>
        <w:tc>
          <w:tcPr>
            <w:tcW w:w="0" w:type="auto"/>
            <w:tcBorders>
              <w:top w:val="single" w:sz="4" w:space="0" w:color="auto"/>
            </w:tcBorders>
            <w:noWrap/>
            <w:hideMark/>
          </w:tcPr>
          <w:p w:rsidR="002219DF" w:rsidRPr="002326E4" w:rsidRDefault="002219DF" w:rsidP="002219DF">
            <w:pPr>
              <w:pStyle w:val="GG-body"/>
              <w:spacing w:before="20" w:after="20"/>
            </w:pPr>
            <w:r w:rsidRPr="002326E4">
              <w:t>07</w:t>
            </w:r>
          </w:p>
        </w:tc>
        <w:tc>
          <w:tcPr>
            <w:tcW w:w="0" w:type="auto"/>
            <w:tcBorders>
              <w:top w:val="single" w:sz="4" w:space="0" w:color="auto"/>
            </w:tcBorders>
            <w:noWrap/>
            <w:hideMark/>
          </w:tcPr>
          <w:p w:rsidR="002219DF" w:rsidRPr="002326E4" w:rsidRDefault="002219DF" w:rsidP="002219DF">
            <w:pPr>
              <w:pStyle w:val="GG-body"/>
              <w:spacing w:before="20" w:after="20"/>
            </w:pPr>
            <w:r w:rsidRPr="002326E4">
              <w:t>10</w:t>
            </w:r>
          </w:p>
        </w:tc>
        <w:tc>
          <w:tcPr>
            <w:tcW w:w="0" w:type="auto"/>
            <w:tcBorders>
              <w:top w:val="single" w:sz="4" w:space="0" w:color="auto"/>
            </w:tcBorders>
            <w:noWrap/>
            <w:hideMark/>
          </w:tcPr>
          <w:p w:rsidR="002219DF" w:rsidRPr="002326E4" w:rsidRDefault="002219DF" w:rsidP="002219DF">
            <w:pPr>
              <w:pStyle w:val="GG-body"/>
              <w:spacing w:before="20" w:after="20"/>
            </w:pPr>
          </w:p>
        </w:tc>
        <w:tc>
          <w:tcPr>
            <w:tcW w:w="0" w:type="auto"/>
            <w:tcBorders>
              <w:top w:val="single" w:sz="4" w:space="0" w:color="auto"/>
            </w:tcBorders>
            <w:noWrap/>
            <w:hideMark/>
          </w:tcPr>
          <w:p w:rsidR="002219DF" w:rsidRPr="002326E4" w:rsidRDefault="002219DF" w:rsidP="002219DF">
            <w:pPr>
              <w:pStyle w:val="GG-body"/>
              <w:spacing w:before="20" w:after="20"/>
            </w:pPr>
            <w:r w:rsidRPr="002326E4">
              <w:t>17</w:t>
            </w:r>
          </w:p>
        </w:tc>
        <w:tc>
          <w:tcPr>
            <w:tcW w:w="0" w:type="auto"/>
            <w:tcBorders>
              <w:top w:val="single" w:sz="4" w:space="0" w:color="auto"/>
            </w:tcBorders>
            <w:noWrap/>
            <w:hideMark/>
          </w:tcPr>
          <w:p w:rsidR="002219DF" w:rsidRPr="002326E4" w:rsidRDefault="002219DF" w:rsidP="002219DF">
            <w:pPr>
              <w:pStyle w:val="GG-body"/>
              <w:spacing w:before="20" w:after="20"/>
            </w:pPr>
            <w:r w:rsidRPr="002326E4">
              <w:t>34</w:t>
            </w:r>
          </w:p>
        </w:tc>
        <w:tc>
          <w:tcPr>
            <w:tcW w:w="0" w:type="auto"/>
            <w:tcBorders>
              <w:top w:val="single" w:sz="4" w:space="0" w:color="auto"/>
            </w:tcBorders>
            <w:noWrap/>
            <w:hideMark/>
          </w:tcPr>
          <w:p w:rsidR="002219DF" w:rsidRPr="002326E4" w:rsidRDefault="002219DF" w:rsidP="002219DF">
            <w:pPr>
              <w:pStyle w:val="GG-body"/>
              <w:spacing w:before="20" w:after="20"/>
            </w:pPr>
          </w:p>
        </w:tc>
        <w:tc>
          <w:tcPr>
            <w:tcW w:w="0" w:type="auto"/>
            <w:tcBorders>
              <w:top w:val="single" w:sz="4" w:space="0" w:color="auto"/>
            </w:tcBorders>
            <w:noWrap/>
            <w:hideMark/>
          </w:tcPr>
          <w:p w:rsidR="002219DF" w:rsidRPr="002326E4" w:rsidRDefault="002219DF" w:rsidP="002219DF">
            <w:pPr>
              <w:pStyle w:val="GG-body"/>
              <w:spacing w:before="20" w:after="20"/>
            </w:pPr>
            <w:r w:rsidRPr="002326E4">
              <w:t>06</w:t>
            </w:r>
          </w:p>
        </w:tc>
        <w:tc>
          <w:tcPr>
            <w:tcW w:w="0" w:type="auto"/>
            <w:tcBorders>
              <w:top w:val="single" w:sz="4" w:space="0" w:color="auto"/>
            </w:tcBorders>
            <w:noWrap/>
            <w:hideMark/>
          </w:tcPr>
          <w:p w:rsidR="002219DF" w:rsidRPr="002326E4" w:rsidRDefault="002219DF" w:rsidP="002219DF">
            <w:pPr>
              <w:pStyle w:val="GG-body"/>
              <w:spacing w:before="20" w:after="20"/>
            </w:pPr>
            <w:r w:rsidRPr="002326E4">
              <w:t>35</w:t>
            </w:r>
          </w:p>
        </w:tc>
        <w:tc>
          <w:tcPr>
            <w:tcW w:w="0" w:type="auto"/>
            <w:tcBorders>
              <w:top w:val="single" w:sz="4" w:space="0" w:color="auto"/>
            </w:tcBorders>
            <w:noWrap/>
            <w:hideMark/>
          </w:tcPr>
          <w:p w:rsidR="002219DF" w:rsidRPr="002326E4" w:rsidRDefault="002219DF" w:rsidP="002219DF">
            <w:pPr>
              <w:pStyle w:val="GG-body"/>
              <w:spacing w:before="20" w:after="20"/>
            </w:pPr>
          </w:p>
        </w:tc>
        <w:tc>
          <w:tcPr>
            <w:tcW w:w="0" w:type="auto"/>
            <w:tcBorders>
              <w:top w:val="single" w:sz="4" w:space="0" w:color="auto"/>
            </w:tcBorders>
            <w:noWrap/>
            <w:hideMark/>
          </w:tcPr>
          <w:p w:rsidR="002219DF" w:rsidRPr="002326E4" w:rsidRDefault="002219DF" w:rsidP="002219DF">
            <w:pPr>
              <w:pStyle w:val="GG-body"/>
              <w:spacing w:before="20" w:after="20"/>
            </w:pPr>
            <w:r w:rsidRPr="002326E4">
              <w:t>17</w:t>
            </w:r>
          </w:p>
        </w:tc>
        <w:tc>
          <w:tcPr>
            <w:tcW w:w="0" w:type="auto"/>
            <w:tcBorders>
              <w:top w:val="single" w:sz="4" w:space="0" w:color="auto"/>
            </w:tcBorders>
            <w:noWrap/>
            <w:hideMark/>
          </w:tcPr>
          <w:p w:rsidR="002219DF" w:rsidRPr="002326E4" w:rsidRDefault="002219DF" w:rsidP="002219DF">
            <w:pPr>
              <w:pStyle w:val="GG-body"/>
              <w:spacing w:before="20" w:after="20"/>
            </w:pPr>
            <w:r w:rsidRPr="002326E4">
              <w:t>57</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33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58</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3</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32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58</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4</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31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59</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5</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29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00</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6</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28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00</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7</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26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01</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lastRenderedPageBreak/>
              <w:t>8</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25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02</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9</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03</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10</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19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22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03</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11</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00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21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04</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12</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19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05</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13</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05</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14</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06</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15</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15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07</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16</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14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08</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12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08</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20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11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09</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19</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09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10</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20</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50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08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11</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21</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49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49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11</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22</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48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05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12</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23</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46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04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13</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24</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45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02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14</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25</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29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44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01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14</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26</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43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05</w:t>
            </w:r>
          </w:p>
        </w:tc>
        <w:tc>
          <w:tcPr>
            <w:tcW w:w="0" w:type="auto"/>
            <w:noWrap/>
            <w:hideMark/>
          </w:tcPr>
          <w:p w:rsidR="002219DF" w:rsidRPr="002326E4" w:rsidRDefault="002219DF" w:rsidP="002219DF">
            <w:pPr>
              <w:pStyle w:val="GG-body"/>
              <w:spacing w:before="20" w:after="20"/>
            </w:pPr>
            <w:r w:rsidRPr="002326E4">
              <w:t>59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15</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27</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41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05</w:t>
            </w:r>
          </w:p>
        </w:tc>
        <w:tc>
          <w:tcPr>
            <w:tcW w:w="0" w:type="auto"/>
            <w:noWrap/>
            <w:hideMark/>
          </w:tcPr>
          <w:p w:rsidR="002219DF" w:rsidRPr="002326E4" w:rsidRDefault="002219DF" w:rsidP="002219DF">
            <w:pPr>
              <w:pStyle w:val="GG-body"/>
              <w:spacing w:before="20" w:after="20"/>
            </w:pPr>
            <w:r w:rsidRPr="002326E4">
              <w:t>58</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16</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28</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31</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40</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05</w:t>
            </w:r>
          </w:p>
        </w:tc>
        <w:tc>
          <w:tcPr>
            <w:tcW w:w="0" w:type="auto"/>
            <w:noWrap/>
            <w:hideMark/>
          </w:tcPr>
          <w:p w:rsidR="002219DF" w:rsidRPr="002326E4" w:rsidRDefault="002219DF" w:rsidP="002219DF">
            <w:pPr>
              <w:pStyle w:val="GG-body"/>
              <w:spacing w:before="20" w:after="20"/>
            </w:pPr>
            <w:r w:rsidRPr="002326E4">
              <w:t>56</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16</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29</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39</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05</w:t>
            </w:r>
          </w:p>
        </w:tc>
        <w:tc>
          <w:tcPr>
            <w:tcW w:w="0" w:type="auto"/>
            <w:noWrap/>
            <w:hideMark/>
          </w:tcPr>
          <w:p w:rsidR="002219DF" w:rsidRPr="002326E4" w:rsidRDefault="002219DF" w:rsidP="002219DF">
            <w:pPr>
              <w:pStyle w:val="GG-body"/>
              <w:spacing w:before="20" w:after="20"/>
            </w:pPr>
            <w:r w:rsidRPr="002326E4">
              <w:t>55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17</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r w:rsidRPr="002326E4">
              <w:t>30</w:t>
            </w:r>
          </w:p>
        </w:tc>
        <w:tc>
          <w:tcPr>
            <w:tcW w:w="0" w:type="auto"/>
            <w:noWrap/>
            <w:hideMark/>
          </w:tcPr>
          <w:p w:rsidR="002219DF" w:rsidRPr="002326E4" w:rsidRDefault="002219DF" w:rsidP="002219DF">
            <w:pPr>
              <w:pStyle w:val="GG-body"/>
              <w:spacing w:before="20" w:after="20"/>
            </w:pPr>
            <w:r w:rsidRPr="002326E4">
              <w:t>07</w:t>
            </w:r>
          </w:p>
        </w:tc>
        <w:tc>
          <w:tcPr>
            <w:tcW w:w="0" w:type="auto"/>
            <w:noWrap/>
            <w:hideMark/>
          </w:tcPr>
          <w:p w:rsidR="002219DF" w:rsidRPr="002326E4" w:rsidRDefault="002219DF" w:rsidP="002219DF">
            <w:pPr>
              <w:pStyle w:val="GG-body"/>
              <w:spacing w:before="20" w:after="20"/>
            </w:pPr>
            <w:r w:rsidRPr="002326E4">
              <w:t>12</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33</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06</w:t>
            </w:r>
          </w:p>
        </w:tc>
        <w:tc>
          <w:tcPr>
            <w:tcW w:w="0" w:type="auto"/>
            <w:noWrap/>
            <w:hideMark/>
          </w:tcPr>
          <w:p w:rsidR="002219DF" w:rsidRPr="002326E4" w:rsidRDefault="002219DF" w:rsidP="002219DF">
            <w:pPr>
              <w:pStyle w:val="GG-body"/>
              <w:spacing w:before="20" w:after="20"/>
            </w:pPr>
            <w:r w:rsidRPr="002326E4">
              <w:t>37</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17</w:t>
            </w:r>
          </w:p>
        </w:tc>
        <w:tc>
          <w:tcPr>
            <w:tcW w:w="0" w:type="auto"/>
            <w:noWrap/>
            <w:hideMark/>
          </w:tcPr>
          <w:p w:rsidR="002219DF" w:rsidRPr="002326E4" w:rsidRDefault="002219DF" w:rsidP="002219DF">
            <w:pPr>
              <w:pStyle w:val="GG-body"/>
              <w:spacing w:before="20" w:after="20"/>
            </w:pPr>
            <w:r w:rsidRPr="002326E4">
              <w:t>55</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05</w:t>
            </w:r>
          </w:p>
        </w:tc>
        <w:tc>
          <w:tcPr>
            <w:tcW w:w="0" w:type="auto"/>
            <w:noWrap/>
            <w:hideMark/>
          </w:tcPr>
          <w:p w:rsidR="002219DF" w:rsidRPr="002326E4" w:rsidRDefault="002219DF" w:rsidP="002219DF">
            <w:pPr>
              <w:pStyle w:val="GG-body"/>
              <w:spacing w:before="20" w:after="20"/>
            </w:pPr>
            <w:r w:rsidRPr="002326E4">
              <w:t>54</w:t>
            </w: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r w:rsidRPr="002326E4">
              <w:t>18</w:t>
            </w:r>
          </w:p>
        </w:tc>
        <w:tc>
          <w:tcPr>
            <w:tcW w:w="0" w:type="auto"/>
            <w:noWrap/>
            <w:hideMark/>
          </w:tcPr>
          <w:p w:rsidR="002219DF" w:rsidRPr="002326E4" w:rsidRDefault="002219DF" w:rsidP="002219DF">
            <w:pPr>
              <w:pStyle w:val="GG-body"/>
              <w:spacing w:before="20" w:after="20"/>
            </w:pPr>
            <w:r w:rsidRPr="002326E4">
              <w:t>18</w:t>
            </w:r>
          </w:p>
        </w:tc>
      </w:tr>
      <w:tr w:rsidR="002219DF" w:rsidRPr="002326E4" w:rsidTr="002219DF">
        <w:trPr>
          <w:trHeight w:val="170"/>
        </w:trPr>
        <w:tc>
          <w:tcPr>
            <w:tcW w:w="556" w:type="dxa"/>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c>
          <w:tcPr>
            <w:tcW w:w="0" w:type="auto"/>
            <w:noWrap/>
            <w:hideMark/>
          </w:tcPr>
          <w:p w:rsidR="002219DF" w:rsidRPr="002326E4" w:rsidRDefault="002219DF" w:rsidP="002219DF">
            <w:pPr>
              <w:pStyle w:val="GG-body"/>
              <w:spacing w:before="20" w:after="20"/>
            </w:pPr>
          </w:p>
        </w:tc>
      </w:tr>
      <w:tr w:rsidR="002219DF" w:rsidRPr="002326E4" w:rsidTr="002219DF">
        <w:trPr>
          <w:trHeight w:val="170"/>
        </w:trPr>
        <w:tc>
          <w:tcPr>
            <w:tcW w:w="556" w:type="dxa"/>
            <w:tcBorders>
              <w:bottom w:val="single" w:sz="4" w:space="0" w:color="auto"/>
            </w:tcBorders>
            <w:noWrap/>
            <w:hideMark/>
          </w:tcPr>
          <w:p w:rsidR="002219DF" w:rsidRPr="002326E4" w:rsidRDefault="002219DF" w:rsidP="002219DF">
            <w:pPr>
              <w:pStyle w:val="GG-body"/>
              <w:spacing w:before="20" w:after="20"/>
            </w:pPr>
            <w:r w:rsidRPr="002326E4">
              <w:t>31</w:t>
            </w:r>
          </w:p>
        </w:tc>
        <w:tc>
          <w:tcPr>
            <w:tcW w:w="0" w:type="auto"/>
            <w:tcBorders>
              <w:bottom w:val="single" w:sz="4" w:space="0" w:color="auto"/>
            </w:tcBorders>
            <w:noWrap/>
            <w:hideMark/>
          </w:tcPr>
          <w:p w:rsidR="002219DF" w:rsidRPr="002326E4" w:rsidRDefault="002219DF" w:rsidP="002219DF">
            <w:pPr>
              <w:pStyle w:val="GG-body"/>
              <w:spacing w:before="20" w:after="20"/>
            </w:pPr>
            <w:r w:rsidRPr="002326E4">
              <w:t>07</w:t>
            </w:r>
          </w:p>
        </w:tc>
        <w:tc>
          <w:tcPr>
            <w:tcW w:w="0" w:type="auto"/>
            <w:tcBorders>
              <w:bottom w:val="single" w:sz="4" w:space="0" w:color="auto"/>
            </w:tcBorders>
            <w:noWrap/>
            <w:hideMark/>
          </w:tcPr>
          <w:p w:rsidR="002219DF" w:rsidRPr="002326E4" w:rsidRDefault="002219DF" w:rsidP="002219DF">
            <w:pPr>
              <w:pStyle w:val="GG-body"/>
              <w:spacing w:before="20" w:after="20"/>
            </w:pPr>
            <w:r w:rsidRPr="002326E4">
              <w:t>11</w:t>
            </w:r>
          </w:p>
        </w:tc>
        <w:tc>
          <w:tcPr>
            <w:tcW w:w="0" w:type="auto"/>
            <w:tcBorders>
              <w:bottom w:val="single" w:sz="4" w:space="0" w:color="auto"/>
            </w:tcBorders>
            <w:noWrap/>
            <w:hideMark/>
          </w:tcPr>
          <w:p w:rsidR="002219DF" w:rsidRPr="002326E4" w:rsidRDefault="002219DF" w:rsidP="002219DF">
            <w:pPr>
              <w:pStyle w:val="GG-body"/>
              <w:spacing w:before="20" w:after="20"/>
            </w:pPr>
          </w:p>
        </w:tc>
        <w:tc>
          <w:tcPr>
            <w:tcW w:w="0" w:type="auto"/>
            <w:tcBorders>
              <w:bottom w:val="single" w:sz="4" w:space="0" w:color="auto"/>
            </w:tcBorders>
            <w:noWrap/>
            <w:hideMark/>
          </w:tcPr>
          <w:p w:rsidR="002219DF" w:rsidRPr="002326E4" w:rsidRDefault="002219DF" w:rsidP="002219DF">
            <w:pPr>
              <w:pStyle w:val="GG-body"/>
              <w:spacing w:before="20" w:after="20"/>
            </w:pPr>
            <w:r w:rsidRPr="002326E4">
              <w:t>17</w:t>
            </w:r>
          </w:p>
        </w:tc>
        <w:tc>
          <w:tcPr>
            <w:tcW w:w="0" w:type="auto"/>
            <w:tcBorders>
              <w:bottom w:val="single" w:sz="4" w:space="0" w:color="auto"/>
            </w:tcBorders>
            <w:noWrap/>
            <w:hideMark/>
          </w:tcPr>
          <w:p w:rsidR="002219DF" w:rsidRPr="002326E4" w:rsidRDefault="002219DF" w:rsidP="002219DF">
            <w:pPr>
              <w:pStyle w:val="GG-body"/>
              <w:spacing w:before="20" w:after="20"/>
            </w:pPr>
            <w:r w:rsidRPr="002326E4">
              <w:t>34</w:t>
            </w:r>
          </w:p>
        </w:tc>
        <w:tc>
          <w:tcPr>
            <w:tcW w:w="0" w:type="auto"/>
            <w:tcBorders>
              <w:bottom w:val="single" w:sz="4" w:space="0" w:color="auto"/>
            </w:tcBorders>
            <w:noWrap/>
            <w:hideMark/>
          </w:tcPr>
          <w:p w:rsidR="002219DF" w:rsidRPr="002326E4" w:rsidRDefault="002219DF" w:rsidP="002219DF">
            <w:pPr>
              <w:pStyle w:val="GG-body"/>
              <w:spacing w:before="20" w:after="20"/>
            </w:pPr>
          </w:p>
        </w:tc>
        <w:tc>
          <w:tcPr>
            <w:tcW w:w="0" w:type="auto"/>
            <w:tcBorders>
              <w:bottom w:val="single" w:sz="4" w:space="0" w:color="auto"/>
            </w:tcBorders>
            <w:noWrap/>
            <w:hideMark/>
          </w:tcPr>
          <w:p w:rsidR="002219DF" w:rsidRPr="002326E4" w:rsidRDefault="002219DF" w:rsidP="002219DF">
            <w:pPr>
              <w:pStyle w:val="GG-body"/>
              <w:spacing w:before="20" w:after="20"/>
            </w:pPr>
            <w:r w:rsidRPr="002326E4">
              <w:t>06</w:t>
            </w:r>
          </w:p>
        </w:tc>
        <w:tc>
          <w:tcPr>
            <w:tcW w:w="0" w:type="auto"/>
            <w:tcBorders>
              <w:bottom w:val="single" w:sz="4" w:space="0" w:color="auto"/>
            </w:tcBorders>
            <w:noWrap/>
            <w:hideMark/>
          </w:tcPr>
          <w:p w:rsidR="002219DF" w:rsidRPr="002326E4" w:rsidRDefault="002219DF" w:rsidP="002219DF">
            <w:pPr>
              <w:pStyle w:val="GG-body"/>
              <w:spacing w:before="20" w:after="20"/>
            </w:pPr>
            <w:r w:rsidRPr="002326E4">
              <w:t>36</w:t>
            </w:r>
          </w:p>
        </w:tc>
        <w:tc>
          <w:tcPr>
            <w:tcW w:w="0" w:type="auto"/>
            <w:tcBorders>
              <w:bottom w:val="single" w:sz="4" w:space="0" w:color="auto"/>
            </w:tcBorders>
            <w:noWrap/>
            <w:hideMark/>
          </w:tcPr>
          <w:p w:rsidR="002219DF" w:rsidRPr="002326E4" w:rsidRDefault="002219DF" w:rsidP="002219DF">
            <w:pPr>
              <w:pStyle w:val="GG-body"/>
              <w:spacing w:before="20" w:after="20"/>
            </w:pPr>
          </w:p>
        </w:tc>
        <w:tc>
          <w:tcPr>
            <w:tcW w:w="0" w:type="auto"/>
            <w:tcBorders>
              <w:bottom w:val="single" w:sz="4" w:space="0" w:color="auto"/>
            </w:tcBorders>
            <w:noWrap/>
            <w:hideMark/>
          </w:tcPr>
          <w:p w:rsidR="002219DF" w:rsidRPr="002326E4" w:rsidRDefault="002219DF" w:rsidP="002219DF">
            <w:pPr>
              <w:pStyle w:val="GG-body"/>
              <w:spacing w:before="20" w:after="20"/>
            </w:pPr>
            <w:r w:rsidRPr="002326E4">
              <w:t>17</w:t>
            </w:r>
          </w:p>
        </w:tc>
        <w:tc>
          <w:tcPr>
            <w:tcW w:w="0" w:type="auto"/>
            <w:tcBorders>
              <w:bottom w:val="single" w:sz="4" w:space="0" w:color="auto"/>
            </w:tcBorders>
            <w:noWrap/>
            <w:hideMark/>
          </w:tcPr>
          <w:p w:rsidR="002219DF" w:rsidRPr="002326E4" w:rsidRDefault="002219DF" w:rsidP="002219DF">
            <w:pPr>
              <w:pStyle w:val="GG-body"/>
              <w:spacing w:before="20" w:after="20"/>
            </w:pPr>
            <w:r w:rsidRPr="002326E4">
              <w:t>56</w:t>
            </w:r>
          </w:p>
        </w:tc>
        <w:tc>
          <w:tcPr>
            <w:tcW w:w="0" w:type="auto"/>
            <w:tcBorders>
              <w:bottom w:val="single" w:sz="4" w:space="0" w:color="auto"/>
            </w:tcBorders>
            <w:noWrap/>
            <w:hideMark/>
          </w:tcPr>
          <w:p w:rsidR="002219DF" w:rsidRPr="002326E4" w:rsidRDefault="002219DF" w:rsidP="002219DF">
            <w:pPr>
              <w:pStyle w:val="GG-body"/>
              <w:spacing w:before="20" w:after="20"/>
            </w:pPr>
          </w:p>
        </w:tc>
        <w:tc>
          <w:tcPr>
            <w:tcW w:w="0" w:type="auto"/>
            <w:tcBorders>
              <w:bottom w:val="single" w:sz="4" w:space="0" w:color="auto"/>
            </w:tcBorders>
            <w:noWrap/>
            <w:hideMark/>
          </w:tcPr>
          <w:p w:rsidR="002219DF" w:rsidRPr="002326E4" w:rsidRDefault="002219DF" w:rsidP="002219DF">
            <w:pPr>
              <w:pStyle w:val="GG-body"/>
              <w:spacing w:before="20" w:after="20"/>
            </w:pPr>
          </w:p>
        </w:tc>
        <w:tc>
          <w:tcPr>
            <w:tcW w:w="0" w:type="auto"/>
            <w:tcBorders>
              <w:bottom w:val="single" w:sz="4" w:space="0" w:color="auto"/>
            </w:tcBorders>
            <w:noWrap/>
            <w:hideMark/>
          </w:tcPr>
          <w:p w:rsidR="002219DF" w:rsidRPr="002326E4" w:rsidRDefault="002219DF" w:rsidP="002219DF">
            <w:pPr>
              <w:pStyle w:val="GG-body"/>
              <w:spacing w:before="20" w:after="20"/>
            </w:pPr>
          </w:p>
        </w:tc>
        <w:tc>
          <w:tcPr>
            <w:tcW w:w="0" w:type="auto"/>
            <w:tcBorders>
              <w:bottom w:val="single" w:sz="4" w:space="0" w:color="auto"/>
            </w:tcBorders>
            <w:noWrap/>
            <w:hideMark/>
          </w:tcPr>
          <w:p w:rsidR="002219DF" w:rsidRPr="002326E4" w:rsidRDefault="002219DF" w:rsidP="002219DF">
            <w:pPr>
              <w:pStyle w:val="GG-body"/>
              <w:spacing w:before="20" w:after="20"/>
            </w:pPr>
          </w:p>
        </w:tc>
        <w:tc>
          <w:tcPr>
            <w:tcW w:w="0" w:type="auto"/>
            <w:tcBorders>
              <w:bottom w:val="single" w:sz="4" w:space="0" w:color="auto"/>
            </w:tcBorders>
            <w:noWrap/>
            <w:hideMark/>
          </w:tcPr>
          <w:p w:rsidR="002219DF" w:rsidRPr="002326E4" w:rsidRDefault="002219DF" w:rsidP="002219DF">
            <w:pPr>
              <w:pStyle w:val="GG-body"/>
              <w:spacing w:before="20" w:after="20"/>
            </w:pPr>
          </w:p>
        </w:tc>
        <w:tc>
          <w:tcPr>
            <w:tcW w:w="0" w:type="auto"/>
            <w:tcBorders>
              <w:bottom w:val="single" w:sz="4" w:space="0" w:color="auto"/>
            </w:tcBorders>
            <w:noWrap/>
            <w:hideMark/>
          </w:tcPr>
          <w:p w:rsidR="002219DF" w:rsidRPr="002326E4" w:rsidRDefault="002219DF" w:rsidP="002219DF">
            <w:pPr>
              <w:pStyle w:val="GG-body"/>
              <w:spacing w:before="20" w:after="20"/>
            </w:pPr>
          </w:p>
        </w:tc>
      </w:tr>
    </w:tbl>
    <w:p w:rsidR="002219DF" w:rsidRDefault="002219DF" w:rsidP="002219DF">
      <w:pPr>
        <w:pStyle w:val="GG-body"/>
      </w:pPr>
    </w:p>
    <w:p w:rsidR="002219DF" w:rsidRDefault="002219DF" w:rsidP="002219DF">
      <w:pPr>
        <w:pStyle w:val="GG-body"/>
        <w:spacing w:before="80" w:after="0"/>
      </w:pPr>
      <w:r>
        <w:t xml:space="preserve">*NOTE: Daylight Saving Time is subject to change. </w:t>
      </w:r>
    </w:p>
    <w:p w:rsidR="002219DF" w:rsidRDefault="002219DF" w:rsidP="002219DF">
      <w:pPr>
        <w:pStyle w:val="GG-body"/>
        <w:spacing w:before="80" w:after="0"/>
      </w:pPr>
      <w:r>
        <w:t>Sunrise and Sunset times calculated on 29/11/19. Certified correct: A Dolman, 1 June 2020</w:t>
      </w:r>
    </w:p>
    <w:p w:rsidR="002219DF" w:rsidRDefault="002219DF" w:rsidP="002219DF">
      <w:pPr>
        <w:pBdr>
          <w:bottom w:val="single" w:sz="4" w:space="1" w:color="auto"/>
        </w:pBdr>
        <w:spacing w:after="0" w:line="52" w:lineRule="exact"/>
        <w:jc w:val="center"/>
        <w:rPr>
          <w:lang w:val="en-US"/>
        </w:rPr>
      </w:pPr>
    </w:p>
    <w:p w:rsidR="002219DF" w:rsidRDefault="002219DF" w:rsidP="002219DF">
      <w:pPr>
        <w:pBdr>
          <w:top w:val="single" w:sz="4" w:space="1" w:color="auto"/>
        </w:pBdr>
        <w:spacing w:before="34" w:after="0" w:line="14" w:lineRule="exact"/>
        <w:jc w:val="center"/>
        <w:rPr>
          <w:lang w:val="en-US"/>
        </w:rPr>
      </w:pPr>
    </w:p>
    <w:p w:rsidR="002219DF" w:rsidRDefault="002219DF"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219DF" w:rsidRDefault="002219DF" w:rsidP="00DC3F27">
      <w:pPr>
        <w:pStyle w:val="Heading2"/>
      </w:pPr>
      <w:bookmarkStart w:id="24" w:name="_Toc42155342"/>
      <w:r w:rsidRPr="00994FB8">
        <w:t>Public and Finance Audit Act 1987</w:t>
      </w:r>
      <w:bookmarkEnd w:id="24"/>
      <w:r w:rsidRPr="00994FB8">
        <w:t xml:space="preserve"> </w:t>
      </w:r>
    </w:p>
    <w:p w:rsidR="002219DF" w:rsidRDefault="002219DF" w:rsidP="002219DF">
      <w:pPr>
        <w:pStyle w:val="GG-Title2"/>
      </w:pPr>
      <w:r>
        <w:t>Treasurer’s Quarterly Statement</w:t>
      </w:r>
    </w:p>
    <w:p w:rsidR="002219DF" w:rsidRPr="00994FB8" w:rsidRDefault="002219DF" w:rsidP="002219DF">
      <w:pPr>
        <w:pStyle w:val="GG-Title3"/>
        <w:spacing w:after="0"/>
        <w:rPr>
          <w:b/>
        </w:rPr>
      </w:pPr>
      <w:r>
        <w:t xml:space="preserve">Commentary to the Statement of the Amounts Credited to and Issued from the Consolidated Account </w:t>
      </w:r>
      <w:r>
        <w:br/>
        <w:t>for t</w:t>
      </w:r>
      <w:r w:rsidRPr="001225B7">
        <w:t xml:space="preserve">he Quarters </w:t>
      </w:r>
      <w:r>
        <w:t>e</w:t>
      </w:r>
      <w:r w:rsidRPr="001225B7">
        <w:t xml:space="preserve">nded 31 December 2019 </w:t>
      </w:r>
      <w:r>
        <w:t>a</w:t>
      </w:r>
      <w:r w:rsidRPr="001225B7">
        <w:t>nd 31 December 2018</w:t>
      </w:r>
    </w:p>
    <w:p w:rsidR="002219DF" w:rsidRPr="00994FB8" w:rsidRDefault="002219DF" w:rsidP="002219DF">
      <w:pPr>
        <w:pStyle w:val="GG-Sub1"/>
      </w:pPr>
      <w:r w:rsidRPr="00994FB8">
        <w:t>Receipts</w:t>
      </w:r>
    </w:p>
    <w:p w:rsidR="002219DF" w:rsidRPr="00994FB8" w:rsidRDefault="002219DF" w:rsidP="002219DF">
      <w:pPr>
        <w:pStyle w:val="GG-body"/>
        <w:rPr>
          <w:i/>
        </w:rPr>
      </w:pPr>
      <w:r w:rsidRPr="00994FB8">
        <w:rPr>
          <w:i/>
        </w:rPr>
        <w:t>Taxation</w:t>
      </w:r>
    </w:p>
    <w:p w:rsidR="002219DF" w:rsidRDefault="002219DF" w:rsidP="002219DF">
      <w:pPr>
        <w:pStyle w:val="GG-body"/>
      </w:pPr>
      <w:r>
        <w:t>Payroll tax receipts in the December quarter 2019 were higher compared to the corresponding prior year period, but the six months ended December 2019 were lower due to a change in timing associated with the presentation of cash in the Consolidated Account. On an underlying basis, payroll tax receipts in both the December quarter 2019 and the six months ended December 2019 were higher than the corresponding prior year period, reflecting growth in taxable payrolls, partially offset by the introduction of policy measures including the removal of payroll tax for businesses with total annual payrolls below $1.5 million from 1 January 2019.</w:t>
      </w:r>
    </w:p>
    <w:p w:rsidR="002219DF" w:rsidRDefault="002219DF" w:rsidP="002219DF">
      <w:pPr>
        <w:pStyle w:val="GG-body"/>
      </w:pPr>
      <w:r>
        <w:t xml:space="preserve">Stamp duty receipts in both the December quarter 2019 and six months ended December 2019 were lower compared to the corresponding prior year periods due to a change in timing associated with the presentation of cash in the Consolidated Account. On an underlying basis, stamp duty receipts in the December quarter 2019 and six months ended December 2019 were higher compared to the corresponding prior year period. This was mainly due to higher receipts from the foreign ownership surcharge, insurance duty and conveyance duty on primary production transactions. </w:t>
      </w:r>
    </w:p>
    <w:p w:rsidR="002219DF" w:rsidRDefault="002219DF" w:rsidP="002219DF">
      <w:pPr>
        <w:pStyle w:val="GG-body"/>
      </w:pPr>
      <w:r>
        <w:t>Gambling tax receipts in the December quarter 2019 and six months ended December 2019 were lower compared to the corresponding prior year period due to a change in timing associated with the presentation of cash in the Consolidated Account. On an underlying basis, gambling tax receipts in the six months ended December 2019 were slightly higher than the corresponding prior year period, but receipts in the December quarter 2019 were lower mainly due to the timing of payments to the Consolidated Account associated with gaming machine taxation from hotels/clubs.</w:t>
      </w:r>
    </w:p>
    <w:p w:rsidR="002219DF" w:rsidRPr="00994FB8" w:rsidRDefault="002219DF" w:rsidP="002219DF">
      <w:pPr>
        <w:pStyle w:val="GG-body"/>
      </w:pPr>
      <w:r>
        <w:t>Land tax receipts in the December quarter 2019 were lower compared to the corresponding prior year period while receipts in the six months ended December 2019 were higher than the corresponding prior year period but these variations are impacted by the timing of land tax payments.</w:t>
      </w:r>
    </w:p>
    <w:p w:rsidR="002219DF" w:rsidRPr="00994FB8" w:rsidRDefault="002219DF" w:rsidP="002219DF">
      <w:pPr>
        <w:pStyle w:val="GG-body"/>
        <w:rPr>
          <w:i/>
        </w:rPr>
      </w:pPr>
      <w:r w:rsidRPr="00994FB8">
        <w:rPr>
          <w:i/>
        </w:rPr>
        <w:t>Fees and charges</w:t>
      </w:r>
    </w:p>
    <w:p w:rsidR="002219DF" w:rsidRDefault="002219DF" w:rsidP="002219DF">
      <w:pPr>
        <w:pStyle w:val="GG-body"/>
      </w:pPr>
      <w:r w:rsidRPr="002152F3">
        <w:t>Fees and charges in the December quarter 2019 were higher compared to the corresponding prior year period, mainly due to the timing of guarantee payments and land regulatory fees to the Consolidated Account.</w:t>
      </w:r>
    </w:p>
    <w:p w:rsidR="002219DF" w:rsidRPr="00994FB8" w:rsidRDefault="002219DF" w:rsidP="002219DF">
      <w:pPr>
        <w:pStyle w:val="GG-body"/>
        <w:rPr>
          <w:i/>
        </w:rPr>
      </w:pPr>
      <w:r w:rsidRPr="00994FB8">
        <w:rPr>
          <w:i/>
        </w:rPr>
        <w:t>Royalties</w:t>
      </w:r>
    </w:p>
    <w:p w:rsidR="002219DF" w:rsidRPr="008F29A1" w:rsidRDefault="002219DF" w:rsidP="002219DF">
      <w:pPr>
        <w:pStyle w:val="GG-body"/>
        <w:rPr>
          <w:spacing w:val="-2"/>
        </w:rPr>
      </w:pPr>
      <w:r w:rsidRPr="002152F3">
        <w:rPr>
          <w:spacing w:val="-2"/>
        </w:rPr>
        <w:t>Royalty receipts in the December quarter 2019 were lower compared to the corresponding prior year period. This was mainly due to a delay in the timing of payments to the Consolidated Account in the September quarter 2018, which led to these royalties being recognised in the December 2018 quarter. Underlying royalty receipts in the December quarter 2019 are largely consistent with collections in the corresponding prior year period. Underlying royalty receipts for the six months ended December 2019 were higher than the corresponding prior year period due to strong mineral royalty receipts.</w:t>
      </w:r>
    </w:p>
    <w:p w:rsidR="002219DF" w:rsidRPr="00994FB8" w:rsidRDefault="002219DF" w:rsidP="002219DF">
      <w:pPr>
        <w:pStyle w:val="GG-body"/>
        <w:rPr>
          <w:i/>
        </w:rPr>
      </w:pPr>
      <w:r w:rsidRPr="00994FB8">
        <w:rPr>
          <w:i/>
        </w:rPr>
        <w:lastRenderedPageBreak/>
        <w:t>Commonwealth – General Purpose Payments</w:t>
      </w:r>
    </w:p>
    <w:p w:rsidR="002219DF" w:rsidRDefault="002219DF" w:rsidP="002219DF">
      <w:pPr>
        <w:pStyle w:val="GG-body"/>
      </w:pPr>
      <w:r>
        <w:t>Growth in general purpose grants in 2019-20 compared to 2018-19 is not indicative of underlying Goods and Services Tax (GST) revenue growth. This is because monthly grants are paid according to a payment schedule prepared by the Commonwealth Government rather than actual emerging monthly GST collections.</w:t>
      </w:r>
    </w:p>
    <w:p w:rsidR="002219DF" w:rsidRPr="00994FB8" w:rsidRDefault="002219DF" w:rsidP="002219DF">
      <w:pPr>
        <w:pStyle w:val="GG-body"/>
      </w:pPr>
      <w:r>
        <w:t>In its 2019-20 Mid-Year Economic and Fiscal Outlook, the Commonwealth Government estimated that the GST pool available for distribution to jurisdictions would grow by 0.4 per cent in 2019-20.</w:t>
      </w:r>
    </w:p>
    <w:p w:rsidR="002219DF" w:rsidRPr="00994FB8" w:rsidRDefault="002219DF" w:rsidP="002219DF">
      <w:pPr>
        <w:pStyle w:val="GG-body"/>
        <w:rPr>
          <w:i/>
        </w:rPr>
      </w:pPr>
      <w:r w:rsidRPr="00994FB8">
        <w:rPr>
          <w:i/>
        </w:rPr>
        <w:t>Commonwealth – Specific Purpose Payments</w:t>
      </w:r>
    </w:p>
    <w:p w:rsidR="002219DF" w:rsidRDefault="002219DF" w:rsidP="002219DF">
      <w:pPr>
        <w:pStyle w:val="GG-body"/>
      </w:pPr>
      <w:r w:rsidRPr="002152F3">
        <w:t>Specific Purpose Payments in the December quarter 2019 were in line with the corresponding prior year period. In the six months ended December 2019, they were lower compared to the corresponding prior year period due to a change in timing associated with the presentation of cash in the Consolidated Account. On an underlying basis, Specific Purpose Payments in the December quarter 2019 and six months ended December 2019 were broadly in line with the corresponding prior year periods.</w:t>
      </w:r>
    </w:p>
    <w:p w:rsidR="002219DF" w:rsidRPr="00994FB8" w:rsidRDefault="002219DF" w:rsidP="002219DF">
      <w:pPr>
        <w:pStyle w:val="GG-body"/>
        <w:rPr>
          <w:i/>
        </w:rPr>
      </w:pPr>
      <w:r w:rsidRPr="00994FB8">
        <w:rPr>
          <w:i/>
        </w:rPr>
        <w:t>Commonwealth – National Partnership Payments</w:t>
      </w:r>
    </w:p>
    <w:p w:rsidR="002219DF" w:rsidRPr="00994FB8" w:rsidRDefault="002219DF" w:rsidP="002219DF">
      <w:pPr>
        <w:pStyle w:val="GG-body"/>
      </w:pPr>
      <w:r w:rsidRPr="002152F3">
        <w:t>National Partnership Payments in the December quarter and six months ended December 2019 were lower than the corresponding prior year period mainly due to changes in the scope of National Partnership Payments that are paid to the Consolidated Account. From 2019 20, the payments relating to the Disability Care Australia Fund are passed on to the Department of Human Services instead of being paid into the Consolidated Account.</w:t>
      </w:r>
    </w:p>
    <w:p w:rsidR="002219DF" w:rsidRPr="00994FB8" w:rsidRDefault="002219DF" w:rsidP="002219DF">
      <w:pPr>
        <w:pStyle w:val="GG-body"/>
        <w:rPr>
          <w:i/>
        </w:rPr>
      </w:pPr>
      <w:r w:rsidRPr="00994FB8">
        <w:rPr>
          <w:i/>
        </w:rPr>
        <w:t>Other receipts</w:t>
      </w:r>
    </w:p>
    <w:p w:rsidR="002219DF" w:rsidRPr="00994FB8" w:rsidRDefault="002219DF" w:rsidP="002219DF">
      <w:pPr>
        <w:pStyle w:val="GG-body"/>
      </w:pPr>
      <w:r w:rsidRPr="002152F3">
        <w:t>Other receipts in the December quarter were lower compared to the corresponding prior year, mainly due to the timing of receipts to the Consolidated Account.</w:t>
      </w:r>
    </w:p>
    <w:p w:rsidR="002219DF" w:rsidRPr="00994FB8" w:rsidRDefault="002219DF" w:rsidP="002219DF">
      <w:pPr>
        <w:pStyle w:val="GG-Sub1"/>
      </w:pPr>
      <w:r w:rsidRPr="00994FB8">
        <w:t>Payments</w:t>
      </w:r>
    </w:p>
    <w:p w:rsidR="002219DF" w:rsidRPr="00994FB8" w:rsidRDefault="002219DF" w:rsidP="002219DF">
      <w:pPr>
        <w:pStyle w:val="GG-body"/>
      </w:pPr>
      <w:r w:rsidRPr="002152F3">
        <w:t>Payments were made pursuant to the Appropriation Act 2019 and also in accordance with other Acts for which specific appr</w:t>
      </w:r>
      <w:r>
        <w:t xml:space="preserve">opriation has been authorised. </w:t>
      </w:r>
      <w:r w:rsidRPr="002152F3">
        <w:t>The timing of the payments is based on agreed agency drawdown schedules and may change from period to period on specific agency requirements.</w:t>
      </w:r>
    </w:p>
    <w:p w:rsidR="002219DF" w:rsidRPr="00994FB8" w:rsidRDefault="002219DF" w:rsidP="002219DF">
      <w:pPr>
        <w:pStyle w:val="GG-Sub1"/>
      </w:pPr>
      <w:r w:rsidRPr="00994FB8">
        <w:t xml:space="preserve">Note </w:t>
      </w:r>
    </w:p>
    <w:p w:rsidR="002219DF" w:rsidRPr="00994FB8" w:rsidRDefault="002219DF" w:rsidP="002219DF">
      <w:pPr>
        <w:pStyle w:val="GG-body"/>
      </w:pPr>
      <w:r w:rsidRPr="002152F3">
        <w:t>The following points should be considered when reviewing the quarterly statement of Consolidated Account transactions.</w:t>
      </w:r>
    </w:p>
    <w:p w:rsidR="002219DF" w:rsidRPr="00994FB8" w:rsidRDefault="002219DF" w:rsidP="002219DF">
      <w:pPr>
        <w:pStyle w:val="GG-body"/>
        <w:numPr>
          <w:ilvl w:val="0"/>
          <w:numId w:val="39"/>
        </w:numPr>
        <w:tabs>
          <w:tab w:val="left" w:pos="709"/>
        </w:tabs>
        <w:spacing w:after="0"/>
        <w:ind w:left="709" w:hanging="425"/>
      </w:pPr>
      <w:r w:rsidRPr="002152F3">
        <w:t>Unlike the State Budget, which comprises transactions on an accrual basis, the information reflected in the quarterly statements is limited to cash transactions.</w:t>
      </w:r>
      <w:r w:rsidRPr="00994FB8">
        <w:t xml:space="preserve"> </w:t>
      </w:r>
    </w:p>
    <w:p w:rsidR="002219DF" w:rsidRPr="00994FB8" w:rsidRDefault="002219DF" w:rsidP="002219DF">
      <w:pPr>
        <w:pStyle w:val="GG-body"/>
        <w:numPr>
          <w:ilvl w:val="0"/>
          <w:numId w:val="39"/>
        </w:numPr>
        <w:tabs>
          <w:tab w:val="left" w:pos="709"/>
        </w:tabs>
        <w:spacing w:after="0"/>
        <w:ind w:left="709" w:hanging="425"/>
      </w:pPr>
      <w:r w:rsidRPr="002152F3">
        <w:t>The Consolidated Account does not capture all the transactions undertaken by the general government sector (in particular, it does not record receipts to and payments from special deposit accounts).</w:t>
      </w:r>
    </w:p>
    <w:p w:rsidR="002219DF" w:rsidRDefault="002219DF" w:rsidP="002219DF">
      <w:pPr>
        <w:pStyle w:val="GG-body"/>
        <w:numPr>
          <w:ilvl w:val="0"/>
          <w:numId w:val="39"/>
        </w:numPr>
        <w:tabs>
          <w:tab w:val="left" w:pos="709"/>
        </w:tabs>
        <w:ind w:left="709" w:hanging="425"/>
      </w:pPr>
      <w:r w:rsidRPr="002152F3">
        <w:t>The timing of receipts and payments could be volatile within a particular year. As a result, large movements between years may only be due to changes in the timing of receipts and payments and therefore may not have consequences for the underlying budget position.</w:t>
      </w:r>
      <w:r w:rsidRPr="00994FB8">
        <w:t xml:space="preserve"> </w:t>
      </w:r>
    </w:p>
    <w:p w:rsidR="002219DF" w:rsidRDefault="002219DF" w:rsidP="002219DF">
      <w:pPr>
        <w:pStyle w:val="GG-SDated"/>
      </w:pPr>
      <w:r>
        <w:t>Dated: 15 March 2020</w:t>
      </w:r>
    </w:p>
    <w:p w:rsidR="002219DF" w:rsidRDefault="002219DF" w:rsidP="002219DF">
      <w:pPr>
        <w:pStyle w:val="GG-SName"/>
      </w:pPr>
      <w:r>
        <w:t>Hon Rob Lucas MLC</w:t>
      </w:r>
    </w:p>
    <w:p w:rsidR="002219DF" w:rsidRDefault="002219DF" w:rsidP="002219DF">
      <w:pPr>
        <w:pStyle w:val="GG-Signature"/>
      </w:pPr>
      <w:r>
        <w:t>Treasurer of South Australia</w:t>
      </w:r>
    </w:p>
    <w:p w:rsidR="002219DF" w:rsidRDefault="002219DF" w:rsidP="002219DF">
      <w:pPr>
        <w:pStyle w:val="GG-body"/>
        <w:pBdr>
          <w:top w:val="single" w:sz="4" w:space="1" w:color="auto"/>
        </w:pBdr>
        <w:spacing w:before="100" w:line="14" w:lineRule="exact"/>
        <w:ind w:left="1080" w:right="1080"/>
        <w:jc w:val="center"/>
      </w:pPr>
    </w:p>
    <w:p w:rsidR="002219DF" w:rsidRDefault="002219DF" w:rsidP="002219DF">
      <w:pPr>
        <w:pStyle w:val="GG-Title2"/>
      </w:pPr>
      <w:r>
        <w:br w:type="page"/>
      </w:r>
      <w:r w:rsidRPr="00301993">
        <w:lastRenderedPageBreak/>
        <w:t xml:space="preserve">Summary </w:t>
      </w:r>
      <w:r>
        <w:t>o</w:t>
      </w:r>
      <w:r w:rsidRPr="00301993">
        <w:t xml:space="preserve">f </w:t>
      </w:r>
      <w:r>
        <w:t>the Statement o</w:t>
      </w:r>
      <w:r w:rsidRPr="00301993">
        <w:t xml:space="preserve">n </w:t>
      </w:r>
      <w:r>
        <w:t>the Consolidated Account</w:t>
      </w:r>
      <w:r>
        <w:br/>
        <w:t>f</w:t>
      </w:r>
      <w:r w:rsidRPr="00301993">
        <w:t xml:space="preserve">or </w:t>
      </w:r>
      <w:r>
        <w:t>t</w:t>
      </w:r>
      <w:r w:rsidRPr="00301993">
        <w:t xml:space="preserve">he </w:t>
      </w:r>
      <w:r w:rsidRPr="00AB1D97">
        <w:t xml:space="preserve">Quarters </w:t>
      </w:r>
      <w:r>
        <w:t>a</w:t>
      </w:r>
      <w:r w:rsidRPr="00AB1D97">
        <w:t xml:space="preserve">nd 6 Months Ended 31 December 2019 </w:t>
      </w:r>
      <w:r>
        <w:t>a</w:t>
      </w:r>
      <w:r w:rsidRPr="00AB1D97">
        <w:t>nd 31 December 2018</w:t>
      </w:r>
    </w:p>
    <w:p w:rsidR="002219DF" w:rsidRPr="00301993" w:rsidRDefault="002219DF" w:rsidP="002219DF">
      <w:pPr>
        <w:pStyle w:val="GG-Title3"/>
      </w:pPr>
      <w:r w:rsidRPr="00301993">
        <w:t>(Prepared on a Cash Basis)</w:t>
      </w:r>
    </w:p>
    <w:tbl>
      <w:tblPr>
        <w:tblW w:w="4880" w:type="pct"/>
        <w:jc w:val="center"/>
        <w:tblBorders>
          <w:top w:val="single" w:sz="4" w:space="0" w:color="auto"/>
          <w:bottom w:val="single" w:sz="4" w:space="0" w:color="auto"/>
        </w:tblBorders>
        <w:tblLook w:val="04A0" w:firstRow="1" w:lastRow="0" w:firstColumn="1" w:lastColumn="0" w:noHBand="0" w:noVBand="1"/>
      </w:tblPr>
      <w:tblGrid>
        <w:gridCol w:w="1653"/>
        <w:gridCol w:w="1671"/>
        <w:gridCol w:w="1099"/>
        <w:gridCol w:w="278"/>
        <w:gridCol w:w="1662"/>
        <w:gridCol w:w="1755"/>
        <w:gridCol w:w="1012"/>
      </w:tblGrid>
      <w:tr w:rsidR="002219DF" w:rsidRPr="00DA3A6B" w:rsidTr="002219DF">
        <w:trPr>
          <w:cantSplit/>
          <w:trHeight w:val="20"/>
          <w:tblHeader/>
          <w:jc w:val="center"/>
        </w:trPr>
        <w:tc>
          <w:tcPr>
            <w:tcW w:w="2423" w:type="pct"/>
            <w:gridSpan w:val="3"/>
            <w:tcBorders>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 xml:space="preserve">- </w:t>
            </w:r>
            <w:r>
              <w:rPr>
                <w:b/>
                <w:bCs/>
              </w:rPr>
              <w:t>Six Months Ended</w:t>
            </w:r>
            <w:r w:rsidRPr="00DA3A6B">
              <w:rPr>
                <w:b/>
                <w:bCs/>
              </w:rPr>
              <w:t xml:space="preserve"> -</w:t>
            </w:r>
          </w:p>
        </w:tc>
        <w:tc>
          <w:tcPr>
            <w:tcW w:w="2577" w:type="pct"/>
            <w:gridSpan w:val="4"/>
            <w:tcBorders>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 Quarter Ended -</w:t>
            </w:r>
          </w:p>
        </w:tc>
      </w:tr>
      <w:tr w:rsidR="002219DF" w:rsidRPr="000F0F2D" w:rsidTr="002219DF">
        <w:trPr>
          <w:cantSplit/>
          <w:trHeight w:val="20"/>
          <w:tblHeader/>
          <w:jc w:val="center"/>
        </w:trPr>
        <w:tc>
          <w:tcPr>
            <w:tcW w:w="906" w:type="pct"/>
            <w:tcBorders>
              <w:top w:val="nil"/>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3</w:t>
            </w:r>
            <w:r>
              <w:rPr>
                <w:b/>
                <w:bCs/>
              </w:rPr>
              <w:t>1 December 2019</w:t>
            </w:r>
          </w:p>
        </w:tc>
        <w:tc>
          <w:tcPr>
            <w:tcW w:w="915" w:type="pct"/>
            <w:tcBorders>
              <w:top w:val="nil"/>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3</w:t>
            </w:r>
            <w:r>
              <w:rPr>
                <w:b/>
                <w:bCs/>
              </w:rPr>
              <w:t>1 December 2018</w:t>
            </w:r>
          </w:p>
        </w:tc>
        <w:tc>
          <w:tcPr>
            <w:tcW w:w="602" w:type="pct"/>
            <w:tcBorders>
              <w:top w:val="nil"/>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Variation</w:t>
            </w:r>
          </w:p>
        </w:tc>
        <w:tc>
          <w:tcPr>
            <w:tcW w:w="152" w:type="pct"/>
            <w:vMerge w:val="restart"/>
            <w:tcBorders>
              <w:top w:val="nil"/>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p>
        </w:tc>
        <w:tc>
          <w:tcPr>
            <w:tcW w:w="910" w:type="pct"/>
            <w:tcBorders>
              <w:top w:val="nil"/>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3</w:t>
            </w:r>
            <w:r>
              <w:rPr>
                <w:b/>
                <w:bCs/>
              </w:rPr>
              <w:t>1 December 2019</w:t>
            </w:r>
          </w:p>
        </w:tc>
        <w:tc>
          <w:tcPr>
            <w:tcW w:w="961" w:type="pct"/>
            <w:tcBorders>
              <w:top w:val="nil"/>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3</w:t>
            </w:r>
            <w:r>
              <w:rPr>
                <w:b/>
                <w:bCs/>
              </w:rPr>
              <w:t>1 December 2018</w:t>
            </w:r>
          </w:p>
        </w:tc>
        <w:tc>
          <w:tcPr>
            <w:tcW w:w="554" w:type="pct"/>
            <w:tcBorders>
              <w:top w:val="nil"/>
              <w:bottom w:val="nil"/>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Variation</w:t>
            </w:r>
          </w:p>
        </w:tc>
      </w:tr>
      <w:tr w:rsidR="002219DF" w:rsidRPr="000F0F2D" w:rsidTr="002219DF">
        <w:trPr>
          <w:cantSplit/>
          <w:trHeight w:val="20"/>
          <w:tblHeader/>
          <w:jc w:val="center"/>
        </w:trPr>
        <w:tc>
          <w:tcPr>
            <w:tcW w:w="906" w:type="pct"/>
            <w:tcBorders>
              <w:top w:val="nil"/>
              <w:bottom w:val="single" w:sz="4" w:space="0" w:color="auto"/>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A3A6B">
              <w:rPr>
                <w:bCs/>
              </w:rPr>
              <w:t>$ 000</w:t>
            </w:r>
          </w:p>
        </w:tc>
        <w:tc>
          <w:tcPr>
            <w:tcW w:w="915" w:type="pct"/>
            <w:tcBorders>
              <w:top w:val="nil"/>
              <w:bottom w:val="single" w:sz="4" w:space="0" w:color="auto"/>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A3A6B">
              <w:rPr>
                <w:bCs/>
              </w:rPr>
              <w:t>$ 000</w:t>
            </w:r>
          </w:p>
        </w:tc>
        <w:tc>
          <w:tcPr>
            <w:tcW w:w="602" w:type="pct"/>
            <w:tcBorders>
              <w:top w:val="nil"/>
              <w:bottom w:val="single" w:sz="4" w:space="0" w:color="auto"/>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A3A6B">
              <w:rPr>
                <w:bCs/>
              </w:rPr>
              <w:t>$ 000</w:t>
            </w:r>
          </w:p>
        </w:tc>
        <w:tc>
          <w:tcPr>
            <w:tcW w:w="152" w:type="pct"/>
            <w:vMerge/>
            <w:tcBorders>
              <w:top w:val="nil"/>
              <w:bottom w:val="single" w:sz="4" w:space="0" w:color="auto"/>
            </w:tcBorders>
            <w:shd w:val="clear" w:color="auto" w:fill="auto"/>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p>
        </w:tc>
        <w:tc>
          <w:tcPr>
            <w:tcW w:w="910" w:type="pct"/>
            <w:tcBorders>
              <w:top w:val="nil"/>
              <w:bottom w:val="single" w:sz="4" w:space="0" w:color="auto"/>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A3A6B">
              <w:rPr>
                <w:bCs/>
              </w:rPr>
              <w:t>$ 000</w:t>
            </w:r>
          </w:p>
        </w:tc>
        <w:tc>
          <w:tcPr>
            <w:tcW w:w="961" w:type="pct"/>
            <w:tcBorders>
              <w:top w:val="nil"/>
              <w:bottom w:val="single" w:sz="4" w:space="0" w:color="auto"/>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A3A6B">
              <w:rPr>
                <w:bCs/>
              </w:rPr>
              <w:t>$ 000</w:t>
            </w:r>
          </w:p>
        </w:tc>
        <w:tc>
          <w:tcPr>
            <w:tcW w:w="554" w:type="pct"/>
            <w:tcBorders>
              <w:top w:val="nil"/>
              <w:bottom w:val="single" w:sz="4" w:space="0" w:color="auto"/>
            </w:tcBorders>
            <w:shd w:val="clear" w:color="auto" w:fill="auto"/>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A3A6B">
              <w:rPr>
                <w:bCs/>
              </w:rPr>
              <w:t>$ 000</w:t>
            </w:r>
          </w:p>
        </w:tc>
      </w:tr>
      <w:tr w:rsidR="002219DF" w:rsidRPr="000F0F2D" w:rsidTr="002219DF">
        <w:trPr>
          <w:trHeight w:val="20"/>
          <w:jc w:val="center"/>
        </w:trPr>
        <w:tc>
          <w:tcPr>
            <w:tcW w:w="5000" w:type="pct"/>
            <w:gridSpan w:val="7"/>
            <w:tcBorders>
              <w:top w:val="single" w:sz="4" w:space="0" w:color="auto"/>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RECEIPTS</w:t>
            </w:r>
          </w:p>
        </w:tc>
      </w:tr>
      <w:tr w:rsidR="002219DF" w:rsidRPr="00DA3A6B" w:rsidTr="002219DF">
        <w:trPr>
          <w:trHeight w:val="20"/>
          <w:jc w:val="center"/>
        </w:trPr>
        <w:tc>
          <w:tcPr>
            <w:tcW w:w="906"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2037C">
              <w:rPr>
                <w:bCs/>
              </w:rPr>
              <w:t>5,667,910</w:t>
            </w:r>
          </w:p>
        </w:tc>
        <w:tc>
          <w:tcPr>
            <w:tcW w:w="915"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2037C">
              <w:rPr>
                <w:bCs/>
              </w:rPr>
              <w:t>6,036,098</w:t>
            </w:r>
          </w:p>
        </w:tc>
        <w:tc>
          <w:tcPr>
            <w:tcW w:w="602"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2037C">
              <w:rPr>
                <w:bCs/>
              </w:rPr>
              <w:t>-368,188</w:t>
            </w:r>
          </w:p>
        </w:tc>
        <w:tc>
          <w:tcPr>
            <w:tcW w:w="152" w:type="pct"/>
            <w:shd w:val="clear" w:color="auto" w:fill="auto"/>
            <w:hideMark/>
          </w:tcPr>
          <w:p w:rsidR="002219DF" w:rsidRPr="000F0F2D"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p>
        </w:tc>
        <w:tc>
          <w:tcPr>
            <w:tcW w:w="910"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2037C">
              <w:rPr>
                <w:bCs/>
              </w:rPr>
              <w:t>3,036,717</w:t>
            </w:r>
          </w:p>
        </w:tc>
        <w:tc>
          <w:tcPr>
            <w:tcW w:w="961"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2037C">
              <w:rPr>
                <w:bCs/>
              </w:rPr>
              <w:t>3,224,280</w:t>
            </w:r>
          </w:p>
        </w:tc>
        <w:tc>
          <w:tcPr>
            <w:tcW w:w="554"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D2037C">
              <w:rPr>
                <w:bCs/>
              </w:rPr>
              <w:t>-187,563</w:t>
            </w:r>
          </w:p>
        </w:tc>
      </w:tr>
      <w:tr w:rsidR="002219DF" w:rsidRPr="000F0F2D" w:rsidTr="002219DF">
        <w:trPr>
          <w:trHeight w:val="20"/>
          <w:jc w:val="center"/>
        </w:trPr>
        <w:tc>
          <w:tcPr>
            <w:tcW w:w="5000" w:type="pct"/>
            <w:gridSpan w:val="7"/>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PAYMENTS</w:t>
            </w:r>
          </w:p>
        </w:tc>
      </w:tr>
      <w:tr w:rsidR="002219DF" w:rsidRPr="00DA3A6B" w:rsidTr="002219DF">
        <w:trPr>
          <w:trHeight w:val="20"/>
          <w:jc w:val="center"/>
        </w:trPr>
        <w:tc>
          <w:tcPr>
            <w:tcW w:w="906"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AC3D99">
              <w:rPr>
                <w:bCs/>
              </w:rPr>
              <w:t>9,437,980</w:t>
            </w:r>
          </w:p>
        </w:tc>
        <w:tc>
          <w:tcPr>
            <w:tcW w:w="915"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AC3D99">
              <w:rPr>
                <w:bCs/>
              </w:rPr>
              <w:t>8,255,374</w:t>
            </w:r>
          </w:p>
        </w:tc>
        <w:tc>
          <w:tcPr>
            <w:tcW w:w="602"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AC3D99">
              <w:rPr>
                <w:bCs/>
              </w:rPr>
              <w:t>1,182,606</w:t>
            </w:r>
          </w:p>
        </w:tc>
        <w:tc>
          <w:tcPr>
            <w:tcW w:w="152" w:type="pct"/>
            <w:shd w:val="clear" w:color="auto" w:fill="auto"/>
            <w:hideMark/>
          </w:tcPr>
          <w:p w:rsidR="002219DF" w:rsidRPr="000F0F2D"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p>
        </w:tc>
        <w:tc>
          <w:tcPr>
            <w:tcW w:w="910"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AC3D99">
              <w:rPr>
                <w:bCs/>
              </w:rPr>
              <w:t>5,029,423</w:t>
            </w:r>
          </w:p>
        </w:tc>
        <w:tc>
          <w:tcPr>
            <w:tcW w:w="961"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AC3D99">
              <w:rPr>
                <w:bCs/>
              </w:rPr>
              <w:t>4,098,709</w:t>
            </w:r>
          </w:p>
        </w:tc>
        <w:tc>
          <w:tcPr>
            <w:tcW w:w="554"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AC3D99">
              <w:rPr>
                <w:bCs/>
              </w:rPr>
              <w:t>930,714</w:t>
            </w:r>
          </w:p>
        </w:tc>
      </w:tr>
      <w:tr w:rsidR="002219DF" w:rsidRPr="000F0F2D" w:rsidTr="002219DF">
        <w:trPr>
          <w:trHeight w:val="20"/>
          <w:jc w:val="center"/>
        </w:trPr>
        <w:tc>
          <w:tcPr>
            <w:tcW w:w="5000" w:type="pct"/>
            <w:gridSpan w:val="7"/>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FINANCING REQUIREMENT</w:t>
            </w:r>
          </w:p>
        </w:tc>
      </w:tr>
      <w:tr w:rsidR="002219DF" w:rsidRPr="00DA3A6B" w:rsidTr="002219DF">
        <w:trPr>
          <w:trHeight w:val="20"/>
          <w:jc w:val="center"/>
        </w:trPr>
        <w:tc>
          <w:tcPr>
            <w:tcW w:w="906"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3,770,070</w:t>
            </w:r>
          </w:p>
        </w:tc>
        <w:tc>
          <w:tcPr>
            <w:tcW w:w="915"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2,219,276</w:t>
            </w:r>
          </w:p>
        </w:tc>
        <w:tc>
          <w:tcPr>
            <w:tcW w:w="602"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1,550,794</w:t>
            </w:r>
          </w:p>
        </w:tc>
        <w:tc>
          <w:tcPr>
            <w:tcW w:w="152" w:type="pct"/>
            <w:shd w:val="clear" w:color="auto" w:fill="auto"/>
            <w:hideMark/>
          </w:tcPr>
          <w:p w:rsidR="002219DF" w:rsidRPr="000F0F2D"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p>
        </w:tc>
        <w:tc>
          <w:tcPr>
            <w:tcW w:w="910"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1,992,706</w:t>
            </w:r>
          </w:p>
        </w:tc>
        <w:tc>
          <w:tcPr>
            <w:tcW w:w="961"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874,429</w:t>
            </w:r>
          </w:p>
        </w:tc>
        <w:tc>
          <w:tcPr>
            <w:tcW w:w="554"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1,118,277</w:t>
            </w:r>
          </w:p>
        </w:tc>
      </w:tr>
      <w:tr w:rsidR="002219DF" w:rsidRPr="000F0F2D" w:rsidTr="002219DF">
        <w:trPr>
          <w:trHeight w:val="20"/>
          <w:jc w:val="center"/>
        </w:trPr>
        <w:tc>
          <w:tcPr>
            <w:tcW w:w="5000" w:type="pct"/>
            <w:gridSpan w:val="7"/>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rPr>
            </w:pPr>
            <w:r w:rsidRPr="00DA3A6B">
              <w:rPr>
                <w:b/>
                <w:bCs/>
              </w:rPr>
              <w:t>CONSOLIDATED ACCOUNT RESULT</w:t>
            </w:r>
          </w:p>
        </w:tc>
      </w:tr>
      <w:tr w:rsidR="002219DF" w:rsidRPr="00DA3A6B" w:rsidTr="002219DF">
        <w:trPr>
          <w:trHeight w:val="20"/>
          <w:jc w:val="center"/>
        </w:trPr>
        <w:tc>
          <w:tcPr>
            <w:tcW w:w="5000" w:type="pct"/>
            <w:gridSpan w:val="7"/>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Cs/>
              </w:rPr>
            </w:pPr>
            <w:r w:rsidRPr="00DA3A6B">
              <w:rPr>
                <w:bCs/>
              </w:rPr>
              <w:t>Deficit / - Surplus</w:t>
            </w:r>
          </w:p>
        </w:tc>
      </w:tr>
      <w:tr w:rsidR="002219DF" w:rsidRPr="00DA3A6B" w:rsidTr="002219DF">
        <w:trPr>
          <w:trHeight w:val="20"/>
          <w:jc w:val="center"/>
        </w:trPr>
        <w:tc>
          <w:tcPr>
            <w:tcW w:w="906"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3,770,070</w:t>
            </w:r>
          </w:p>
        </w:tc>
        <w:tc>
          <w:tcPr>
            <w:tcW w:w="915"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2,219,276</w:t>
            </w:r>
          </w:p>
        </w:tc>
        <w:tc>
          <w:tcPr>
            <w:tcW w:w="602"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1,550,794</w:t>
            </w:r>
          </w:p>
        </w:tc>
        <w:tc>
          <w:tcPr>
            <w:tcW w:w="152" w:type="pct"/>
            <w:shd w:val="clear" w:color="auto" w:fill="auto"/>
            <w:hideMark/>
          </w:tcPr>
          <w:p w:rsidR="002219DF" w:rsidRPr="000F0F2D"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p>
        </w:tc>
        <w:tc>
          <w:tcPr>
            <w:tcW w:w="910"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1,992,706</w:t>
            </w:r>
          </w:p>
        </w:tc>
        <w:tc>
          <w:tcPr>
            <w:tcW w:w="961"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874,429</w:t>
            </w:r>
          </w:p>
        </w:tc>
        <w:tc>
          <w:tcPr>
            <w:tcW w:w="554" w:type="pct"/>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rPr>
                <w:bCs/>
              </w:rPr>
            </w:pPr>
            <w:r w:rsidRPr="00B2245F">
              <w:rPr>
                <w:bCs/>
              </w:rPr>
              <w:t>1,118,277</w:t>
            </w:r>
          </w:p>
        </w:tc>
      </w:tr>
    </w:tbl>
    <w:p w:rsidR="002219DF"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rsidR="002219DF" w:rsidRDefault="002219DF" w:rsidP="002219DF">
      <w:pPr>
        <w:pStyle w:val="GG-Title2"/>
      </w:pPr>
      <w:r w:rsidRPr="00E1776A">
        <w:t>Statement of the Receipts and Borrowings on the Consolidated Account</w:t>
      </w:r>
      <w:r>
        <w:t xml:space="preserve"> </w:t>
      </w:r>
      <w:r>
        <w:br/>
        <w:t xml:space="preserve"> f</w:t>
      </w:r>
      <w:r w:rsidRPr="00301993">
        <w:t xml:space="preserve">or </w:t>
      </w:r>
      <w:r>
        <w:t>t</w:t>
      </w:r>
      <w:r w:rsidRPr="00301993">
        <w:t xml:space="preserve">he </w:t>
      </w:r>
      <w:r w:rsidRPr="00E1776A">
        <w:t>Qu</w:t>
      </w:r>
      <w:r>
        <w:t xml:space="preserve">arters and </w:t>
      </w:r>
      <w:r w:rsidRPr="00CF7A97">
        <w:t xml:space="preserve">6 Months Ended 31 December 2019 </w:t>
      </w:r>
      <w:r>
        <w:t>a</w:t>
      </w:r>
      <w:r w:rsidRPr="00CF7A97">
        <w:t>nd 31 December 2018</w:t>
      </w:r>
    </w:p>
    <w:p w:rsidR="002219DF" w:rsidRPr="00994FB8" w:rsidRDefault="002219DF" w:rsidP="002219DF">
      <w:pPr>
        <w:pStyle w:val="GG-Title3"/>
      </w:pPr>
      <w:r w:rsidRPr="00E1776A">
        <w:t>(Prepared on a Cash Basis)</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3227"/>
        <w:gridCol w:w="1065"/>
        <w:gridCol w:w="1246"/>
        <w:gridCol w:w="1259"/>
        <w:gridCol w:w="1248"/>
        <w:gridCol w:w="1246"/>
      </w:tblGrid>
      <w:tr w:rsidR="002219DF" w:rsidRPr="00DA3A6B" w:rsidTr="002219DF">
        <w:trPr>
          <w:trHeight w:val="20"/>
          <w:jc w:val="center"/>
        </w:trPr>
        <w:tc>
          <w:tcPr>
            <w:tcW w:w="3227" w:type="dxa"/>
            <w:vMerge w:val="restart"/>
            <w:tcBorders>
              <w:top w:val="single" w:sz="4" w:space="0" w:color="auto"/>
              <w:bottom w:val="nil"/>
            </w:tcBorders>
            <w:shd w:val="clear" w:color="auto" w:fill="auto"/>
            <w:noWrap/>
            <w:vAlign w:val="center"/>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pPr>
            <w:r w:rsidRPr="00DA3A6B">
              <w:rPr>
                <w:b/>
              </w:rPr>
              <w:t>RECEIPTS</w:t>
            </w:r>
            <w:r w:rsidRPr="00E1776A">
              <w:t xml:space="preserve"> -</w:t>
            </w:r>
          </w:p>
        </w:tc>
        <w:tc>
          <w:tcPr>
            <w:tcW w:w="1065" w:type="dxa"/>
            <w:vMerge w:val="restart"/>
            <w:tcBorders>
              <w:top w:val="single" w:sz="4" w:space="0" w:color="auto"/>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Budget 2019-20</w:t>
            </w:r>
          </w:p>
        </w:tc>
        <w:tc>
          <w:tcPr>
            <w:tcW w:w="2505" w:type="dxa"/>
            <w:gridSpan w:val="2"/>
            <w:tcBorders>
              <w:top w:val="single" w:sz="4" w:space="0" w:color="auto"/>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 xml:space="preserve">- </w:t>
            </w:r>
            <w:r>
              <w:rPr>
                <w:b/>
                <w:bCs/>
              </w:rPr>
              <w:t>Six Months Ended</w:t>
            </w:r>
            <w:r w:rsidRPr="00DA3A6B">
              <w:rPr>
                <w:b/>
                <w:bCs/>
              </w:rPr>
              <w:t xml:space="preserve"> </w:t>
            </w:r>
            <w:r w:rsidRPr="00DA3A6B">
              <w:rPr>
                <w:b/>
              </w:rPr>
              <w:t>-</w:t>
            </w:r>
          </w:p>
        </w:tc>
        <w:tc>
          <w:tcPr>
            <w:tcW w:w="2494" w:type="dxa"/>
            <w:gridSpan w:val="2"/>
            <w:tcBorders>
              <w:top w:val="single" w:sz="4" w:space="0" w:color="auto"/>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 Quarter Ended -</w:t>
            </w:r>
          </w:p>
        </w:tc>
      </w:tr>
      <w:tr w:rsidR="002219DF" w:rsidRPr="00E1776A" w:rsidTr="002219DF">
        <w:trPr>
          <w:trHeight w:val="20"/>
          <w:jc w:val="center"/>
        </w:trPr>
        <w:tc>
          <w:tcPr>
            <w:tcW w:w="3227" w:type="dxa"/>
            <w:vMerge/>
            <w:tcBorders>
              <w:top w:val="nil"/>
              <w:bottom w:val="nil"/>
            </w:tcBorders>
            <w:shd w:val="clear" w:color="auto" w:fill="auto"/>
            <w:vAlign w:val="center"/>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pPr>
          </w:p>
        </w:tc>
        <w:tc>
          <w:tcPr>
            <w:tcW w:w="1065" w:type="dxa"/>
            <w:vMerge/>
            <w:tcBorders>
              <w:top w:val="nil"/>
              <w:bottom w:val="nil"/>
            </w:tcBorders>
            <w:shd w:val="clear" w:color="auto" w:fill="auto"/>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1246" w:type="dxa"/>
            <w:tcBorders>
              <w:top w:val="nil"/>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3</w:t>
            </w:r>
            <w:r>
              <w:rPr>
                <w:b/>
              </w:rPr>
              <w:t>1</w:t>
            </w:r>
            <w:r w:rsidRPr="00DA3A6B">
              <w:rPr>
                <w:b/>
              </w:rPr>
              <w:t xml:space="preserve"> </w:t>
            </w:r>
            <w:r>
              <w:rPr>
                <w:b/>
              </w:rPr>
              <w:t>December</w:t>
            </w:r>
            <w:r w:rsidRPr="00DA3A6B">
              <w:rPr>
                <w:b/>
              </w:rPr>
              <w:t xml:space="preserve"> 2019</w:t>
            </w:r>
          </w:p>
        </w:tc>
        <w:tc>
          <w:tcPr>
            <w:tcW w:w="1259" w:type="dxa"/>
            <w:tcBorders>
              <w:top w:val="nil"/>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3</w:t>
            </w:r>
            <w:r>
              <w:rPr>
                <w:b/>
              </w:rPr>
              <w:t>1</w:t>
            </w:r>
            <w:r w:rsidRPr="00DA3A6B">
              <w:rPr>
                <w:b/>
              </w:rPr>
              <w:t xml:space="preserve"> </w:t>
            </w:r>
            <w:r>
              <w:rPr>
                <w:b/>
              </w:rPr>
              <w:t>December</w:t>
            </w:r>
            <w:r w:rsidRPr="00DA3A6B">
              <w:rPr>
                <w:b/>
              </w:rPr>
              <w:t xml:space="preserve"> 2018</w:t>
            </w:r>
          </w:p>
        </w:tc>
        <w:tc>
          <w:tcPr>
            <w:tcW w:w="1248" w:type="dxa"/>
            <w:tcBorders>
              <w:top w:val="nil"/>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3</w:t>
            </w:r>
            <w:r>
              <w:rPr>
                <w:b/>
              </w:rPr>
              <w:t>1</w:t>
            </w:r>
            <w:r w:rsidRPr="00DA3A6B">
              <w:rPr>
                <w:b/>
              </w:rPr>
              <w:t xml:space="preserve"> </w:t>
            </w:r>
            <w:r>
              <w:rPr>
                <w:b/>
              </w:rPr>
              <w:t>December</w:t>
            </w:r>
            <w:r w:rsidRPr="00DA3A6B">
              <w:rPr>
                <w:b/>
              </w:rPr>
              <w:t xml:space="preserve"> 2019</w:t>
            </w:r>
          </w:p>
        </w:tc>
        <w:tc>
          <w:tcPr>
            <w:tcW w:w="1246" w:type="dxa"/>
            <w:tcBorders>
              <w:top w:val="nil"/>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3</w:t>
            </w:r>
            <w:r>
              <w:rPr>
                <w:b/>
              </w:rPr>
              <w:t>1</w:t>
            </w:r>
            <w:r w:rsidRPr="00DA3A6B">
              <w:rPr>
                <w:b/>
              </w:rPr>
              <w:t xml:space="preserve"> </w:t>
            </w:r>
            <w:r>
              <w:rPr>
                <w:b/>
              </w:rPr>
              <w:t>December</w:t>
            </w:r>
            <w:r w:rsidRPr="00DA3A6B">
              <w:rPr>
                <w:b/>
              </w:rPr>
              <w:t xml:space="preserve"> 2018</w:t>
            </w:r>
          </w:p>
        </w:tc>
      </w:tr>
      <w:tr w:rsidR="002219DF" w:rsidRPr="00E1776A" w:rsidTr="002219DF">
        <w:trPr>
          <w:trHeight w:val="20"/>
          <w:jc w:val="center"/>
        </w:trPr>
        <w:tc>
          <w:tcPr>
            <w:tcW w:w="3227" w:type="dxa"/>
            <w:vMerge/>
            <w:tcBorders>
              <w:top w:val="nil"/>
              <w:bottom w:val="single" w:sz="4" w:space="0" w:color="auto"/>
            </w:tcBorders>
            <w:shd w:val="clear" w:color="auto" w:fill="auto"/>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1065" w:type="dxa"/>
            <w:tcBorders>
              <w:top w:val="nil"/>
              <w:bottom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$ 000</w:t>
            </w:r>
          </w:p>
        </w:tc>
        <w:tc>
          <w:tcPr>
            <w:tcW w:w="1246" w:type="dxa"/>
            <w:tcBorders>
              <w:top w:val="nil"/>
              <w:bottom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$ 000</w:t>
            </w:r>
          </w:p>
        </w:tc>
        <w:tc>
          <w:tcPr>
            <w:tcW w:w="1259" w:type="dxa"/>
            <w:tcBorders>
              <w:top w:val="nil"/>
              <w:bottom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$ 000</w:t>
            </w:r>
          </w:p>
        </w:tc>
        <w:tc>
          <w:tcPr>
            <w:tcW w:w="1248" w:type="dxa"/>
            <w:tcBorders>
              <w:top w:val="nil"/>
              <w:bottom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$ 000</w:t>
            </w:r>
          </w:p>
        </w:tc>
        <w:tc>
          <w:tcPr>
            <w:tcW w:w="1246" w:type="dxa"/>
            <w:tcBorders>
              <w:top w:val="nil"/>
              <w:bottom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$ 000</w:t>
            </w:r>
          </w:p>
        </w:tc>
      </w:tr>
      <w:tr w:rsidR="002219DF" w:rsidRPr="00DA3A6B" w:rsidTr="002219DF">
        <w:trPr>
          <w:trHeight w:val="20"/>
          <w:jc w:val="center"/>
        </w:trPr>
        <w:tc>
          <w:tcPr>
            <w:tcW w:w="3227" w:type="dxa"/>
            <w:tcBorders>
              <w:top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DA3A6B">
              <w:rPr>
                <w:b/>
              </w:rPr>
              <w:t>Taxation</w:t>
            </w:r>
            <w:r w:rsidRPr="00E1776A">
              <w:t xml:space="preserve"> -</w:t>
            </w:r>
          </w:p>
        </w:tc>
        <w:tc>
          <w:tcPr>
            <w:tcW w:w="1065" w:type="dxa"/>
            <w:tcBorders>
              <w:top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w:t>
            </w:r>
          </w:p>
        </w:tc>
        <w:tc>
          <w:tcPr>
            <w:tcW w:w="1246" w:type="dxa"/>
            <w:tcBorders>
              <w:top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w:t>
            </w:r>
          </w:p>
        </w:tc>
        <w:tc>
          <w:tcPr>
            <w:tcW w:w="1259" w:type="dxa"/>
            <w:tcBorders>
              <w:top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w:t>
            </w:r>
          </w:p>
        </w:tc>
        <w:tc>
          <w:tcPr>
            <w:tcW w:w="1248" w:type="dxa"/>
            <w:tcBorders>
              <w:top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w:t>
            </w:r>
          </w:p>
        </w:tc>
        <w:tc>
          <w:tcPr>
            <w:tcW w:w="1246" w:type="dxa"/>
            <w:tcBorders>
              <w:top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E1776A">
              <w:t> </w:t>
            </w: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Gambling</w:t>
            </w:r>
          </w:p>
        </w:tc>
        <w:tc>
          <w:tcPr>
            <w:tcW w:w="1065"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411,098</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157,996</w:t>
            </w:r>
          </w:p>
        </w:tc>
        <w:tc>
          <w:tcPr>
            <w:tcW w:w="1259"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187,818</w:t>
            </w:r>
          </w:p>
        </w:tc>
        <w:tc>
          <w:tcPr>
            <w:tcW w:w="1248"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108,171</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151,660</w:t>
            </w: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Land Tax</w:t>
            </w:r>
          </w:p>
        </w:tc>
        <w:tc>
          <w:tcPr>
            <w:tcW w:w="1065"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640,981</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295,894</w:t>
            </w:r>
          </w:p>
        </w:tc>
        <w:tc>
          <w:tcPr>
            <w:tcW w:w="1259"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222,389</w:t>
            </w:r>
          </w:p>
        </w:tc>
        <w:tc>
          <w:tcPr>
            <w:tcW w:w="1248"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136,905</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141,557</w:t>
            </w: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Payroll Tax</w:t>
            </w:r>
          </w:p>
        </w:tc>
        <w:tc>
          <w:tcPr>
            <w:tcW w:w="1065"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1,519,755</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667,848</w:t>
            </w:r>
          </w:p>
        </w:tc>
        <w:tc>
          <w:tcPr>
            <w:tcW w:w="1259"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780,765</w:t>
            </w:r>
          </w:p>
        </w:tc>
        <w:tc>
          <w:tcPr>
            <w:tcW w:w="1248"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391,371</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380,890</w:t>
            </w: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Stamp Duties</w:t>
            </w:r>
          </w:p>
        </w:tc>
        <w:tc>
          <w:tcPr>
            <w:tcW w:w="1065"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1,491,633</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598,196</w:t>
            </w:r>
          </w:p>
        </w:tc>
        <w:tc>
          <w:tcPr>
            <w:tcW w:w="1259"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730,502</w:t>
            </w:r>
          </w:p>
        </w:tc>
        <w:tc>
          <w:tcPr>
            <w:tcW w:w="1248"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361,919</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376,110</w:t>
            </w:r>
          </w:p>
        </w:tc>
      </w:tr>
      <w:tr w:rsidR="002219DF" w:rsidRPr="00DA3A6B" w:rsidTr="002219DF">
        <w:trPr>
          <w:trHeight w:val="20"/>
          <w:jc w:val="center"/>
        </w:trPr>
        <w:tc>
          <w:tcPr>
            <w:tcW w:w="3227" w:type="dxa"/>
            <w:tcBorders>
              <w:bottom w:val="nil"/>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Commonwealth Places Mirror Tax</w:t>
            </w:r>
          </w:p>
        </w:tc>
        <w:tc>
          <w:tcPr>
            <w:tcW w:w="1065"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28,570</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11,799</w:t>
            </w:r>
          </w:p>
        </w:tc>
        <w:tc>
          <w:tcPr>
            <w:tcW w:w="1259"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15,386</w:t>
            </w:r>
          </w:p>
        </w:tc>
        <w:tc>
          <w:tcPr>
            <w:tcW w:w="1248"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6,916</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8,322</w:t>
            </w:r>
          </w:p>
        </w:tc>
      </w:tr>
      <w:tr w:rsidR="002219DF" w:rsidRPr="00DA3A6B" w:rsidTr="002219DF">
        <w:trPr>
          <w:trHeight w:val="20"/>
          <w:jc w:val="center"/>
        </w:trPr>
        <w:tc>
          <w:tcPr>
            <w:tcW w:w="3227" w:type="dxa"/>
            <w:tcBorders>
              <w:top w:val="nil"/>
              <w:bottom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t>Other Taxes on P</w:t>
            </w:r>
            <w:r w:rsidRPr="00E21E0F">
              <w:t>roperty</w:t>
            </w:r>
          </w:p>
        </w:tc>
        <w:tc>
          <w:tcPr>
            <w:tcW w:w="1065" w:type="dxa"/>
            <w:tcBorders>
              <w:bottom w:val="single" w:sz="4" w:space="0" w:color="000000"/>
            </w:tcBorders>
            <w:noWrap/>
          </w:tcPr>
          <w:p w:rsidR="002219DF" w:rsidRPr="00E13B05" w:rsidRDefault="002219DF" w:rsidP="002219DF">
            <w:pPr>
              <w:pStyle w:val="TableParagraph"/>
              <w:ind w:right="74"/>
              <w:rPr>
                <w:color w:val="212121"/>
                <w:sz w:val="17"/>
                <w:szCs w:val="17"/>
              </w:rPr>
            </w:pPr>
            <w:r w:rsidRPr="00E13B05">
              <w:rPr>
                <w:color w:val="212121"/>
                <w:sz w:val="17"/>
                <w:szCs w:val="17"/>
              </w:rPr>
              <w:t>-</w:t>
            </w:r>
          </w:p>
        </w:tc>
        <w:tc>
          <w:tcPr>
            <w:tcW w:w="1246" w:type="dxa"/>
            <w:tcBorders>
              <w:bottom w:val="single" w:sz="4" w:space="0" w:color="000000"/>
            </w:tcBorders>
            <w:noWrap/>
          </w:tcPr>
          <w:p w:rsidR="002219DF" w:rsidRPr="00E13B05" w:rsidRDefault="002219DF" w:rsidP="002219DF">
            <w:pPr>
              <w:pStyle w:val="TableParagraph"/>
              <w:ind w:right="74"/>
              <w:rPr>
                <w:color w:val="212121"/>
                <w:sz w:val="17"/>
                <w:szCs w:val="17"/>
              </w:rPr>
            </w:pPr>
            <w:r w:rsidRPr="00E13B05">
              <w:rPr>
                <w:color w:val="212121"/>
                <w:sz w:val="17"/>
                <w:szCs w:val="17"/>
              </w:rPr>
              <w:t>-</w:t>
            </w:r>
          </w:p>
        </w:tc>
        <w:tc>
          <w:tcPr>
            <w:tcW w:w="1259" w:type="dxa"/>
            <w:tcBorders>
              <w:bottom w:val="single" w:sz="4" w:space="0" w:color="000000"/>
            </w:tcBorders>
            <w:noWrap/>
          </w:tcPr>
          <w:p w:rsidR="002219DF" w:rsidRPr="00E13B05" w:rsidRDefault="002219DF" w:rsidP="002219DF">
            <w:pPr>
              <w:pStyle w:val="TableParagraph"/>
              <w:ind w:right="74"/>
              <w:rPr>
                <w:color w:val="212121"/>
                <w:sz w:val="17"/>
                <w:szCs w:val="17"/>
              </w:rPr>
            </w:pPr>
            <w:r w:rsidRPr="00E13B05">
              <w:rPr>
                <w:color w:val="212121"/>
                <w:sz w:val="17"/>
                <w:szCs w:val="17"/>
              </w:rPr>
              <w:t>10</w:t>
            </w:r>
          </w:p>
        </w:tc>
        <w:tc>
          <w:tcPr>
            <w:tcW w:w="1248" w:type="dxa"/>
            <w:tcBorders>
              <w:bottom w:val="single" w:sz="4" w:space="0" w:color="000000"/>
            </w:tcBorders>
            <w:noWrap/>
          </w:tcPr>
          <w:p w:rsidR="002219DF" w:rsidRPr="00E13B05" w:rsidRDefault="002219DF" w:rsidP="002219DF">
            <w:pPr>
              <w:pStyle w:val="TableParagraph"/>
              <w:ind w:right="74"/>
              <w:rPr>
                <w:color w:val="212121"/>
                <w:sz w:val="17"/>
                <w:szCs w:val="17"/>
              </w:rPr>
            </w:pPr>
            <w:r w:rsidRPr="00E13B05">
              <w:rPr>
                <w:color w:val="212121"/>
                <w:sz w:val="17"/>
                <w:szCs w:val="17"/>
              </w:rPr>
              <w:t>-</w:t>
            </w:r>
          </w:p>
        </w:tc>
        <w:tc>
          <w:tcPr>
            <w:tcW w:w="1246" w:type="dxa"/>
            <w:tcBorders>
              <w:bottom w:val="single" w:sz="4" w:space="0" w:color="000000"/>
            </w:tcBorders>
            <w:noWrap/>
          </w:tcPr>
          <w:p w:rsidR="002219DF" w:rsidRPr="00E13B05" w:rsidRDefault="002219DF" w:rsidP="002219DF">
            <w:pPr>
              <w:pStyle w:val="TableParagraph"/>
              <w:ind w:right="74"/>
              <w:rPr>
                <w:color w:val="212121"/>
                <w:sz w:val="17"/>
                <w:szCs w:val="17"/>
              </w:rPr>
            </w:pPr>
            <w:r w:rsidRPr="00E13B05">
              <w:rPr>
                <w:color w:val="212121"/>
                <w:sz w:val="17"/>
                <w:szCs w:val="17"/>
              </w:rPr>
              <w:t>10</w:t>
            </w:r>
          </w:p>
        </w:tc>
      </w:tr>
      <w:tr w:rsidR="002219DF" w:rsidRPr="00DA3A6B" w:rsidTr="002219DF">
        <w:trPr>
          <w:trHeight w:val="20"/>
          <w:jc w:val="center"/>
        </w:trPr>
        <w:tc>
          <w:tcPr>
            <w:tcW w:w="3227" w:type="dxa"/>
            <w:tcBorders>
              <w:top w:val="single" w:sz="4" w:space="0" w:color="auto"/>
              <w:bottom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Total Taxation</w:t>
            </w:r>
          </w:p>
        </w:tc>
        <w:tc>
          <w:tcPr>
            <w:tcW w:w="1065" w:type="dxa"/>
            <w:tcBorders>
              <w:top w:val="single" w:sz="4" w:space="0" w:color="000000"/>
              <w:bottom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4,092,037</w:t>
            </w:r>
          </w:p>
        </w:tc>
        <w:tc>
          <w:tcPr>
            <w:tcW w:w="1246" w:type="dxa"/>
            <w:tcBorders>
              <w:top w:val="single" w:sz="4" w:space="0" w:color="000000"/>
              <w:bottom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1,731,733</w:t>
            </w:r>
          </w:p>
        </w:tc>
        <w:tc>
          <w:tcPr>
            <w:tcW w:w="1259" w:type="dxa"/>
            <w:tcBorders>
              <w:top w:val="single" w:sz="4" w:space="0" w:color="000000"/>
              <w:bottom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1,936,870</w:t>
            </w:r>
          </w:p>
        </w:tc>
        <w:tc>
          <w:tcPr>
            <w:tcW w:w="1248" w:type="dxa"/>
            <w:tcBorders>
              <w:top w:val="single" w:sz="4" w:space="0" w:color="000000"/>
              <w:bottom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1,005,282</w:t>
            </w:r>
          </w:p>
        </w:tc>
        <w:tc>
          <w:tcPr>
            <w:tcW w:w="1246" w:type="dxa"/>
            <w:tcBorders>
              <w:top w:val="single" w:sz="4" w:space="0" w:color="000000"/>
              <w:bottom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1,058,549</w:t>
            </w:r>
          </w:p>
        </w:tc>
      </w:tr>
      <w:tr w:rsidR="002219DF" w:rsidRPr="00DA3A6B" w:rsidTr="002219DF">
        <w:trPr>
          <w:trHeight w:val="20"/>
          <w:jc w:val="center"/>
        </w:trPr>
        <w:tc>
          <w:tcPr>
            <w:tcW w:w="3227" w:type="dxa"/>
            <w:tcBorders>
              <w:top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Contributions from State Undertakings</w:t>
            </w:r>
          </w:p>
        </w:tc>
        <w:tc>
          <w:tcPr>
            <w:tcW w:w="1065" w:type="dxa"/>
            <w:tcBorders>
              <w:top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379,814</w:t>
            </w:r>
          </w:p>
        </w:tc>
        <w:tc>
          <w:tcPr>
            <w:tcW w:w="1246" w:type="dxa"/>
            <w:tcBorders>
              <w:top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46,754</w:t>
            </w:r>
          </w:p>
        </w:tc>
        <w:tc>
          <w:tcPr>
            <w:tcW w:w="1259" w:type="dxa"/>
            <w:tcBorders>
              <w:top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61,652</w:t>
            </w:r>
          </w:p>
        </w:tc>
        <w:tc>
          <w:tcPr>
            <w:tcW w:w="1248" w:type="dxa"/>
            <w:tcBorders>
              <w:top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29,320</w:t>
            </w:r>
          </w:p>
        </w:tc>
        <w:tc>
          <w:tcPr>
            <w:tcW w:w="1246" w:type="dxa"/>
            <w:tcBorders>
              <w:top w:val="single" w:sz="4" w:space="0" w:color="000000"/>
            </w:tcBorders>
            <w:noWrap/>
            <w:hideMark/>
          </w:tcPr>
          <w:p w:rsidR="002219DF" w:rsidRPr="00E13B05" w:rsidRDefault="002219DF" w:rsidP="002219DF">
            <w:pPr>
              <w:pStyle w:val="TableParagraph"/>
              <w:ind w:right="74"/>
              <w:rPr>
                <w:color w:val="212121"/>
                <w:sz w:val="17"/>
                <w:szCs w:val="17"/>
              </w:rPr>
            </w:pPr>
            <w:r w:rsidRPr="00E13B05">
              <w:rPr>
                <w:color w:val="212121"/>
                <w:sz w:val="17"/>
                <w:szCs w:val="17"/>
              </w:rPr>
              <w:t>2,511</w:t>
            </w: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Recoveries</w:t>
            </w:r>
          </w:p>
        </w:tc>
        <w:tc>
          <w:tcPr>
            <w:tcW w:w="1065"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73,438</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15,494</w:t>
            </w:r>
          </w:p>
        </w:tc>
        <w:tc>
          <w:tcPr>
            <w:tcW w:w="1259"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15,315</w:t>
            </w:r>
          </w:p>
        </w:tc>
        <w:tc>
          <w:tcPr>
            <w:tcW w:w="1248"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6,212</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5,940</w:t>
            </w: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Fees and charges</w:t>
            </w:r>
          </w:p>
        </w:tc>
        <w:tc>
          <w:tcPr>
            <w:tcW w:w="1065"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582,074</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239,492</w:t>
            </w:r>
          </w:p>
        </w:tc>
        <w:tc>
          <w:tcPr>
            <w:tcW w:w="1259"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214,860</w:t>
            </w:r>
          </w:p>
        </w:tc>
        <w:tc>
          <w:tcPr>
            <w:tcW w:w="1248"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148,380</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139,629</w:t>
            </w: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Royalties</w:t>
            </w:r>
          </w:p>
        </w:tc>
        <w:tc>
          <w:tcPr>
            <w:tcW w:w="1065"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301,228</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138,081</w:t>
            </w:r>
          </w:p>
        </w:tc>
        <w:tc>
          <w:tcPr>
            <w:tcW w:w="1259"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123,937</w:t>
            </w:r>
          </w:p>
        </w:tc>
        <w:tc>
          <w:tcPr>
            <w:tcW w:w="1248"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82,078</w:t>
            </w:r>
          </w:p>
        </w:tc>
        <w:tc>
          <w:tcPr>
            <w:tcW w:w="1246" w:type="dxa"/>
            <w:noWrap/>
            <w:hideMark/>
          </w:tcPr>
          <w:p w:rsidR="002219DF" w:rsidRPr="00E13B05" w:rsidRDefault="002219DF" w:rsidP="002219DF">
            <w:pPr>
              <w:pStyle w:val="TableParagraph"/>
              <w:ind w:right="74"/>
              <w:rPr>
                <w:color w:val="212121"/>
                <w:sz w:val="17"/>
                <w:szCs w:val="17"/>
              </w:rPr>
            </w:pPr>
            <w:r w:rsidRPr="00E13B05">
              <w:rPr>
                <w:color w:val="212121"/>
                <w:sz w:val="17"/>
                <w:szCs w:val="17"/>
              </w:rPr>
              <w:t>123,937</w:t>
            </w:r>
          </w:p>
        </w:tc>
      </w:tr>
      <w:tr w:rsidR="002219DF" w:rsidRPr="00E1776A" w:rsidTr="002219DF">
        <w:trPr>
          <w:trHeight w:val="20"/>
          <w:jc w:val="center"/>
        </w:trPr>
        <w:tc>
          <w:tcPr>
            <w:tcW w:w="3227" w:type="dxa"/>
            <w:shd w:val="clear" w:color="auto" w:fill="auto"/>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DA3A6B">
              <w:rPr>
                <w:b/>
              </w:rPr>
              <w:t>Commonwealth</w:t>
            </w:r>
            <w:r w:rsidRPr="00E1776A">
              <w:t xml:space="preserve"> -</w:t>
            </w:r>
          </w:p>
        </w:tc>
        <w:tc>
          <w:tcPr>
            <w:tcW w:w="1065" w:type="dxa"/>
            <w:shd w:val="clear" w:color="auto" w:fill="auto"/>
            <w:hideMark/>
          </w:tcPr>
          <w:p w:rsidR="002219DF" w:rsidRPr="00E13B05" w:rsidRDefault="002219DF" w:rsidP="002219DF">
            <w:pPr>
              <w:pStyle w:val="TableParagraph"/>
              <w:ind w:right="74"/>
              <w:rPr>
                <w:color w:val="212121"/>
                <w:sz w:val="17"/>
                <w:szCs w:val="17"/>
              </w:rPr>
            </w:pPr>
          </w:p>
        </w:tc>
        <w:tc>
          <w:tcPr>
            <w:tcW w:w="1246" w:type="dxa"/>
            <w:shd w:val="clear" w:color="auto" w:fill="auto"/>
            <w:hideMark/>
          </w:tcPr>
          <w:p w:rsidR="002219DF" w:rsidRPr="00E13B05" w:rsidRDefault="002219DF" w:rsidP="002219DF">
            <w:pPr>
              <w:pStyle w:val="TableParagraph"/>
              <w:ind w:right="74"/>
              <w:rPr>
                <w:color w:val="212121"/>
                <w:sz w:val="17"/>
                <w:szCs w:val="17"/>
              </w:rPr>
            </w:pPr>
          </w:p>
        </w:tc>
        <w:tc>
          <w:tcPr>
            <w:tcW w:w="1259" w:type="dxa"/>
            <w:shd w:val="clear" w:color="auto" w:fill="auto"/>
            <w:hideMark/>
          </w:tcPr>
          <w:p w:rsidR="002219DF" w:rsidRPr="00E13B05" w:rsidRDefault="002219DF" w:rsidP="002219DF">
            <w:pPr>
              <w:pStyle w:val="TableParagraph"/>
              <w:ind w:right="74"/>
              <w:rPr>
                <w:color w:val="212121"/>
                <w:sz w:val="17"/>
                <w:szCs w:val="17"/>
              </w:rPr>
            </w:pPr>
          </w:p>
        </w:tc>
        <w:tc>
          <w:tcPr>
            <w:tcW w:w="1248" w:type="dxa"/>
            <w:shd w:val="clear" w:color="auto" w:fill="auto"/>
            <w:hideMark/>
          </w:tcPr>
          <w:p w:rsidR="002219DF" w:rsidRPr="00E13B05" w:rsidRDefault="002219DF" w:rsidP="002219DF">
            <w:pPr>
              <w:pStyle w:val="TableParagraph"/>
              <w:ind w:right="74"/>
              <w:rPr>
                <w:color w:val="212121"/>
                <w:sz w:val="17"/>
                <w:szCs w:val="17"/>
              </w:rPr>
            </w:pPr>
          </w:p>
        </w:tc>
        <w:tc>
          <w:tcPr>
            <w:tcW w:w="1246" w:type="dxa"/>
            <w:shd w:val="clear" w:color="auto" w:fill="auto"/>
            <w:hideMark/>
          </w:tcPr>
          <w:p w:rsidR="002219DF" w:rsidRPr="00E13B05" w:rsidRDefault="002219DF" w:rsidP="002219DF">
            <w:pPr>
              <w:pStyle w:val="TableParagraph"/>
              <w:ind w:right="74"/>
              <w:rPr>
                <w:color w:val="212121"/>
                <w:sz w:val="17"/>
                <w:szCs w:val="17"/>
              </w:rPr>
            </w:pP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General Purpose Grants</w:t>
            </w:r>
          </w:p>
        </w:tc>
        <w:tc>
          <w:tcPr>
            <w:tcW w:w="1065" w:type="dxa"/>
            <w:noWrap/>
            <w:hideMark/>
          </w:tcPr>
          <w:p w:rsidR="002219DF" w:rsidRPr="00F13FC8" w:rsidRDefault="002219DF" w:rsidP="002219DF">
            <w:pPr>
              <w:pStyle w:val="TableParagraph"/>
              <w:ind w:right="74"/>
              <w:rPr>
                <w:sz w:val="17"/>
                <w:szCs w:val="17"/>
              </w:rPr>
            </w:pPr>
            <w:r w:rsidRPr="00F13FC8">
              <w:rPr>
                <w:color w:val="212121"/>
                <w:sz w:val="17"/>
                <w:szCs w:val="17"/>
              </w:rPr>
              <w:t>6,757,961</w:t>
            </w:r>
          </w:p>
        </w:tc>
        <w:tc>
          <w:tcPr>
            <w:tcW w:w="1246" w:type="dxa"/>
            <w:noWrap/>
            <w:hideMark/>
          </w:tcPr>
          <w:p w:rsidR="002219DF" w:rsidRPr="00F13FC8" w:rsidRDefault="002219DF" w:rsidP="002219DF">
            <w:pPr>
              <w:pStyle w:val="TableParagraph"/>
              <w:ind w:right="74"/>
              <w:rPr>
                <w:sz w:val="17"/>
                <w:szCs w:val="17"/>
              </w:rPr>
            </w:pPr>
            <w:r w:rsidRPr="00F13FC8">
              <w:rPr>
                <w:color w:val="212121"/>
                <w:sz w:val="17"/>
                <w:szCs w:val="17"/>
              </w:rPr>
              <w:t>3,311,515</w:t>
            </w:r>
          </w:p>
        </w:tc>
        <w:tc>
          <w:tcPr>
            <w:tcW w:w="1259" w:type="dxa"/>
            <w:noWrap/>
            <w:hideMark/>
          </w:tcPr>
          <w:p w:rsidR="002219DF" w:rsidRPr="00F13FC8" w:rsidRDefault="002219DF" w:rsidP="002219DF">
            <w:pPr>
              <w:pStyle w:val="TableParagraph"/>
              <w:ind w:right="74"/>
              <w:rPr>
                <w:color w:val="212121"/>
                <w:sz w:val="17"/>
                <w:szCs w:val="17"/>
              </w:rPr>
            </w:pPr>
            <w:r w:rsidRPr="00F13FC8">
              <w:rPr>
                <w:color w:val="212121"/>
                <w:sz w:val="17"/>
                <w:szCs w:val="17"/>
              </w:rPr>
              <w:t>3,412,306</w:t>
            </w:r>
          </w:p>
        </w:tc>
        <w:tc>
          <w:tcPr>
            <w:tcW w:w="1248" w:type="dxa"/>
            <w:noWrap/>
            <w:hideMark/>
          </w:tcPr>
          <w:p w:rsidR="002219DF" w:rsidRPr="00F13FC8" w:rsidRDefault="002219DF" w:rsidP="002219DF">
            <w:pPr>
              <w:pStyle w:val="TableParagraph"/>
              <w:ind w:right="74"/>
              <w:rPr>
                <w:color w:val="212121"/>
                <w:sz w:val="17"/>
                <w:szCs w:val="17"/>
              </w:rPr>
            </w:pPr>
            <w:r w:rsidRPr="00F13FC8">
              <w:rPr>
                <w:color w:val="212121"/>
                <w:sz w:val="17"/>
                <w:szCs w:val="17"/>
              </w:rPr>
              <w:t>1,632,853</w:t>
            </w:r>
          </w:p>
        </w:tc>
        <w:tc>
          <w:tcPr>
            <w:tcW w:w="1246" w:type="dxa"/>
            <w:noWrap/>
            <w:hideMark/>
          </w:tcPr>
          <w:p w:rsidR="002219DF" w:rsidRPr="00F13FC8" w:rsidRDefault="002219DF" w:rsidP="002219DF">
            <w:pPr>
              <w:pStyle w:val="TableParagraph"/>
              <w:ind w:right="74"/>
              <w:rPr>
                <w:color w:val="212121"/>
                <w:sz w:val="17"/>
                <w:szCs w:val="17"/>
              </w:rPr>
            </w:pPr>
            <w:r w:rsidRPr="00F13FC8">
              <w:rPr>
                <w:color w:val="212121"/>
                <w:sz w:val="17"/>
                <w:szCs w:val="17"/>
              </w:rPr>
              <w:t>1,690,519</w:t>
            </w:r>
          </w:p>
        </w:tc>
      </w:tr>
      <w:tr w:rsidR="002219DF" w:rsidRPr="00DA3A6B" w:rsidTr="002219DF">
        <w:trPr>
          <w:trHeight w:val="20"/>
          <w:jc w:val="center"/>
        </w:trPr>
        <w:tc>
          <w:tcPr>
            <w:tcW w:w="3227" w:type="dxa"/>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National Partnership Payments</w:t>
            </w:r>
          </w:p>
        </w:tc>
        <w:tc>
          <w:tcPr>
            <w:tcW w:w="1065" w:type="dxa"/>
            <w:noWrap/>
            <w:hideMark/>
          </w:tcPr>
          <w:p w:rsidR="002219DF" w:rsidRPr="00F13FC8" w:rsidRDefault="002219DF" w:rsidP="002219DF">
            <w:pPr>
              <w:pStyle w:val="TableParagraph"/>
              <w:ind w:right="74"/>
              <w:rPr>
                <w:color w:val="212121"/>
                <w:sz w:val="17"/>
                <w:szCs w:val="17"/>
              </w:rPr>
            </w:pPr>
            <w:r w:rsidRPr="00F13FC8">
              <w:rPr>
                <w:color w:val="212121"/>
                <w:sz w:val="17"/>
                <w:szCs w:val="17"/>
              </w:rPr>
              <w:t>25,848</w:t>
            </w:r>
          </w:p>
        </w:tc>
        <w:tc>
          <w:tcPr>
            <w:tcW w:w="1246" w:type="dxa"/>
            <w:noWrap/>
            <w:hideMark/>
          </w:tcPr>
          <w:p w:rsidR="002219DF" w:rsidRPr="00F13FC8" w:rsidRDefault="002219DF" w:rsidP="002219DF">
            <w:pPr>
              <w:pStyle w:val="TableParagraph"/>
              <w:ind w:right="74"/>
              <w:rPr>
                <w:color w:val="212121"/>
                <w:sz w:val="17"/>
                <w:szCs w:val="17"/>
              </w:rPr>
            </w:pPr>
            <w:r w:rsidRPr="00F13FC8">
              <w:rPr>
                <w:color w:val="212121"/>
                <w:sz w:val="17"/>
                <w:szCs w:val="17"/>
              </w:rPr>
              <w:t>30,848</w:t>
            </w:r>
          </w:p>
        </w:tc>
        <w:tc>
          <w:tcPr>
            <w:tcW w:w="1259" w:type="dxa"/>
            <w:noWrap/>
            <w:hideMark/>
          </w:tcPr>
          <w:p w:rsidR="002219DF" w:rsidRPr="00F13FC8" w:rsidRDefault="002219DF" w:rsidP="002219DF">
            <w:pPr>
              <w:pStyle w:val="TableParagraph"/>
              <w:ind w:right="74"/>
              <w:rPr>
                <w:color w:val="212121"/>
                <w:sz w:val="17"/>
                <w:szCs w:val="17"/>
              </w:rPr>
            </w:pPr>
            <w:r w:rsidRPr="00F13FC8">
              <w:rPr>
                <w:color w:val="212121"/>
                <w:sz w:val="17"/>
                <w:szCs w:val="17"/>
              </w:rPr>
              <w:t>86,941</w:t>
            </w:r>
          </w:p>
        </w:tc>
        <w:tc>
          <w:tcPr>
            <w:tcW w:w="1248" w:type="dxa"/>
            <w:noWrap/>
            <w:hideMark/>
          </w:tcPr>
          <w:p w:rsidR="002219DF" w:rsidRPr="00F13FC8" w:rsidRDefault="002219DF" w:rsidP="002219DF">
            <w:pPr>
              <w:pStyle w:val="TableParagraph"/>
              <w:ind w:right="74"/>
              <w:rPr>
                <w:color w:val="212121"/>
                <w:sz w:val="17"/>
                <w:szCs w:val="17"/>
              </w:rPr>
            </w:pPr>
            <w:r w:rsidRPr="00F13FC8">
              <w:rPr>
                <w:color w:val="212121"/>
                <w:sz w:val="17"/>
                <w:szCs w:val="17"/>
              </w:rPr>
              <w:t>30,848</w:t>
            </w:r>
          </w:p>
        </w:tc>
        <w:tc>
          <w:tcPr>
            <w:tcW w:w="1246" w:type="dxa"/>
            <w:noWrap/>
            <w:hideMark/>
          </w:tcPr>
          <w:p w:rsidR="002219DF" w:rsidRPr="00F13FC8" w:rsidRDefault="002219DF" w:rsidP="002219DF">
            <w:pPr>
              <w:pStyle w:val="TableParagraph"/>
              <w:ind w:right="74"/>
              <w:rPr>
                <w:color w:val="212121"/>
                <w:sz w:val="17"/>
                <w:szCs w:val="17"/>
              </w:rPr>
            </w:pPr>
            <w:r w:rsidRPr="00F13FC8">
              <w:rPr>
                <w:color w:val="212121"/>
                <w:sz w:val="17"/>
                <w:szCs w:val="17"/>
              </w:rPr>
              <w:t>86,193</w:t>
            </w:r>
          </w:p>
        </w:tc>
      </w:tr>
      <w:tr w:rsidR="002219DF" w:rsidRPr="00DA3A6B" w:rsidTr="002219DF">
        <w:trPr>
          <w:trHeight w:val="20"/>
          <w:jc w:val="center"/>
        </w:trPr>
        <w:tc>
          <w:tcPr>
            <w:tcW w:w="3227" w:type="dxa"/>
            <w:tcBorders>
              <w:bottom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Specific Purpose Grants</w:t>
            </w:r>
          </w:p>
        </w:tc>
        <w:tc>
          <w:tcPr>
            <w:tcW w:w="1065" w:type="dxa"/>
            <w:tcBorders>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214,192</w:t>
            </w:r>
          </w:p>
        </w:tc>
        <w:tc>
          <w:tcPr>
            <w:tcW w:w="1246" w:type="dxa"/>
            <w:tcBorders>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89,367</w:t>
            </w:r>
          </w:p>
        </w:tc>
        <w:tc>
          <w:tcPr>
            <w:tcW w:w="1259" w:type="dxa"/>
            <w:tcBorders>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106,277</w:t>
            </w:r>
          </w:p>
        </w:tc>
        <w:tc>
          <w:tcPr>
            <w:tcW w:w="1248" w:type="dxa"/>
            <w:tcBorders>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53,675</w:t>
            </w:r>
          </w:p>
        </w:tc>
        <w:tc>
          <w:tcPr>
            <w:tcW w:w="1246" w:type="dxa"/>
            <w:tcBorders>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53,195</w:t>
            </w:r>
          </w:p>
        </w:tc>
      </w:tr>
      <w:tr w:rsidR="002219DF" w:rsidRPr="00DA3A6B" w:rsidTr="002219DF">
        <w:trPr>
          <w:trHeight w:val="20"/>
          <w:jc w:val="center"/>
        </w:trPr>
        <w:tc>
          <w:tcPr>
            <w:tcW w:w="3227" w:type="dxa"/>
            <w:tcBorders>
              <w:top w:val="single" w:sz="4" w:space="0" w:color="auto"/>
              <w:bottom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Total Commonwealth</w:t>
            </w:r>
          </w:p>
        </w:tc>
        <w:tc>
          <w:tcPr>
            <w:tcW w:w="1065" w:type="dxa"/>
            <w:tcBorders>
              <w:top w:val="single" w:sz="4" w:space="0" w:color="000000"/>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6,998,001</w:t>
            </w:r>
          </w:p>
        </w:tc>
        <w:tc>
          <w:tcPr>
            <w:tcW w:w="1246" w:type="dxa"/>
            <w:tcBorders>
              <w:top w:val="single" w:sz="4" w:space="0" w:color="000000"/>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3,431,730</w:t>
            </w:r>
          </w:p>
        </w:tc>
        <w:tc>
          <w:tcPr>
            <w:tcW w:w="1259" w:type="dxa"/>
            <w:tcBorders>
              <w:top w:val="single" w:sz="4" w:space="0" w:color="000000"/>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3,605,524</w:t>
            </w:r>
          </w:p>
        </w:tc>
        <w:tc>
          <w:tcPr>
            <w:tcW w:w="1248" w:type="dxa"/>
            <w:tcBorders>
              <w:top w:val="single" w:sz="4" w:space="0" w:color="000000"/>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1,717,376</w:t>
            </w:r>
          </w:p>
        </w:tc>
        <w:tc>
          <w:tcPr>
            <w:tcW w:w="1246" w:type="dxa"/>
            <w:tcBorders>
              <w:top w:val="single" w:sz="4" w:space="0" w:color="000000"/>
              <w:bottom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1,829,907</w:t>
            </w:r>
          </w:p>
        </w:tc>
      </w:tr>
      <w:tr w:rsidR="002219DF" w:rsidRPr="00DA3A6B" w:rsidTr="002219DF">
        <w:trPr>
          <w:trHeight w:val="20"/>
          <w:jc w:val="center"/>
        </w:trPr>
        <w:tc>
          <w:tcPr>
            <w:tcW w:w="3227" w:type="dxa"/>
            <w:tcBorders>
              <w:top w:val="single" w:sz="4" w:space="0" w:color="auto"/>
              <w:bottom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Other Receipts</w:t>
            </w:r>
          </w:p>
        </w:tc>
        <w:tc>
          <w:tcPr>
            <w:tcW w:w="1065" w:type="dxa"/>
            <w:tcBorders>
              <w:top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138,688</w:t>
            </w:r>
          </w:p>
        </w:tc>
        <w:tc>
          <w:tcPr>
            <w:tcW w:w="1246" w:type="dxa"/>
            <w:tcBorders>
              <w:top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64,626</w:t>
            </w:r>
          </w:p>
        </w:tc>
        <w:tc>
          <w:tcPr>
            <w:tcW w:w="1259" w:type="dxa"/>
            <w:tcBorders>
              <w:top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77,940</w:t>
            </w:r>
          </w:p>
        </w:tc>
        <w:tc>
          <w:tcPr>
            <w:tcW w:w="1248" w:type="dxa"/>
            <w:tcBorders>
              <w:top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48,069</w:t>
            </w:r>
          </w:p>
        </w:tc>
        <w:tc>
          <w:tcPr>
            <w:tcW w:w="1246" w:type="dxa"/>
            <w:tcBorders>
              <w:top w:val="single" w:sz="4" w:space="0" w:color="000000"/>
            </w:tcBorders>
            <w:noWrap/>
            <w:hideMark/>
          </w:tcPr>
          <w:p w:rsidR="002219DF" w:rsidRPr="00F13FC8" w:rsidRDefault="002219DF" w:rsidP="002219DF">
            <w:pPr>
              <w:pStyle w:val="TableParagraph"/>
              <w:ind w:right="74"/>
              <w:rPr>
                <w:color w:val="212121"/>
                <w:sz w:val="17"/>
                <w:szCs w:val="17"/>
              </w:rPr>
            </w:pPr>
            <w:r w:rsidRPr="00F13FC8">
              <w:rPr>
                <w:color w:val="212121"/>
                <w:sz w:val="17"/>
                <w:szCs w:val="17"/>
              </w:rPr>
              <w:t>33,807</w:t>
            </w:r>
          </w:p>
        </w:tc>
      </w:tr>
      <w:tr w:rsidR="002219DF" w:rsidRPr="00DA3A6B" w:rsidTr="002219DF">
        <w:trPr>
          <w:trHeight w:val="20"/>
          <w:jc w:val="center"/>
        </w:trPr>
        <w:tc>
          <w:tcPr>
            <w:tcW w:w="3227" w:type="dxa"/>
            <w:tcBorders>
              <w:top w:val="single" w:sz="4" w:space="0" w:color="auto"/>
              <w:bottom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Total Receipts</w:t>
            </w:r>
          </w:p>
        </w:tc>
        <w:tc>
          <w:tcPr>
            <w:tcW w:w="1065"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12,565,280</w:t>
            </w:r>
          </w:p>
        </w:tc>
        <w:tc>
          <w:tcPr>
            <w:tcW w:w="1246"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5,667,910</w:t>
            </w:r>
          </w:p>
        </w:tc>
        <w:tc>
          <w:tcPr>
            <w:tcW w:w="1259"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6,036,098</w:t>
            </w:r>
          </w:p>
        </w:tc>
        <w:tc>
          <w:tcPr>
            <w:tcW w:w="1248"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3,036,717</w:t>
            </w:r>
          </w:p>
        </w:tc>
        <w:tc>
          <w:tcPr>
            <w:tcW w:w="1246"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3,224,280</w:t>
            </w:r>
          </w:p>
        </w:tc>
      </w:tr>
      <w:tr w:rsidR="002219DF" w:rsidRPr="00DA3A6B" w:rsidTr="002219DF">
        <w:trPr>
          <w:trHeight w:val="20"/>
          <w:jc w:val="center"/>
        </w:trPr>
        <w:tc>
          <w:tcPr>
            <w:tcW w:w="3227" w:type="dxa"/>
            <w:tcBorders>
              <w:top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DA3A6B">
              <w:rPr>
                <w:b/>
              </w:rPr>
              <w:t>FINANCING REQUIREMENT</w:t>
            </w:r>
            <w:r w:rsidRPr="00E1776A">
              <w:t xml:space="preserve"> -</w:t>
            </w:r>
          </w:p>
        </w:tc>
        <w:tc>
          <w:tcPr>
            <w:tcW w:w="1065" w:type="dxa"/>
            <w:tcBorders>
              <w:top w:val="single" w:sz="4" w:space="0" w:color="000000"/>
            </w:tcBorders>
            <w:noWrap/>
            <w:hideMark/>
          </w:tcPr>
          <w:p w:rsidR="002219DF" w:rsidRPr="00667A31" w:rsidRDefault="002219DF" w:rsidP="002219DF">
            <w:pPr>
              <w:pStyle w:val="TableParagraph"/>
              <w:ind w:right="74"/>
              <w:rPr>
                <w:color w:val="212121"/>
                <w:sz w:val="17"/>
                <w:szCs w:val="17"/>
              </w:rPr>
            </w:pPr>
          </w:p>
        </w:tc>
        <w:tc>
          <w:tcPr>
            <w:tcW w:w="1246" w:type="dxa"/>
            <w:tcBorders>
              <w:top w:val="single" w:sz="4" w:space="0" w:color="000000"/>
            </w:tcBorders>
            <w:noWrap/>
            <w:hideMark/>
          </w:tcPr>
          <w:p w:rsidR="002219DF" w:rsidRPr="00667A31" w:rsidRDefault="002219DF" w:rsidP="002219DF">
            <w:pPr>
              <w:pStyle w:val="TableParagraph"/>
              <w:ind w:right="74"/>
              <w:rPr>
                <w:color w:val="212121"/>
                <w:sz w:val="17"/>
                <w:szCs w:val="17"/>
              </w:rPr>
            </w:pPr>
          </w:p>
        </w:tc>
        <w:tc>
          <w:tcPr>
            <w:tcW w:w="1259" w:type="dxa"/>
            <w:tcBorders>
              <w:top w:val="single" w:sz="4" w:space="0" w:color="000000"/>
            </w:tcBorders>
            <w:noWrap/>
            <w:hideMark/>
          </w:tcPr>
          <w:p w:rsidR="002219DF" w:rsidRPr="00667A31" w:rsidRDefault="002219DF" w:rsidP="002219DF">
            <w:pPr>
              <w:pStyle w:val="TableParagraph"/>
              <w:ind w:right="74"/>
              <w:rPr>
                <w:color w:val="212121"/>
                <w:sz w:val="17"/>
                <w:szCs w:val="17"/>
              </w:rPr>
            </w:pPr>
          </w:p>
        </w:tc>
        <w:tc>
          <w:tcPr>
            <w:tcW w:w="1248" w:type="dxa"/>
            <w:tcBorders>
              <w:top w:val="single" w:sz="4" w:space="0" w:color="000000"/>
            </w:tcBorders>
            <w:noWrap/>
            <w:hideMark/>
          </w:tcPr>
          <w:p w:rsidR="002219DF" w:rsidRPr="00667A31" w:rsidRDefault="002219DF" w:rsidP="002219DF">
            <w:pPr>
              <w:pStyle w:val="TableParagraph"/>
              <w:ind w:right="74"/>
              <w:rPr>
                <w:color w:val="212121"/>
                <w:sz w:val="17"/>
                <w:szCs w:val="17"/>
              </w:rPr>
            </w:pPr>
          </w:p>
        </w:tc>
        <w:tc>
          <w:tcPr>
            <w:tcW w:w="1246" w:type="dxa"/>
            <w:tcBorders>
              <w:top w:val="single" w:sz="4" w:space="0" w:color="000000"/>
            </w:tcBorders>
            <w:noWrap/>
            <w:hideMark/>
          </w:tcPr>
          <w:p w:rsidR="002219DF" w:rsidRPr="00667A31" w:rsidRDefault="002219DF" w:rsidP="002219DF">
            <w:pPr>
              <w:pStyle w:val="TableParagraph"/>
              <w:ind w:right="74"/>
              <w:rPr>
                <w:color w:val="212121"/>
                <w:sz w:val="17"/>
                <w:szCs w:val="17"/>
              </w:rPr>
            </w:pPr>
          </w:p>
        </w:tc>
      </w:tr>
      <w:tr w:rsidR="002219DF" w:rsidRPr="00DA3A6B" w:rsidTr="002219DF">
        <w:trPr>
          <w:trHeight w:val="20"/>
          <w:jc w:val="center"/>
        </w:trPr>
        <w:tc>
          <w:tcPr>
            <w:tcW w:w="3227" w:type="dxa"/>
            <w:tcBorders>
              <w:bottom w:val="single" w:sz="4" w:space="0" w:color="auto"/>
            </w:tcBorders>
            <w:shd w:val="clear" w:color="auto" w:fill="auto"/>
            <w:noWrap/>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E1776A">
              <w:t>Funds required from South Australian Government Financing Authority</w:t>
            </w:r>
          </w:p>
        </w:tc>
        <w:tc>
          <w:tcPr>
            <w:tcW w:w="1065" w:type="dxa"/>
            <w:tcBorders>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2,888,878</w:t>
            </w:r>
          </w:p>
        </w:tc>
        <w:tc>
          <w:tcPr>
            <w:tcW w:w="1246" w:type="dxa"/>
            <w:tcBorders>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3,770,070</w:t>
            </w:r>
          </w:p>
        </w:tc>
        <w:tc>
          <w:tcPr>
            <w:tcW w:w="1259" w:type="dxa"/>
            <w:tcBorders>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2,219,276</w:t>
            </w:r>
          </w:p>
        </w:tc>
        <w:tc>
          <w:tcPr>
            <w:tcW w:w="1248" w:type="dxa"/>
            <w:tcBorders>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1,992,706</w:t>
            </w:r>
          </w:p>
        </w:tc>
        <w:tc>
          <w:tcPr>
            <w:tcW w:w="1246" w:type="dxa"/>
            <w:tcBorders>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874,429</w:t>
            </w:r>
          </w:p>
        </w:tc>
      </w:tr>
      <w:tr w:rsidR="002219DF" w:rsidRPr="00DA3A6B" w:rsidTr="002219DF">
        <w:trPr>
          <w:trHeight w:val="20"/>
          <w:jc w:val="center"/>
        </w:trPr>
        <w:tc>
          <w:tcPr>
            <w:tcW w:w="3227" w:type="dxa"/>
            <w:tcBorders>
              <w:top w:val="single" w:sz="4" w:space="0" w:color="auto"/>
              <w:bottom w:val="single" w:sz="4" w:space="0" w:color="auto"/>
            </w:tcBorders>
            <w:shd w:val="clear" w:color="auto" w:fill="auto"/>
            <w:noWrap/>
            <w:hideMark/>
          </w:tcPr>
          <w:p w:rsidR="002219DF" w:rsidRPr="00E1776A"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pPr>
            <w:r w:rsidRPr="00E1776A">
              <w:t>Total Receipts and Borrowings</w:t>
            </w:r>
          </w:p>
        </w:tc>
        <w:tc>
          <w:tcPr>
            <w:tcW w:w="1065"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15,454,158</w:t>
            </w:r>
          </w:p>
        </w:tc>
        <w:tc>
          <w:tcPr>
            <w:tcW w:w="1246"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9,437,980</w:t>
            </w:r>
          </w:p>
        </w:tc>
        <w:tc>
          <w:tcPr>
            <w:tcW w:w="1259"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8,255,374</w:t>
            </w:r>
          </w:p>
        </w:tc>
        <w:tc>
          <w:tcPr>
            <w:tcW w:w="1248"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5,029,423</w:t>
            </w:r>
          </w:p>
        </w:tc>
        <w:tc>
          <w:tcPr>
            <w:tcW w:w="1246" w:type="dxa"/>
            <w:tcBorders>
              <w:top w:val="single" w:sz="4" w:space="0" w:color="000000"/>
              <w:bottom w:val="single" w:sz="4" w:space="0" w:color="000000"/>
            </w:tcBorders>
            <w:noWrap/>
            <w:hideMark/>
          </w:tcPr>
          <w:p w:rsidR="002219DF" w:rsidRPr="00667A31" w:rsidRDefault="002219DF" w:rsidP="002219DF">
            <w:pPr>
              <w:pStyle w:val="TableParagraph"/>
              <w:ind w:right="74"/>
              <w:rPr>
                <w:color w:val="212121"/>
                <w:sz w:val="17"/>
                <w:szCs w:val="17"/>
              </w:rPr>
            </w:pPr>
            <w:r w:rsidRPr="00667A31">
              <w:rPr>
                <w:color w:val="212121"/>
                <w:sz w:val="17"/>
                <w:szCs w:val="17"/>
              </w:rPr>
              <w:t>4,098,709</w:t>
            </w:r>
          </w:p>
        </w:tc>
      </w:tr>
      <w:tr w:rsidR="002219DF" w:rsidRPr="00E1776A" w:rsidTr="002219DF">
        <w:trPr>
          <w:trHeight w:val="20"/>
          <w:jc w:val="center"/>
        </w:trPr>
        <w:tc>
          <w:tcPr>
            <w:tcW w:w="9291" w:type="dxa"/>
            <w:gridSpan w:val="6"/>
            <w:tcBorders>
              <w:top w:val="single" w:sz="4" w:space="0" w:color="auto"/>
            </w:tcBorders>
            <w:shd w:val="clear" w:color="auto" w:fill="auto"/>
            <w:noWrap/>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left"/>
              <w:rPr>
                <w:spacing w:val="-2"/>
              </w:rPr>
            </w:pPr>
            <w:r w:rsidRPr="002347C9">
              <w:rPr>
                <w:spacing w:val="-2"/>
              </w:rPr>
              <w:t>Receipts for taxation for the 2019-20 period are for only 5 months compared to 6 months for 2018-19 due to timing of the cash receipts.</w:t>
            </w:r>
          </w:p>
        </w:tc>
      </w:tr>
    </w:tbl>
    <w:p w:rsidR="002219DF" w:rsidRDefault="002219DF" w:rsidP="002219DF">
      <w:pPr>
        <w:pStyle w:val="GG-body"/>
        <w:spacing w:after="0"/>
      </w:pPr>
    </w:p>
    <w:p w:rsidR="002219DF" w:rsidRDefault="002219DF" w:rsidP="002219DF">
      <w:pPr>
        <w:pStyle w:val="GG-Title2"/>
      </w:pPr>
      <w:r>
        <w:t xml:space="preserve">Statement of Payments on the Consolidated Account </w:t>
      </w:r>
      <w:r>
        <w:br/>
        <w:t>f</w:t>
      </w:r>
      <w:r w:rsidRPr="00301993">
        <w:t xml:space="preserve">or </w:t>
      </w:r>
      <w:r>
        <w:t>t</w:t>
      </w:r>
      <w:r w:rsidRPr="00301993">
        <w:t xml:space="preserve">he </w:t>
      </w:r>
      <w:r w:rsidRPr="00E1776A">
        <w:t>Qu</w:t>
      </w:r>
      <w:r>
        <w:t xml:space="preserve">arters and </w:t>
      </w:r>
      <w:r w:rsidRPr="00CF7A97">
        <w:t xml:space="preserve">6 Months Ended 31 December 2019 </w:t>
      </w:r>
      <w:r>
        <w:t>a</w:t>
      </w:r>
      <w:r w:rsidRPr="00CF7A97">
        <w:t>nd 31 December 2018</w:t>
      </w:r>
    </w:p>
    <w:p w:rsidR="002219DF" w:rsidRDefault="002219DF" w:rsidP="002219DF">
      <w:pPr>
        <w:pStyle w:val="GG-Title3"/>
      </w:pPr>
      <w:r>
        <w:t>(Prepared on a Cash Basis)</w:t>
      </w:r>
    </w:p>
    <w:tbl>
      <w:tblPr>
        <w:tblW w:w="9416" w:type="dxa"/>
        <w:jc w:val="center"/>
        <w:tblBorders>
          <w:top w:val="single" w:sz="4" w:space="0" w:color="auto"/>
          <w:bottom w:val="single" w:sz="4" w:space="0" w:color="auto"/>
        </w:tblBorders>
        <w:tblLook w:val="04A0" w:firstRow="1" w:lastRow="0" w:firstColumn="1" w:lastColumn="0" w:noHBand="0" w:noVBand="1"/>
      </w:tblPr>
      <w:tblGrid>
        <w:gridCol w:w="3394"/>
        <w:gridCol w:w="981"/>
        <w:gridCol w:w="62"/>
        <w:gridCol w:w="1210"/>
        <w:gridCol w:w="62"/>
        <w:gridCol w:w="1168"/>
        <w:gridCol w:w="62"/>
        <w:gridCol w:w="1187"/>
        <w:gridCol w:w="62"/>
        <w:gridCol w:w="1174"/>
        <w:gridCol w:w="62"/>
      </w:tblGrid>
      <w:tr w:rsidR="002219DF" w:rsidRPr="00CF5858" w:rsidTr="004A2BF4">
        <w:trPr>
          <w:gridAfter w:val="1"/>
          <w:wAfter w:w="62" w:type="dxa"/>
          <w:cantSplit/>
          <w:trHeight w:val="20"/>
          <w:tblHeader/>
          <w:jc w:val="center"/>
        </w:trPr>
        <w:tc>
          <w:tcPr>
            <w:tcW w:w="3394" w:type="dxa"/>
            <w:vMerge w:val="restart"/>
            <w:tcBorders>
              <w:top w:val="single" w:sz="4" w:space="0" w:color="auto"/>
              <w:bottom w:val="nil"/>
            </w:tcBorders>
            <w:shd w:val="clear" w:color="auto" w:fill="auto"/>
            <w:noWrap/>
            <w:vAlign w:val="center"/>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pPr>
            <w:r w:rsidRPr="00DA3A6B">
              <w:rPr>
                <w:b/>
              </w:rPr>
              <w:t>PAYMENTS</w:t>
            </w:r>
          </w:p>
        </w:tc>
        <w:tc>
          <w:tcPr>
            <w:tcW w:w="973" w:type="dxa"/>
            <w:vMerge w:val="restart"/>
            <w:tcBorders>
              <w:top w:val="single" w:sz="4" w:space="0" w:color="auto"/>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Budget 2019-20</w:t>
            </w:r>
          </w:p>
        </w:tc>
        <w:tc>
          <w:tcPr>
            <w:tcW w:w="2502" w:type="dxa"/>
            <w:gridSpan w:val="4"/>
            <w:tcBorders>
              <w:top w:val="single" w:sz="4" w:space="0" w:color="auto"/>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 xml:space="preserve">- </w:t>
            </w:r>
            <w:r>
              <w:rPr>
                <w:b/>
                <w:bCs/>
              </w:rPr>
              <w:t>Six Months Ended</w:t>
            </w:r>
            <w:r w:rsidRPr="00DA3A6B">
              <w:rPr>
                <w:b/>
                <w:bCs/>
              </w:rPr>
              <w:t xml:space="preserve"> </w:t>
            </w:r>
            <w:r w:rsidRPr="00DA3A6B">
              <w:rPr>
                <w:b/>
              </w:rPr>
              <w:t>-</w:t>
            </w:r>
          </w:p>
        </w:tc>
        <w:tc>
          <w:tcPr>
            <w:tcW w:w="2485" w:type="dxa"/>
            <w:gridSpan w:val="4"/>
            <w:tcBorders>
              <w:top w:val="single" w:sz="4" w:space="0" w:color="auto"/>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 Quarter Ended -</w:t>
            </w:r>
          </w:p>
        </w:tc>
      </w:tr>
      <w:tr w:rsidR="002219DF" w:rsidRPr="00CF5858" w:rsidTr="004A2BF4">
        <w:trPr>
          <w:gridAfter w:val="1"/>
          <w:wAfter w:w="62" w:type="dxa"/>
          <w:cantSplit/>
          <w:trHeight w:val="20"/>
          <w:tblHeader/>
          <w:jc w:val="center"/>
        </w:trPr>
        <w:tc>
          <w:tcPr>
            <w:tcW w:w="3394" w:type="dxa"/>
            <w:vMerge/>
            <w:tcBorders>
              <w:top w:val="nil"/>
              <w:bottom w:val="nil"/>
            </w:tcBorders>
            <w:shd w:val="clear" w:color="auto" w:fill="auto"/>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973" w:type="dxa"/>
            <w:vMerge/>
            <w:tcBorders>
              <w:top w:val="nil"/>
              <w:bottom w:val="nil"/>
            </w:tcBorders>
            <w:shd w:val="clear" w:color="auto" w:fill="auto"/>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1272" w:type="dxa"/>
            <w:gridSpan w:val="2"/>
            <w:tcBorders>
              <w:top w:val="nil"/>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3</w:t>
            </w:r>
            <w:r>
              <w:rPr>
                <w:b/>
              </w:rPr>
              <w:t>1</w:t>
            </w:r>
            <w:r w:rsidRPr="00DA3A6B">
              <w:rPr>
                <w:b/>
              </w:rPr>
              <w:t xml:space="preserve"> </w:t>
            </w:r>
            <w:r>
              <w:rPr>
                <w:b/>
              </w:rPr>
              <w:t>December</w:t>
            </w:r>
            <w:r w:rsidRPr="00DA3A6B">
              <w:rPr>
                <w:b/>
              </w:rPr>
              <w:t xml:space="preserve"> 2019</w:t>
            </w:r>
          </w:p>
        </w:tc>
        <w:tc>
          <w:tcPr>
            <w:tcW w:w="1230" w:type="dxa"/>
            <w:gridSpan w:val="2"/>
            <w:tcBorders>
              <w:top w:val="nil"/>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3</w:t>
            </w:r>
            <w:r>
              <w:rPr>
                <w:b/>
              </w:rPr>
              <w:t>1</w:t>
            </w:r>
            <w:r w:rsidRPr="00DA3A6B">
              <w:rPr>
                <w:b/>
              </w:rPr>
              <w:t xml:space="preserve"> </w:t>
            </w:r>
            <w:r>
              <w:rPr>
                <w:b/>
              </w:rPr>
              <w:t>December</w:t>
            </w:r>
            <w:r w:rsidRPr="00DA3A6B">
              <w:rPr>
                <w:b/>
              </w:rPr>
              <w:t xml:space="preserve"> 2018</w:t>
            </w:r>
          </w:p>
        </w:tc>
        <w:tc>
          <w:tcPr>
            <w:tcW w:w="1249" w:type="dxa"/>
            <w:gridSpan w:val="2"/>
            <w:tcBorders>
              <w:top w:val="nil"/>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3</w:t>
            </w:r>
            <w:r>
              <w:rPr>
                <w:b/>
              </w:rPr>
              <w:t>1</w:t>
            </w:r>
            <w:r w:rsidRPr="00DA3A6B">
              <w:rPr>
                <w:b/>
              </w:rPr>
              <w:t xml:space="preserve"> </w:t>
            </w:r>
            <w:r>
              <w:rPr>
                <w:b/>
              </w:rPr>
              <w:t>December</w:t>
            </w:r>
            <w:r w:rsidRPr="00DA3A6B">
              <w:rPr>
                <w:b/>
              </w:rPr>
              <w:t xml:space="preserve"> 2019</w:t>
            </w:r>
          </w:p>
        </w:tc>
        <w:tc>
          <w:tcPr>
            <w:tcW w:w="1236" w:type="dxa"/>
            <w:gridSpan w:val="2"/>
            <w:tcBorders>
              <w:top w:val="nil"/>
              <w:bottom w:val="nil"/>
            </w:tcBorders>
            <w:shd w:val="clear" w:color="auto" w:fill="auto"/>
            <w:noWrap/>
            <w:vAlign w:val="center"/>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DA3A6B">
              <w:rPr>
                <w:b/>
              </w:rPr>
              <w:t>3</w:t>
            </w:r>
            <w:r>
              <w:rPr>
                <w:b/>
              </w:rPr>
              <w:t>1</w:t>
            </w:r>
            <w:r w:rsidRPr="00DA3A6B">
              <w:rPr>
                <w:b/>
              </w:rPr>
              <w:t xml:space="preserve"> </w:t>
            </w:r>
            <w:r>
              <w:rPr>
                <w:b/>
              </w:rPr>
              <w:t>December</w:t>
            </w:r>
            <w:r w:rsidRPr="00DA3A6B">
              <w:rPr>
                <w:b/>
              </w:rPr>
              <w:t xml:space="preserve"> 2018</w:t>
            </w:r>
          </w:p>
        </w:tc>
      </w:tr>
      <w:tr w:rsidR="002219DF" w:rsidRPr="00CF5858" w:rsidTr="004A2BF4">
        <w:trPr>
          <w:gridAfter w:val="1"/>
          <w:wAfter w:w="62" w:type="dxa"/>
          <w:cantSplit/>
          <w:trHeight w:val="20"/>
          <w:tblHeader/>
          <w:jc w:val="center"/>
        </w:trPr>
        <w:tc>
          <w:tcPr>
            <w:tcW w:w="3394" w:type="dxa"/>
            <w:vMerge/>
            <w:tcBorders>
              <w:top w:val="nil"/>
              <w:bottom w:val="single" w:sz="4" w:space="0" w:color="auto"/>
            </w:tcBorders>
            <w:shd w:val="clear" w:color="auto" w:fill="auto"/>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973" w:type="dxa"/>
            <w:tcBorders>
              <w:top w:val="nil"/>
              <w:bottom w:val="single" w:sz="4" w:space="0" w:color="auto"/>
            </w:tcBorders>
            <w:shd w:val="clear" w:color="auto" w:fill="auto"/>
            <w:noWrap/>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CF5858">
              <w:t>$ 000</w:t>
            </w:r>
          </w:p>
        </w:tc>
        <w:tc>
          <w:tcPr>
            <w:tcW w:w="1272" w:type="dxa"/>
            <w:gridSpan w:val="2"/>
            <w:tcBorders>
              <w:top w:val="nil"/>
              <w:bottom w:val="single" w:sz="4" w:space="0" w:color="auto"/>
            </w:tcBorders>
            <w:shd w:val="clear" w:color="auto" w:fill="auto"/>
            <w:noWrap/>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CF5858">
              <w:t>$ 000</w:t>
            </w:r>
          </w:p>
        </w:tc>
        <w:tc>
          <w:tcPr>
            <w:tcW w:w="1230" w:type="dxa"/>
            <w:gridSpan w:val="2"/>
            <w:tcBorders>
              <w:top w:val="nil"/>
              <w:bottom w:val="single" w:sz="4" w:space="0" w:color="auto"/>
            </w:tcBorders>
            <w:shd w:val="clear" w:color="auto" w:fill="auto"/>
            <w:noWrap/>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CF5858">
              <w:t>$ 000</w:t>
            </w:r>
          </w:p>
        </w:tc>
        <w:tc>
          <w:tcPr>
            <w:tcW w:w="1249" w:type="dxa"/>
            <w:gridSpan w:val="2"/>
            <w:tcBorders>
              <w:top w:val="nil"/>
              <w:bottom w:val="single" w:sz="4" w:space="0" w:color="auto"/>
            </w:tcBorders>
            <w:shd w:val="clear" w:color="auto" w:fill="auto"/>
            <w:noWrap/>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CF5858">
              <w:t>$ 000</w:t>
            </w:r>
          </w:p>
        </w:tc>
        <w:tc>
          <w:tcPr>
            <w:tcW w:w="1236" w:type="dxa"/>
            <w:gridSpan w:val="2"/>
            <w:tcBorders>
              <w:top w:val="nil"/>
              <w:bottom w:val="single" w:sz="4" w:space="0" w:color="auto"/>
            </w:tcBorders>
            <w:shd w:val="clear" w:color="auto" w:fill="auto"/>
            <w:noWrap/>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CF5858">
              <w:t>$ 000</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Attorney-General's Department</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162,125</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64,713</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55,704</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30,679</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23,994</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Attorney-General's Department</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49,552</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25,942</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45,123</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12,971</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16,356</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Auditor-General's Department</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18,018</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9,643</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8,689</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5,055</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4,101</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Courts Administration Authority</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109,489</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55,602</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47,731</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27,693</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19,822</w:t>
            </w:r>
          </w:p>
        </w:tc>
      </w:tr>
      <w:tr w:rsidR="002219DF" w:rsidRPr="00CF5858" w:rsidTr="0021777F">
        <w:trPr>
          <w:gridAfter w:val="1"/>
          <w:wAfter w:w="62" w:type="dxa"/>
          <w:cantSplit/>
          <w:trHeight w:val="20"/>
          <w:jc w:val="center"/>
        </w:trPr>
        <w:tc>
          <w:tcPr>
            <w:tcW w:w="3394" w:type="dxa"/>
            <w:tcBorders>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Defence SA</w:t>
            </w:r>
          </w:p>
        </w:tc>
        <w:tc>
          <w:tcPr>
            <w:tcW w:w="973" w:type="dxa"/>
            <w:tcBorders>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20,249</w:t>
            </w:r>
          </w:p>
        </w:tc>
        <w:tc>
          <w:tcPr>
            <w:tcW w:w="1272" w:type="dxa"/>
            <w:gridSpan w:val="2"/>
            <w:tcBorders>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12,899</w:t>
            </w:r>
          </w:p>
        </w:tc>
        <w:tc>
          <w:tcPr>
            <w:tcW w:w="1230" w:type="dxa"/>
            <w:gridSpan w:val="2"/>
            <w:tcBorders>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5,314</w:t>
            </w:r>
          </w:p>
        </w:tc>
        <w:tc>
          <w:tcPr>
            <w:tcW w:w="1249" w:type="dxa"/>
            <w:gridSpan w:val="2"/>
            <w:tcBorders>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10,298</w:t>
            </w:r>
          </w:p>
        </w:tc>
        <w:tc>
          <w:tcPr>
            <w:tcW w:w="1236" w:type="dxa"/>
            <w:gridSpan w:val="2"/>
            <w:tcBorders>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2,713</w:t>
            </w:r>
          </w:p>
        </w:tc>
      </w:tr>
      <w:tr w:rsidR="002219DF" w:rsidRPr="00CF5858" w:rsidTr="0021777F">
        <w:trPr>
          <w:gridAfter w:val="1"/>
          <w:wAfter w:w="62" w:type="dxa"/>
          <w:cantSplit/>
          <w:trHeight w:val="20"/>
          <w:jc w:val="center"/>
        </w:trPr>
        <w:tc>
          <w:tcPr>
            <w:tcW w:w="3394" w:type="dxa"/>
            <w:tcBorders>
              <w:top w:val="nil"/>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for Child Protection</w:t>
            </w:r>
          </w:p>
        </w:tc>
        <w:tc>
          <w:tcPr>
            <w:tcW w:w="973" w:type="dxa"/>
            <w:tcBorders>
              <w:top w:val="nil"/>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568,780</w:t>
            </w:r>
          </w:p>
        </w:tc>
        <w:tc>
          <w:tcPr>
            <w:tcW w:w="1272" w:type="dxa"/>
            <w:gridSpan w:val="2"/>
            <w:tcBorders>
              <w:top w:val="nil"/>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331,726</w:t>
            </w:r>
          </w:p>
        </w:tc>
        <w:tc>
          <w:tcPr>
            <w:tcW w:w="1230" w:type="dxa"/>
            <w:gridSpan w:val="2"/>
            <w:tcBorders>
              <w:top w:val="nil"/>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307,878</w:t>
            </w:r>
          </w:p>
        </w:tc>
        <w:tc>
          <w:tcPr>
            <w:tcW w:w="1249" w:type="dxa"/>
            <w:gridSpan w:val="2"/>
            <w:tcBorders>
              <w:top w:val="nil"/>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151,399</w:t>
            </w:r>
          </w:p>
        </w:tc>
        <w:tc>
          <w:tcPr>
            <w:tcW w:w="1236" w:type="dxa"/>
            <w:gridSpan w:val="2"/>
            <w:tcBorders>
              <w:top w:val="nil"/>
              <w:bottom w:val="nil"/>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140,343</w:t>
            </w:r>
          </w:p>
        </w:tc>
      </w:tr>
      <w:tr w:rsidR="002219DF" w:rsidRPr="00CF5858" w:rsidTr="004A2BF4">
        <w:trPr>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lastRenderedPageBreak/>
              <w:t>Department for Correctional Services</w:t>
            </w:r>
          </w:p>
        </w:tc>
        <w:tc>
          <w:tcPr>
            <w:tcW w:w="1035"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341,862</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196,662</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170,591</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101,788</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78,572</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for Education</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3,365,421</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1,392,751</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1,318,167</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776,240</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754,405</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Department for Education</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325,068</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294,938</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272,110</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123,502</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109,606</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for Energy and Mining</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92,694</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92,694</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341,702</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12,801</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249,602</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for Environment and Water</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141,869</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93,272</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85,259</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48,272</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40,259</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Department for Environment and Water</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28,727</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18,714</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20,694</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2,221</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3,477</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for Health and Wellbeing</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4,175,879</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2,278,309</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2,072,784</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1,259,309</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1,093,000</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of Human Services</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876,999</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720,899</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722,941</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226,799</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300,028</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Department of Human Services</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190,838</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97,500</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95,500</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31,500</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31,000</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for Innovation and Skills</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332,082</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313,993</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326,556</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152,895</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122,671</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Department for Innovation and Skills</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14,472</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7,236</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3,618</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of Planning, Transport and Infrastructure</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913,041</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487,630</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414,890</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258,251</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184,640</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Department of Planning, Transport and Infrastructure</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7,488</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4,328</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4,600</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1,916</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2,215</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of the Premier and Cabinet</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270,551</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197,537</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74,208</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89,357</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42,408</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Department of the Premier and Cabinet</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9,061</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6,506</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4,212</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4,530</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2,236</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of Primary Industries and Regions</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96,342</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57,545</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64,922</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30,991</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31,751</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Department of Primary Industries and Regions</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4,558</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2,116</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2,121</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1,021</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1,026</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for Trade, Tourism and Investment</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49,464</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32,964</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39,604</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15,666</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22,306</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Department of Treasury and Finance</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141,310</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109,591</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104,929</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56,419</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51,757</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Department of Treasury and Finance</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2,058,173</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1,305,351</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1,092,930</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661,578</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526,009</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Electoral Commission of South Australia</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5,178</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2,800</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4,676</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1,400</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1,834</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Electoral Commission of South Australia</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484</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484</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461</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242</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53</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House of Assembly</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7,790</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5,455</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7,637</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2,477</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152</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Independent Gambling Authority</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781</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284</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Joint Parliamentary Services</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12,823</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9,064</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12,607</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4,611</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211</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Joint Parliamentary Services</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2,809</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2,809</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2,756</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2,756</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Legislative Council</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5,585</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3,831</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5,476</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1,726</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109</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Minister for Trade, Tourism and Investment</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5,294</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5,294</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5,165</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South Australia Police</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839,077</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467,605</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409,310</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246,377</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188,082</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Administered Items for the South Australia Police</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61</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r>
      <w:tr w:rsidR="002219DF" w:rsidRPr="00CF5858" w:rsidTr="004A2BF4">
        <w:trPr>
          <w:gridAfter w:val="1"/>
          <w:wAfter w:w="62" w:type="dxa"/>
          <w:cantSplit/>
          <w:trHeight w:val="20"/>
          <w:jc w:val="center"/>
        </w:trPr>
        <w:tc>
          <w:tcPr>
            <w:tcW w:w="3394"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DE2D8B">
              <w:t>South Australian Mental Health Commission</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2,102</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1,116</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1,016</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571</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471</w:t>
            </w:r>
          </w:p>
        </w:tc>
      </w:tr>
      <w:tr w:rsidR="002219DF" w:rsidRPr="00CF5858" w:rsidTr="004A2BF4">
        <w:trPr>
          <w:gridAfter w:val="1"/>
          <w:wAfter w:w="62" w:type="dxa"/>
          <w:cantSplit/>
          <w:trHeight w:val="20"/>
          <w:jc w:val="center"/>
        </w:trPr>
        <w:tc>
          <w:tcPr>
            <w:tcW w:w="3394" w:type="dxa"/>
            <w:shd w:val="clear" w:color="auto" w:fill="auto"/>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524587">
              <w:t>South Australian Tourism Commission</w:t>
            </w:r>
          </w:p>
        </w:tc>
        <w:tc>
          <w:tcPr>
            <w:tcW w:w="973" w:type="dxa"/>
            <w:tcBorders>
              <w:top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86,193</w:t>
            </w:r>
          </w:p>
        </w:tc>
        <w:tc>
          <w:tcPr>
            <w:tcW w:w="1272" w:type="dxa"/>
            <w:gridSpan w:val="2"/>
            <w:tcBorders>
              <w:top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53,539</w:t>
            </w:r>
          </w:p>
        </w:tc>
        <w:tc>
          <w:tcPr>
            <w:tcW w:w="1230" w:type="dxa"/>
            <w:gridSpan w:val="2"/>
            <w:tcBorders>
              <w:top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49,000</w:t>
            </w:r>
          </w:p>
        </w:tc>
        <w:tc>
          <w:tcPr>
            <w:tcW w:w="1249" w:type="dxa"/>
            <w:gridSpan w:val="2"/>
            <w:tcBorders>
              <w:top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22,539</w:t>
            </w:r>
          </w:p>
        </w:tc>
        <w:tc>
          <w:tcPr>
            <w:tcW w:w="1236" w:type="dxa"/>
            <w:gridSpan w:val="2"/>
            <w:tcBorders>
              <w:top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18,000</w:t>
            </w:r>
          </w:p>
        </w:tc>
      </w:tr>
      <w:tr w:rsidR="002219DF" w:rsidRPr="00CF5858" w:rsidTr="004A2BF4">
        <w:trPr>
          <w:gridAfter w:val="1"/>
          <w:wAfter w:w="62" w:type="dxa"/>
          <w:cantSplit/>
          <w:trHeight w:val="20"/>
          <w:jc w:val="center"/>
        </w:trPr>
        <w:tc>
          <w:tcPr>
            <w:tcW w:w="3394" w:type="dxa"/>
            <w:shd w:val="clear" w:color="auto" w:fill="auto"/>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524587">
              <w:t>State Governor's Establishment</w:t>
            </w:r>
          </w:p>
        </w:tc>
        <w:tc>
          <w:tcPr>
            <w:tcW w:w="973" w:type="dxa"/>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4,152</w:t>
            </w:r>
          </w:p>
        </w:tc>
        <w:tc>
          <w:tcPr>
            <w:tcW w:w="1272"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4,152</w:t>
            </w:r>
          </w:p>
        </w:tc>
        <w:tc>
          <w:tcPr>
            <w:tcW w:w="1230"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3,781</w:t>
            </w:r>
          </w:p>
        </w:tc>
        <w:tc>
          <w:tcPr>
            <w:tcW w:w="1249"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372</w:t>
            </w:r>
          </w:p>
        </w:tc>
        <w:tc>
          <w:tcPr>
            <w:tcW w:w="1236" w:type="dxa"/>
            <w:gridSpan w:val="2"/>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r>
      <w:tr w:rsidR="002219DF" w:rsidRPr="00524587" w:rsidTr="004A2BF4">
        <w:trPr>
          <w:gridAfter w:val="1"/>
          <w:wAfter w:w="62" w:type="dxa"/>
          <w:cantSplit/>
          <w:trHeight w:val="20"/>
          <w:jc w:val="center"/>
        </w:trPr>
        <w:tc>
          <w:tcPr>
            <w:tcW w:w="3394" w:type="dxa"/>
            <w:shd w:val="clear" w:color="auto" w:fill="auto"/>
            <w:noWrap/>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524587">
              <w:t>TAFE SA</w:t>
            </w:r>
          </w:p>
        </w:tc>
        <w:tc>
          <w:tcPr>
            <w:tcW w:w="973" w:type="dxa"/>
            <w:noWrap/>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72" w:type="dxa"/>
            <w:gridSpan w:val="2"/>
            <w:noWrap/>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620,764</w:t>
            </w:r>
          </w:p>
        </w:tc>
        <w:tc>
          <w:tcPr>
            <w:tcW w:w="1230" w:type="dxa"/>
            <w:gridSpan w:val="2"/>
            <w:noWrap/>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c>
          <w:tcPr>
            <w:tcW w:w="1249" w:type="dxa"/>
            <w:gridSpan w:val="2"/>
            <w:noWrap/>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620,764</w:t>
            </w:r>
          </w:p>
        </w:tc>
        <w:tc>
          <w:tcPr>
            <w:tcW w:w="1236" w:type="dxa"/>
            <w:gridSpan w:val="2"/>
            <w:noWrap/>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w:t>
            </w:r>
          </w:p>
        </w:tc>
      </w:tr>
      <w:tr w:rsidR="002219DF" w:rsidRPr="00CF5858" w:rsidTr="004A2BF4">
        <w:trPr>
          <w:gridAfter w:val="1"/>
          <w:wAfter w:w="62" w:type="dxa"/>
          <w:cantSplit/>
          <w:trHeight w:val="20"/>
          <w:jc w:val="center"/>
        </w:trPr>
        <w:tc>
          <w:tcPr>
            <w:tcW w:w="3394" w:type="dxa"/>
            <w:tcBorders>
              <w:bottom w:val="single" w:sz="4" w:space="0" w:color="auto"/>
            </w:tcBorders>
            <w:shd w:val="clear" w:color="auto" w:fill="auto"/>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pPr>
            <w:r w:rsidRPr="00524587">
              <w:t>Payments for which specific appropriation is authorised in various Acts</w:t>
            </w:r>
          </w:p>
        </w:tc>
        <w:tc>
          <w:tcPr>
            <w:tcW w:w="973" w:type="dxa"/>
            <w:tcBorders>
              <w:bottom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118,498</w:t>
            </w:r>
          </w:p>
        </w:tc>
        <w:tc>
          <w:tcPr>
            <w:tcW w:w="1272" w:type="dxa"/>
            <w:gridSpan w:val="2"/>
            <w:tcBorders>
              <w:bottom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50,006</w:t>
            </w:r>
          </w:p>
        </w:tc>
        <w:tc>
          <w:tcPr>
            <w:tcW w:w="1230" w:type="dxa"/>
            <w:gridSpan w:val="2"/>
            <w:tcBorders>
              <w:bottom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53,549</w:t>
            </w:r>
          </w:p>
        </w:tc>
        <w:tc>
          <w:tcPr>
            <w:tcW w:w="1249" w:type="dxa"/>
            <w:gridSpan w:val="2"/>
            <w:tcBorders>
              <w:bottom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31,575</w:t>
            </w:r>
          </w:p>
        </w:tc>
        <w:tc>
          <w:tcPr>
            <w:tcW w:w="1236" w:type="dxa"/>
            <w:gridSpan w:val="2"/>
            <w:tcBorders>
              <w:bottom w:val="single" w:sz="4" w:space="0" w:color="000000"/>
            </w:tcBorders>
            <w:noWrap/>
            <w:hideMark/>
          </w:tcPr>
          <w:p w:rsidR="002219DF" w:rsidRPr="00524587"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24587">
              <w:t>32,460</w:t>
            </w:r>
          </w:p>
        </w:tc>
      </w:tr>
      <w:tr w:rsidR="002219DF" w:rsidRPr="00CF5858" w:rsidTr="004A2BF4">
        <w:trPr>
          <w:gridAfter w:val="1"/>
          <w:wAfter w:w="62" w:type="dxa"/>
          <w:cantSplit/>
          <w:trHeight w:val="20"/>
          <w:jc w:val="center"/>
        </w:trPr>
        <w:tc>
          <w:tcPr>
            <w:tcW w:w="3394" w:type="dxa"/>
            <w:tcBorders>
              <w:top w:val="single" w:sz="4" w:space="0" w:color="auto"/>
              <w:bottom w:val="single" w:sz="4" w:space="0" w:color="auto"/>
            </w:tcBorders>
            <w:shd w:val="clear" w:color="auto" w:fill="auto"/>
            <w:noWrap/>
            <w:hideMark/>
          </w:tcPr>
          <w:p w:rsidR="002219DF" w:rsidRPr="00DA3A6B"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b/>
              </w:rPr>
            </w:pPr>
            <w:r w:rsidRPr="00DA3A6B">
              <w:rPr>
                <w:b/>
              </w:rPr>
              <w:t>TOTAL PAYMENTS</w:t>
            </w:r>
          </w:p>
        </w:tc>
        <w:tc>
          <w:tcPr>
            <w:tcW w:w="973" w:type="dxa"/>
            <w:tcBorders>
              <w:top w:val="single" w:sz="4" w:space="0" w:color="auto"/>
              <w:bottom w:val="single" w:sz="4" w:space="0" w:color="auto"/>
            </w:tcBorders>
            <w:shd w:val="clear" w:color="auto" w:fill="auto"/>
            <w:noWrap/>
            <w:hideMark/>
          </w:tcPr>
          <w:p w:rsidR="002219DF" w:rsidRPr="00781D06"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781D06">
              <w:t>15,454,158</w:t>
            </w:r>
          </w:p>
        </w:tc>
        <w:tc>
          <w:tcPr>
            <w:tcW w:w="1272" w:type="dxa"/>
            <w:gridSpan w:val="2"/>
            <w:tcBorders>
              <w:top w:val="single" w:sz="4" w:space="0" w:color="auto"/>
              <w:bottom w:val="single" w:sz="4" w:space="0" w:color="auto"/>
            </w:tcBorders>
            <w:shd w:val="clear" w:color="auto" w:fill="auto"/>
            <w:noWrap/>
            <w:hideMark/>
          </w:tcPr>
          <w:p w:rsidR="002219DF" w:rsidRPr="005330E6"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330E6">
              <w:t>9,437,980</w:t>
            </w:r>
          </w:p>
        </w:tc>
        <w:tc>
          <w:tcPr>
            <w:tcW w:w="1230" w:type="dxa"/>
            <w:gridSpan w:val="2"/>
            <w:tcBorders>
              <w:top w:val="single" w:sz="4" w:space="0" w:color="auto"/>
              <w:bottom w:val="single" w:sz="4" w:space="0" w:color="auto"/>
            </w:tcBorders>
            <w:shd w:val="clear" w:color="auto" w:fill="auto"/>
            <w:noWrap/>
            <w:hideMark/>
          </w:tcPr>
          <w:p w:rsidR="002219DF" w:rsidRPr="005330E6"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330E6">
              <w:t>8,255,374</w:t>
            </w:r>
          </w:p>
        </w:tc>
        <w:tc>
          <w:tcPr>
            <w:tcW w:w="1249" w:type="dxa"/>
            <w:gridSpan w:val="2"/>
            <w:tcBorders>
              <w:top w:val="single" w:sz="4" w:space="0" w:color="auto"/>
              <w:bottom w:val="single" w:sz="4" w:space="0" w:color="auto"/>
            </w:tcBorders>
            <w:shd w:val="clear" w:color="auto" w:fill="auto"/>
            <w:noWrap/>
            <w:hideMark/>
          </w:tcPr>
          <w:p w:rsidR="002219DF" w:rsidRPr="005330E6"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330E6">
              <w:t>5,029,423</w:t>
            </w:r>
          </w:p>
        </w:tc>
        <w:tc>
          <w:tcPr>
            <w:tcW w:w="1236" w:type="dxa"/>
            <w:gridSpan w:val="2"/>
            <w:tcBorders>
              <w:top w:val="single" w:sz="4" w:space="0" w:color="auto"/>
              <w:bottom w:val="single" w:sz="4" w:space="0" w:color="auto"/>
            </w:tcBorders>
            <w:shd w:val="clear" w:color="auto" w:fill="auto"/>
            <w:noWrap/>
            <w:hideMark/>
          </w:tcPr>
          <w:p w:rsidR="002219DF" w:rsidRPr="005330E6"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right"/>
            </w:pPr>
            <w:r w:rsidRPr="005330E6">
              <w:t>4,098,709</w:t>
            </w:r>
          </w:p>
        </w:tc>
      </w:tr>
      <w:tr w:rsidR="002219DF" w:rsidRPr="00CF5858" w:rsidTr="004A2BF4">
        <w:trPr>
          <w:gridAfter w:val="1"/>
          <w:wAfter w:w="62" w:type="dxa"/>
          <w:cantSplit/>
          <w:trHeight w:val="20"/>
          <w:jc w:val="center"/>
        </w:trPr>
        <w:tc>
          <w:tcPr>
            <w:tcW w:w="9354" w:type="dxa"/>
            <w:gridSpan w:val="10"/>
            <w:tcBorders>
              <w:top w:val="single" w:sz="4" w:space="0" w:color="auto"/>
            </w:tcBorders>
            <w:shd w:val="clear" w:color="auto" w:fill="auto"/>
            <w:noWrap/>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5330E6">
              <w:t>The Department for Industry and Skills was renamed to the Department for Innovation and Skills effective from 1st of April 2019.</w:t>
            </w:r>
          </w:p>
        </w:tc>
      </w:tr>
      <w:tr w:rsidR="002219DF" w:rsidRPr="00CF5858" w:rsidTr="004A2BF4">
        <w:trPr>
          <w:gridAfter w:val="1"/>
          <w:wAfter w:w="62" w:type="dxa"/>
          <w:cantSplit/>
          <w:trHeight w:val="20"/>
          <w:jc w:val="center"/>
        </w:trPr>
        <w:tc>
          <w:tcPr>
            <w:tcW w:w="9354" w:type="dxa"/>
            <w:gridSpan w:val="10"/>
            <w:shd w:val="clear" w:color="auto" w:fill="auto"/>
            <w:noWrap/>
            <w:hideMark/>
          </w:tcPr>
          <w:p w:rsidR="002219DF" w:rsidRPr="00CF5858" w:rsidRDefault="002219DF" w:rsidP="002219D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5330E6">
              <w:t>Arts SA for the 2018-19 period was reported under Department for Innovation and Skills and for 2019-20 is reported under Department of the Premier and Cabinet.</w:t>
            </w:r>
          </w:p>
        </w:tc>
      </w:tr>
    </w:tbl>
    <w:p w:rsidR="002219DF" w:rsidRPr="00994FB8" w:rsidRDefault="002219DF" w:rsidP="002219DF">
      <w:pPr>
        <w:pStyle w:val="GG-body"/>
        <w:spacing w:after="0"/>
      </w:pPr>
    </w:p>
    <w:p w:rsidR="004A2BF4" w:rsidRDefault="004A2BF4" w:rsidP="004A2BF4">
      <w:pPr>
        <w:pBdr>
          <w:bottom w:val="single" w:sz="4" w:space="1" w:color="auto"/>
        </w:pBdr>
        <w:spacing w:after="0" w:line="52" w:lineRule="exact"/>
        <w:jc w:val="center"/>
        <w:rPr>
          <w:lang w:val="en-US"/>
        </w:rPr>
      </w:pPr>
    </w:p>
    <w:p w:rsidR="004A2BF4" w:rsidRDefault="004A2BF4" w:rsidP="004A2BF4">
      <w:pPr>
        <w:pBdr>
          <w:top w:val="single" w:sz="4" w:space="1" w:color="auto"/>
        </w:pBdr>
        <w:spacing w:before="34" w:after="0" w:line="14" w:lineRule="exact"/>
        <w:jc w:val="center"/>
        <w:rPr>
          <w:lang w:val="en-US"/>
        </w:rPr>
      </w:pPr>
    </w:p>
    <w:p w:rsidR="004A2BF4" w:rsidRDefault="004A2BF4">
      <w:pPr>
        <w:spacing w:after="0" w:line="240" w:lineRule="auto"/>
        <w:jc w:val="left"/>
        <w:rPr>
          <w:lang w:val="en-US"/>
        </w:rPr>
      </w:pPr>
      <w:r>
        <w:rPr>
          <w:lang w:val="en-US"/>
        </w:rPr>
        <w:br w:type="page"/>
      </w:r>
    </w:p>
    <w:p w:rsidR="004A2BF4" w:rsidRPr="004A2BF4" w:rsidRDefault="004A2BF4" w:rsidP="00DC3F27">
      <w:pPr>
        <w:pStyle w:val="Heading2"/>
      </w:pPr>
      <w:bookmarkStart w:id="25" w:name="_Toc42155343"/>
      <w:r w:rsidRPr="004A2BF4">
        <w:lastRenderedPageBreak/>
        <w:t>Roads (Opening and Closing) Act 1991</w:t>
      </w:r>
      <w:bookmarkEnd w:id="25"/>
    </w:p>
    <w:p w:rsidR="004A2BF4" w:rsidRPr="004A2BF4" w:rsidRDefault="004A2BF4" w:rsidP="004A2BF4">
      <w:pPr>
        <w:jc w:val="center"/>
        <w:rPr>
          <w:smallCaps/>
          <w:szCs w:val="17"/>
        </w:rPr>
      </w:pPr>
      <w:r w:rsidRPr="004A2BF4">
        <w:rPr>
          <w:smallCaps/>
          <w:szCs w:val="17"/>
        </w:rPr>
        <w:t>Section 24</w:t>
      </w:r>
    </w:p>
    <w:p w:rsidR="004A2BF4" w:rsidRPr="004A2BF4" w:rsidRDefault="004A2BF4" w:rsidP="004A2BF4">
      <w:pPr>
        <w:jc w:val="center"/>
        <w:rPr>
          <w:i/>
          <w:szCs w:val="17"/>
        </w:rPr>
      </w:pPr>
      <w:r w:rsidRPr="004A2BF4">
        <w:rPr>
          <w:i/>
          <w:szCs w:val="17"/>
        </w:rPr>
        <w:t>Notice of Confirmation of Road Process Order</w:t>
      </w:r>
      <w:r w:rsidRPr="004A2BF4">
        <w:rPr>
          <w:i/>
          <w:szCs w:val="17"/>
        </w:rPr>
        <w:br/>
        <w:t>Road Closure – Public Road adjacent Scott Creek Road, Longwood</w:t>
      </w:r>
    </w:p>
    <w:p w:rsidR="004A2BF4" w:rsidRPr="004A2BF4" w:rsidRDefault="004A2BF4" w:rsidP="004A2BF4">
      <w:pPr>
        <w:rPr>
          <w:rFonts w:eastAsia="Times New Roman"/>
          <w:szCs w:val="17"/>
        </w:rPr>
      </w:pPr>
      <w:r w:rsidRPr="004A2BF4">
        <w:rPr>
          <w:rFonts w:eastAsia="Times New Roman"/>
          <w:szCs w:val="17"/>
        </w:rPr>
        <w:t>BY Road Process Order made on 27 March 2020, the Adelaide Hills Council ordered that:</w:t>
      </w:r>
    </w:p>
    <w:p w:rsidR="004A2BF4" w:rsidRPr="004A2BF4" w:rsidRDefault="004A2BF4" w:rsidP="004A2BF4">
      <w:pPr>
        <w:numPr>
          <w:ilvl w:val="0"/>
          <w:numId w:val="40"/>
        </w:numPr>
        <w:ind w:left="567"/>
        <w:rPr>
          <w:rFonts w:eastAsia="Times New Roman"/>
          <w:szCs w:val="17"/>
        </w:rPr>
      </w:pPr>
      <w:r w:rsidRPr="004A2BF4">
        <w:rPr>
          <w:rFonts w:eastAsia="Times New Roman"/>
          <w:szCs w:val="17"/>
        </w:rPr>
        <w:t>The Public Road adjacent Scott Creek Road, Longwood, situated adjoining Allotment 61 in Filed Plan 159338, Hundred of Noarlunga, more particularly delineated and lettered ‘A’ in Preliminary Plan 19/0047 be closed.</w:t>
      </w:r>
    </w:p>
    <w:p w:rsidR="004A2BF4" w:rsidRPr="004A2BF4" w:rsidRDefault="004A2BF4" w:rsidP="004A2BF4">
      <w:pPr>
        <w:numPr>
          <w:ilvl w:val="0"/>
          <w:numId w:val="40"/>
        </w:numPr>
        <w:ind w:left="567"/>
        <w:rPr>
          <w:rFonts w:eastAsia="Times New Roman"/>
          <w:spacing w:val="-2"/>
          <w:szCs w:val="17"/>
        </w:rPr>
      </w:pPr>
      <w:r w:rsidRPr="004A2BF4">
        <w:rPr>
          <w:rFonts w:eastAsia="Times New Roman"/>
          <w:spacing w:val="-2"/>
          <w:szCs w:val="17"/>
        </w:rPr>
        <w:t>Transfer the whole of the land subject to closure to Paul Reed in accordance with the Agreement for Transfer dated 12 February 2020 entered into between the Adelaide Hills Council and Paul Reed.</w:t>
      </w:r>
    </w:p>
    <w:p w:rsidR="004A2BF4" w:rsidRPr="004A2BF4" w:rsidRDefault="004A2BF4" w:rsidP="004A2BF4">
      <w:pPr>
        <w:rPr>
          <w:rFonts w:eastAsia="Times New Roman"/>
          <w:szCs w:val="17"/>
        </w:rPr>
      </w:pPr>
      <w:r w:rsidRPr="004A2BF4">
        <w:rPr>
          <w:rFonts w:eastAsia="Times New Roman"/>
          <w:szCs w:val="17"/>
        </w:rPr>
        <w:t>On 29 May 2020 that order was confirmed by the Minister for Transport, Infrastructure and Local Government conditionally upon the deposit by the Registrar-General of Deposited Plan 123949 being the authority for the new boundaries.</w:t>
      </w:r>
    </w:p>
    <w:p w:rsidR="004A2BF4" w:rsidRPr="004A2BF4" w:rsidRDefault="004A2BF4" w:rsidP="004A2BF4">
      <w:pPr>
        <w:rPr>
          <w:rFonts w:eastAsia="Times New Roman"/>
          <w:szCs w:val="17"/>
        </w:rPr>
      </w:pPr>
      <w:r w:rsidRPr="004A2BF4">
        <w:rPr>
          <w:rFonts w:eastAsia="Times New Roman"/>
          <w:szCs w:val="17"/>
        </w:rPr>
        <w:t>Pursuant to section 24 of the Roads (Opening and Closing) Act 1991, NOTICE of the Order referred to above and its confirmation is hereby given.</w:t>
      </w:r>
    </w:p>
    <w:p w:rsidR="004A2BF4" w:rsidRPr="004A2BF4" w:rsidRDefault="004A2BF4" w:rsidP="004A2BF4">
      <w:pPr>
        <w:spacing w:after="0"/>
        <w:rPr>
          <w:rFonts w:eastAsia="Times New Roman"/>
          <w:szCs w:val="17"/>
        </w:rPr>
      </w:pPr>
      <w:r w:rsidRPr="004A2BF4">
        <w:rPr>
          <w:rFonts w:eastAsia="Times New Roman"/>
          <w:szCs w:val="17"/>
        </w:rPr>
        <w:t>Dated: 4 June 2020</w:t>
      </w:r>
    </w:p>
    <w:p w:rsidR="004A2BF4" w:rsidRPr="004A2BF4" w:rsidRDefault="004A2BF4" w:rsidP="004A2BF4">
      <w:pPr>
        <w:spacing w:after="0"/>
        <w:jc w:val="right"/>
        <w:rPr>
          <w:rFonts w:eastAsia="Times New Roman"/>
          <w:smallCaps/>
          <w:szCs w:val="20"/>
        </w:rPr>
      </w:pPr>
      <w:r w:rsidRPr="004A2BF4">
        <w:rPr>
          <w:rFonts w:eastAsia="Times New Roman"/>
          <w:smallCaps/>
          <w:szCs w:val="17"/>
        </w:rPr>
        <w:t xml:space="preserve">M. P. </w:t>
      </w:r>
      <w:r w:rsidRPr="004A2BF4">
        <w:rPr>
          <w:rFonts w:eastAsia="Times New Roman"/>
          <w:smallCaps/>
          <w:szCs w:val="20"/>
        </w:rPr>
        <w:t>Burdett</w:t>
      </w:r>
    </w:p>
    <w:p w:rsidR="004A2BF4" w:rsidRPr="004A2BF4" w:rsidRDefault="004A2BF4" w:rsidP="004A2BF4">
      <w:pPr>
        <w:spacing w:after="0"/>
        <w:jc w:val="right"/>
        <w:rPr>
          <w:rFonts w:eastAsia="Times New Roman"/>
          <w:szCs w:val="17"/>
        </w:rPr>
      </w:pPr>
      <w:r w:rsidRPr="004A2BF4">
        <w:rPr>
          <w:rFonts w:eastAsia="Times New Roman"/>
          <w:szCs w:val="17"/>
        </w:rPr>
        <w:t>Surveyor-General</w:t>
      </w:r>
    </w:p>
    <w:p w:rsidR="004A2BF4" w:rsidRPr="004A2BF4" w:rsidRDefault="004A2BF4" w:rsidP="004A2BF4">
      <w:pPr>
        <w:spacing w:after="0"/>
        <w:rPr>
          <w:rFonts w:eastAsia="Times New Roman"/>
          <w:szCs w:val="17"/>
        </w:rPr>
      </w:pPr>
      <w:r w:rsidRPr="004A2BF4">
        <w:rPr>
          <w:rFonts w:eastAsia="Times New Roman"/>
          <w:szCs w:val="17"/>
        </w:rPr>
        <w:t>DPTI: 2019/15312/01</w:t>
      </w:r>
    </w:p>
    <w:p w:rsidR="004A2BF4" w:rsidRDefault="004A2BF4" w:rsidP="004A2BF4">
      <w:pPr>
        <w:pBdr>
          <w:bottom w:val="single" w:sz="4" w:space="1" w:color="auto"/>
        </w:pBdr>
        <w:spacing w:after="0" w:line="52" w:lineRule="exact"/>
        <w:jc w:val="center"/>
        <w:rPr>
          <w:lang w:val="en-US"/>
        </w:rPr>
      </w:pPr>
    </w:p>
    <w:p w:rsidR="004A2BF4" w:rsidRDefault="004A2BF4" w:rsidP="004A2BF4">
      <w:pPr>
        <w:pBdr>
          <w:top w:val="single" w:sz="4" w:space="1" w:color="auto"/>
        </w:pBdr>
        <w:spacing w:before="34" w:after="0" w:line="14" w:lineRule="exact"/>
        <w:jc w:val="center"/>
        <w:rPr>
          <w:lang w:val="en-US"/>
        </w:rPr>
      </w:pPr>
    </w:p>
    <w:p w:rsidR="004A2BF4" w:rsidRDefault="004A2BF4"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A2BF4" w:rsidRPr="001E02FF" w:rsidRDefault="004A2BF4" w:rsidP="00DC3F27">
      <w:pPr>
        <w:pStyle w:val="Heading2"/>
      </w:pPr>
      <w:bookmarkStart w:id="26" w:name="_Toc42155344"/>
      <w:r w:rsidRPr="001E02FF">
        <w:t>WORK HEALTH AND SAFETY ACT 2012</w:t>
      </w:r>
      <w:bookmarkEnd w:id="26"/>
    </w:p>
    <w:p w:rsidR="004A2BF4" w:rsidRPr="001E02FF" w:rsidRDefault="004A2BF4" w:rsidP="004A2BF4">
      <w:pPr>
        <w:pStyle w:val="GG-body"/>
        <w:rPr>
          <w:rFonts w:eastAsia="Calibri"/>
        </w:rPr>
      </w:pPr>
      <w:r w:rsidRPr="001E02FF">
        <w:rPr>
          <w:rFonts w:eastAsia="Calibri"/>
        </w:rPr>
        <w:t xml:space="preserve">I the Hon Robert Lucas MLC, Treasurer in and for the State of South Australia hereby approve the following Work Health and Safety Codes of Practice as Approved Codes of Practice in South Australia pursuant to section 274 of the </w:t>
      </w:r>
      <w:r w:rsidRPr="006A4780">
        <w:rPr>
          <w:rFonts w:eastAsia="Calibri"/>
          <w:i/>
        </w:rPr>
        <w:t>Work Health and Safety Act 2012</w:t>
      </w:r>
      <w:r w:rsidRPr="001E02FF">
        <w:rPr>
          <w:rFonts w:eastAsia="Calibri"/>
        </w:rPr>
        <w:t xml:space="preserve"> (SA), which will operate from 4 June 2020:</w:t>
      </w:r>
    </w:p>
    <w:p w:rsidR="004A2BF4" w:rsidRPr="00A41190" w:rsidRDefault="004A2BF4" w:rsidP="004A2BF4">
      <w:pPr>
        <w:pStyle w:val="GG-Bullets1"/>
        <w:tabs>
          <w:tab w:val="clear" w:pos="1134"/>
          <w:tab w:val="left" w:pos="709"/>
        </w:tabs>
        <w:spacing w:after="80"/>
        <w:ind w:left="714" w:hanging="357"/>
      </w:pPr>
      <w:r w:rsidRPr="00A41190">
        <w:t>Abrasive Blasting</w:t>
      </w:r>
    </w:p>
    <w:p w:rsidR="004A2BF4" w:rsidRPr="00A41190" w:rsidRDefault="004A2BF4" w:rsidP="004A2BF4">
      <w:pPr>
        <w:pStyle w:val="GG-Bullets1"/>
        <w:tabs>
          <w:tab w:val="clear" w:pos="1134"/>
          <w:tab w:val="left" w:pos="709"/>
        </w:tabs>
        <w:spacing w:after="80"/>
        <w:ind w:left="714" w:hanging="357"/>
      </w:pPr>
      <w:r w:rsidRPr="00A41190">
        <w:t>Confined Spaces</w:t>
      </w:r>
    </w:p>
    <w:p w:rsidR="004A2BF4" w:rsidRPr="00A41190" w:rsidRDefault="004A2BF4" w:rsidP="004A2BF4">
      <w:pPr>
        <w:pStyle w:val="GG-Bullets1"/>
        <w:tabs>
          <w:tab w:val="clear" w:pos="1134"/>
          <w:tab w:val="left" w:pos="709"/>
        </w:tabs>
        <w:spacing w:after="80"/>
        <w:ind w:left="714" w:hanging="357"/>
      </w:pPr>
      <w:r w:rsidRPr="00A41190">
        <w:t>Demolition Work</w:t>
      </w:r>
    </w:p>
    <w:p w:rsidR="004A2BF4" w:rsidRPr="00A41190" w:rsidRDefault="004A2BF4" w:rsidP="004A2BF4">
      <w:pPr>
        <w:pStyle w:val="GG-Bullets1"/>
        <w:tabs>
          <w:tab w:val="clear" w:pos="1134"/>
          <w:tab w:val="left" w:pos="709"/>
        </w:tabs>
        <w:spacing w:after="80"/>
        <w:ind w:left="714" w:hanging="357"/>
      </w:pPr>
      <w:r w:rsidRPr="00A41190">
        <w:t>Excavation Work</w:t>
      </w:r>
    </w:p>
    <w:p w:rsidR="004A2BF4" w:rsidRPr="00A41190" w:rsidRDefault="004A2BF4" w:rsidP="004A2BF4">
      <w:pPr>
        <w:pStyle w:val="GG-Bullets1"/>
        <w:tabs>
          <w:tab w:val="clear" w:pos="1134"/>
          <w:tab w:val="left" w:pos="709"/>
        </w:tabs>
        <w:spacing w:after="80"/>
        <w:ind w:left="714" w:hanging="357"/>
      </w:pPr>
      <w:r w:rsidRPr="00A41190">
        <w:t>First Aid in the Workplace</w:t>
      </w:r>
    </w:p>
    <w:p w:rsidR="004A2BF4" w:rsidRPr="00A41190" w:rsidRDefault="004A2BF4" w:rsidP="004A2BF4">
      <w:pPr>
        <w:pStyle w:val="GG-Bullets1"/>
        <w:tabs>
          <w:tab w:val="clear" w:pos="1134"/>
          <w:tab w:val="left" w:pos="709"/>
        </w:tabs>
        <w:spacing w:after="80"/>
        <w:ind w:left="714" w:hanging="357"/>
      </w:pPr>
      <w:r w:rsidRPr="00A41190">
        <w:t>Hazardous Manual Tasks</w:t>
      </w:r>
    </w:p>
    <w:p w:rsidR="004A2BF4" w:rsidRPr="00A41190" w:rsidRDefault="004A2BF4" w:rsidP="004A2BF4">
      <w:pPr>
        <w:pStyle w:val="GG-Bullets1"/>
        <w:tabs>
          <w:tab w:val="clear" w:pos="1134"/>
          <w:tab w:val="left" w:pos="709"/>
        </w:tabs>
        <w:spacing w:after="80"/>
        <w:ind w:left="714" w:hanging="357"/>
      </w:pPr>
      <w:r w:rsidRPr="00A41190">
        <w:t>How to Manage and Control Asbestos in the Workplace</w:t>
      </w:r>
    </w:p>
    <w:p w:rsidR="004A2BF4" w:rsidRPr="00A41190" w:rsidRDefault="004A2BF4" w:rsidP="004A2BF4">
      <w:pPr>
        <w:pStyle w:val="GG-Bullets1"/>
        <w:tabs>
          <w:tab w:val="clear" w:pos="1134"/>
          <w:tab w:val="left" w:pos="709"/>
        </w:tabs>
        <w:spacing w:after="80"/>
        <w:ind w:left="714" w:hanging="357"/>
      </w:pPr>
      <w:r w:rsidRPr="00A41190">
        <w:t>How to Manage Work Health and Safety Risks</w:t>
      </w:r>
    </w:p>
    <w:p w:rsidR="004A2BF4" w:rsidRPr="00A41190" w:rsidRDefault="004A2BF4" w:rsidP="004A2BF4">
      <w:pPr>
        <w:pStyle w:val="GG-Bullets1"/>
        <w:tabs>
          <w:tab w:val="clear" w:pos="1134"/>
          <w:tab w:val="left" w:pos="709"/>
        </w:tabs>
        <w:spacing w:after="80"/>
        <w:ind w:left="714" w:hanging="357"/>
      </w:pPr>
      <w:r w:rsidRPr="00A41190">
        <w:t>How to Safely Remove Asbestos</w:t>
      </w:r>
    </w:p>
    <w:p w:rsidR="004A2BF4" w:rsidRPr="00A41190" w:rsidRDefault="004A2BF4" w:rsidP="004A2BF4">
      <w:pPr>
        <w:pStyle w:val="GG-Bullets1"/>
        <w:tabs>
          <w:tab w:val="clear" w:pos="1134"/>
          <w:tab w:val="left" w:pos="709"/>
        </w:tabs>
        <w:spacing w:after="80"/>
        <w:ind w:left="714" w:hanging="357"/>
      </w:pPr>
      <w:r w:rsidRPr="00A41190">
        <w:t>Labelling of Workplace Hazardous Chemicals</w:t>
      </w:r>
    </w:p>
    <w:p w:rsidR="004A2BF4" w:rsidRPr="00A41190" w:rsidRDefault="004A2BF4" w:rsidP="004A2BF4">
      <w:pPr>
        <w:pStyle w:val="GG-Bullets1"/>
        <w:tabs>
          <w:tab w:val="clear" w:pos="1134"/>
          <w:tab w:val="left" w:pos="709"/>
        </w:tabs>
        <w:spacing w:after="80"/>
        <w:ind w:left="714" w:hanging="357"/>
      </w:pPr>
      <w:r w:rsidRPr="00A41190">
        <w:t>Managing Electrical Risks in the Workplace</w:t>
      </w:r>
    </w:p>
    <w:p w:rsidR="004A2BF4" w:rsidRPr="00A41190" w:rsidRDefault="004A2BF4" w:rsidP="004A2BF4">
      <w:pPr>
        <w:pStyle w:val="GG-Bullets1"/>
        <w:tabs>
          <w:tab w:val="clear" w:pos="1134"/>
          <w:tab w:val="left" w:pos="709"/>
        </w:tabs>
        <w:spacing w:after="80"/>
        <w:ind w:left="714" w:hanging="357"/>
      </w:pPr>
      <w:r w:rsidRPr="00A41190">
        <w:t>Managing Noise and Preventing Hearing Loss at Work</w:t>
      </w:r>
    </w:p>
    <w:p w:rsidR="004A2BF4" w:rsidRPr="00A41190" w:rsidRDefault="004A2BF4" w:rsidP="004A2BF4">
      <w:pPr>
        <w:pStyle w:val="GG-Bullets1"/>
        <w:tabs>
          <w:tab w:val="clear" w:pos="1134"/>
          <w:tab w:val="left" w:pos="709"/>
        </w:tabs>
        <w:spacing w:after="80"/>
        <w:ind w:left="714" w:hanging="357"/>
      </w:pPr>
      <w:r w:rsidRPr="00A41190">
        <w:t>Managing Risks of Hazardous Chemicals in the Workplace</w:t>
      </w:r>
    </w:p>
    <w:p w:rsidR="004A2BF4" w:rsidRPr="00A41190" w:rsidRDefault="004A2BF4" w:rsidP="004A2BF4">
      <w:pPr>
        <w:pStyle w:val="GG-Bullets1"/>
        <w:tabs>
          <w:tab w:val="clear" w:pos="1134"/>
          <w:tab w:val="left" w:pos="709"/>
        </w:tabs>
        <w:spacing w:after="80"/>
        <w:ind w:left="714" w:hanging="357"/>
      </w:pPr>
      <w:r w:rsidRPr="00A41190">
        <w:t>Managing Risks of Plant in the Workplace</w:t>
      </w:r>
    </w:p>
    <w:p w:rsidR="004A2BF4" w:rsidRPr="00A41190" w:rsidRDefault="004A2BF4" w:rsidP="004A2BF4">
      <w:pPr>
        <w:pStyle w:val="GG-Bullets1"/>
        <w:tabs>
          <w:tab w:val="clear" w:pos="1134"/>
          <w:tab w:val="left" w:pos="709"/>
        </w:tabs>
        <w:spacing w:after="80"/>
        <w:ind w:left="714" w:hanging="357"/>
      </w:pPr>
      <w:r w:rsidRPr="00A41190">
        <w:t>Managing the Risk of Falls at Workplaces</w:t>
      </w:r>
    </w:p>
    <w:p w:rsidR="004A2BF4" w:rsidRPr="00A41190" w:rsidRDefault="004A2BF4" w:rsidP="004A2BF4">
      <w:pPr>
        <w:pStyle w:val="GG-Bullets1"/>
        <w:tabs>
          <w:tab w:val="clear" w:pos="1134"/>
          <w:tab w:val="left" w:pos="709"/>
        </w:tabs>
        <w:spacing w:after="80"/>
        <w:ind w:left="714" w:hanging="357"/>
      </w:pPr>
      <w:r w:rsidRPr="00A41190">
        <w:t>Managing the Work Environment and Facilities</w:t>
      </w:r>
    </w:p>
    <w:p w:rsidR="004A2BF4" w:rsidRPr="00A41190" w:rsidRDefault="004A2BF4" w:rsidP="004A2BF4">
      <w:pPr>
        <w:pStyle w:val="GG-Bullets1"/>
        <w:tabs>
          <w:tab w:val="clear" w:pos="1134"/>
          <w:tab w:val="left" w:pos="709"/>
        </w:tabs>
        <w:spacing w:after="80"/>
        <w:ind w:left="714" w:hanging="357"/>
      </w:pPr>
      <w:r w:rsidRPr="00A41190">
        <w:t>Preparation of Safety Data Sheets for Hazardous Chemicals</w:t>
      </w:r>
    </w:p>
    <w:p w:rsidR="004A2BF4" w:rsidRPr="00A41190" w:rsidRDefault="004A2BF4" w:rsidP="004A2BF4">
      <w:pPr>
        <w:pStyle w:val="GG-Bullets1"/>
        <w:tabs>
          <w:tab w:val="clear" w:pos="1134"/>
          <w:tab w:val="left" w:pos="709"/>
        </w:tabs>
        <w:spacing w:after="80"/>
        <w:ind w:left="714" w:hanging="357"/>
      </w:pPr>
      <w:r w:rsidRPr="00A41190">
        <w:t>Spray Painting and Powder Coating</w:t>
      </w:r>
    </w:p>
    <w:p w:rsidR="004A2BF4" w:rsidRPr="00A41190" w:rsidRDefault="004A2BF4" w:rsidP="004A2BF4">
      <w:pPr>
        <w:pStyle w:val="GG-Bullets1"/>
        <w:tabs>
          <w:tab w:val="clear" w:pos="1134"/>
          <w:tab w:val="left" w:pos="709"/>
        </w:tabs>
        <w:spacing w:after="80"/>
        <w:ind w:left="714" w:hanging="357"/>
      </w:pPr>
      <w:r w:rsidRPr="00A41190">
        <w:t>Welding Processes</w:t>
      </w:r>
    </w:p>
    <w:p w:rsidR="004A2BF4" w:rsidRPr="00A41190" w:rsidRDefault="004A2BF4" w:rsidP="004A2BF4">
      <w:pPr>
        <w:pStyle w:val="GG-Bullets1"/>
        <w:tabs>
          <w:tab w:val="clear" w:pos="1134"/>
          <w:tab w:val="left" w:pos="709"/>
        </w:tabs>
        <w:spacing w:after="80"/>
        <w:ind w:left="714" w:hanging="357"/>
      </w:pPr>
      <w:r w:rsidRPr="00A41190">
        <w:t>Work Health and Safety Consultation, Cooperation and Coordination.</w:t>
      </w:r>
    </w:p>
    <w:p w:rsidR="004A2BF4" w:rsidRPr="001E02FF" w:rsidRDefault="004A2BF4" w:rsidP="004A2BF4">
      <w:pPr>
        <w:pStyle w:val="GG-SDated"/>
      </w:pPr>
      <w:r>
        <w:rPr>
          <w:rFonts w:eastAsia="Calibri"/>
        </w:rPr>
        <w:t>Dated: 29 May</w:t>
      </w:r>
      <w:r w:rsidRPr="001E02FF">
        <w:rPr>
          <w:rFonts w:eastAsia="Calibri"/>
        </w:rPr>
        <w:t xml:space="preserve"> 2020</w:t>
      </w:r>
    </w:p>
    <w:p w:rsidR="004A2BF4" w:rsidRPr="001E02FF" w:rsidRDefault="004A2BF4" w:rsidP="004A2BF4">
      <w:pPr>
        <w:pStyle w:val="GG-SName"/>
        <w:rPr>
          <w:rFonts w:eastAsia="Calibri"/>
        </w:rPr>
      </w:pPr>
      <w:r w:rsidRPr="001E02FF">
        <w:rPr>
          <w:rFonts w:eastAsia="Calibri"/>
        </w:rPr>
        <w:t>Hon Rob Lucas MLC</w:t>
      </w:r>
    </w:p>
    <w:p w:rsidR="004A2BF4" w:rsidRDefault="004A2BF4" w:rsidP="004A2BF4">
      <w:pPr>
        <w:pStyle w:val="GG-Signature"/>
        <w:rPr>
          <w:rFonts w:eastAsia="Calibri"/>
        </w:rPr>
      </w:pPr>
      <w:r w:rsidRPr="001E02FF">
        <w:rPr>
          <w:rFonts w:eastAsia="Calibri"/>
        </w:rPr>
        <w:t>Treasurer</w:t>
      </w:r>
    </w:p>
    <w:p w:rsidR="004A2BF4" w:rsidRDefault="004A2BF4" w:rsidP="004A2BF4">
      <w:pPr>
        <w:pStyle w:val="GG-Signature"/>
        <w:pBdr>
          <w:bottom w:val="single" w:sz="4" w:space="1" w:color="auto"/>
        </w:pBdr>
        <w:spacing w:line="52" w:lineRule="exact"/>
        <w:jc w:val="center"/>
        <w:rPr>
          <w:rFonts w:eastAsia="Calibri"/>
        </w:rPr>
      </w:pPr>
    </w:p>
    <w:p w:rsidR="004A2BF4" w:rsidRDefault="004A2BF4" w:rsidP="004A2BF4">
      <w:pPr>
        <w:pStyle w:val="GG-Signature"/>
        <w:pBdr>
          <w:top w:val="single" w:sz="4" w:space="1" w:color="auto"/>
        </w:pBdr>
        <w:spacing w:before="34" w:line="14" w:lineRule="exact"/>
        <w:jc w:val="center"/>
        <w:rPr>
          <w:rFonts w:eastAsia="Calibri"/>
        </w:rPr>
      </w:pPr>
    </w:p>
    <w:p w:rsidR="004A2BF4" w:rsidRDefault="004A2BF4" w:rsidP="004A2BF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Calibri"/>
        </w:rPr>
      </w:pPr>
    </w:p>
    <w:p w:rsidR="004A2BF4" w:rsidRDefault="004A2BF4" w:rsidP="004A2BF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Calibri"/>
        </w:rPr>
      </w:pPr>
    </w:p>
    <w:p w:rsidR="004A2BF4" w:rsidRDefault="004A2BF4" w:rsidP="004A2BF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Calibri"/>
        </w:rPr>
      </w:pPr>
    </w:p>
    <w:p w:rsidR="004A2BF4" w:rsidRDefault="004A2BF4"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A2BF4" w:rsidRDefault="004A2BF4"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A2BF4" w:rsidRDefault="004A2BF4" w:rsidP="00D668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D1E2E" w:rsidRPr="009D1E2E" w:rsidRDefault="009D1E2E" w:rsidP="00F80EF5">
      <w:pPr>
        <w:pStyle w:val="Heading1"/>
      </w:pPr>
      <w:r>
        <w:rPr>
          <w:lang w:val="en-US"/>
        </w:rPr>
        <w:br w:type="page"/>
      </w:r>
      <w:bookmarkStart w:id="27" w:name="_Toc33707983"/>
      <w:bookmarkStart w:id="28" w:name="_Toc33708154"/>
      <w:bookmarkStart w:id="29" w:name="_Toc42155345"/>
      <w:r>
        <w:lastRenderedPageBreak/>
        <w:t>Local</w:t>
      </w:r>
      <w:r w:rsidRPr="009D1E2E">
        <w:t xml:space="preserve"> Government Instruments</w:t>
      </w:r>
      <w:bookmarkEnd w:id="27"/>
      <w:bookmarkEnd w:id="28"/>
      <w:bookmarkEnd w:id="29"/>
    </w:p>
    <w:p w:rsidR="004A2BF4" w:rsidRPr="0062417D" w:rsidRDefault="004A2BF4" w:rsidP="00DC3F27">
      <w:pPr>
        <w:pStyle w:val="Heading2"/>
      </w:pPr>
      <w:bookmarkStart w:id="30" w:name="_Toc42155346"/>
      <w:r w:rsidRPr="0062417D">
        <w:t>CITY OF NORWOOD PAYNEHAM &amp; ST PETERS</w:t>
      </w:r>
      <w:bookmarkEnd w:id="30"/>
    </w:p>
    <w:p w:rsidR="004A2BF4" w:rsidRPr="0062417D" w:rsidRDefault="004A2BF4" w:rsidP="004A2BF4">
      <w:pPr>
        <w:pStyle w:val="GG-Title3"/>
      </w:pPr>
      <w:r>
        <w:t>Adoption o</w:t>
      </w:r>
      <w:r w:rsidRPr="0062417D">
        <w:t>f Community Land Management Plans</w:t>
      </w:r>
    </w:p>
    <w:p w:rsidR="004A2BF4" w:rsidRPr="0062417D" w:rsidRDefault="004A2BF4" w:rsidP="004A2BF4">
      <w:pPr>
        <w:pStyle w:val="GG-body"/>
        <w:rPr>
          <w:rFonts w:eastAsia="Calibri"/>
        </w:rPr>
      </w:pPr>
      <w:r w:rsidRPr="0062417D">
        <w:rPr>
          <w:rFonts w:eastAsia="Calibri"/>
        </w:rPr>
        <w:t xml:space="preserve">Notice is hereby given pursuant to Section 197(3) of the </w:t>
      </w:r>
      <w:r w:rsidRPr="0062417D">
        <w:rPr>
          <w:rFonts w:eastAsia="Calibri"/>
          <w:i/>
        </w:rPr>
        <w:t xml:space="preserve">Local Government Act 1999 </w:t>
      </w:r>
      <w:r w:rsidRPr="0062417D">
        <w:rPr>
          <w:rFonts w:eastAsia="Calibri"/>
        </w:rPr>
        <w:t>that the City of Norwood Payneham &amp; St Peters, at its meeting held on 1 June 2020, adopted the following Community Land Management Plans:</w:t>
      </w:r>
    </w:p>
    <w:p w:rsidR="004A2BF4" w:rsidRPr="0062417D" w:rsidRDefault="004A2BF4" w:rsidP="004A2BF4">
      <w:pPr>
        <w:pStyle w:val="GG-body"/>
        <w:numPr>
          <w:ilvl w:val="0"/>
          <w:numId w:val="41"/>
        </w:numPr>
        <w:spacing w:after="0"/>
        <w:ind w:left="426" w:hanging="284"/>
        <w:rPr>
          <w:rFonts w:eastAsia="Calibri"/>
        </w:rPr>
      </w:pPr>
      <w:r w:rsidRPr="0062417D">
        <w:rPr>
          <w:rFonts w:eastAsia="Calibri"/>
        </w:rPr>
        <w:t>Community Land Management Plan – Strategic Overview</w:t>
      </w:r>
    </w:p>
    <w:p w:rsidR="004A2BF4" w:rsidRPr="0062417D" w:rsidRDefault="004A2BF4" w:rsidP="004A2BF4">
      <w:pPr>
        <w:pStyle w:val="GG-body"/>
        <w:numPr>
          <w:ilvl w:val="0"/>
          <w:numId w:val="41"/>
        </w:numPr>
        <w:spacing w:after="0"/>
        <w:ind w:left="426" w:hanging="284"/>
        <w:rPr>
          <w:rFonts w:eastAsia="Calibri"/>
        </w:rPr>
      </w:pPr>
      <w:r w:rsidRPr="0062417D">
        <w:rPr>
          <w:rFonts w:eastAsia="Calibri"/>
        </w:rPr>
        <w:t>Parks &amp; Reserves – Community Land Management Plan</w:t>
      </w:r>
    </w:p>
    <w:p w:rsidR="004A2BF4" w:rsidRPr="0062417D" w:rsidRDefault="004A2BF4" w:rsidP="004A2BF4">
      <w:pPr>
        <w:pStyle w:val="GG-body"/>
        <w:numPr>
          <w:ilvl w:val="0"/>
          <w:numId w:val="41"/>
        </w:numPr>
        <w:spacing w:after="0"/>
        <w:ind w:left="426" w:hanging="284"/>
        <w:rPr>
          <w:rFonts w:eastAsia="Calibri"/>
        </w:rPr>
      </w:pPr>
      <w:r w:rsidRPr="0062417D">
        <w:rPr>
          <w:rFonts w:eastAsia="Calibri"/>
        </w:rPr>
        <w:t>Sporting Facilities – Community Land Management Plan</w:t>
      </w:r>
    </w:p>
    <w:p w:rsidR="004A2BF4" w:rsidRPr="0062417D" w:rsidRDefault="004A2BF4" w:rsidP="004A2BF4">
      <w:pPr>
        <w:pStyle w:val="GG-body"/>
        <w:numPr>
          <w:ilvl w:val="0"/>
          <w:numId w:val="41"/>
        </w:numPr>
        <w:spacing w:after="0"/>
        <w:ind w:left="426" w:hanging="284"/>
        <w:rPr>
          <w:rFonts w:eastAsia="Calibri"/>
        </w:rPr>
      </w:pPr>
      <w:r w:rsidRPr="0062417D">
        <w:rPr>
          <w:rFonts w:eastAsia="Calibri"/>
        </w:rPr>
        <w:t>Civic &amp; Community Facilities – Community Land Management Plan</w:t>
      </w:r>
    </w:p>
    <w:p w:rsidR="004A2BF4" w:rsidRPr="0062417D" w:rsidRDefault="004A2BF4" w:rsidP="004A2BF4">
      <w:pPr>
        <w:pStyle w:val="GG-body"/>
        <w:numPr>
          <w:ilvl w:val="0"/>
          <w:numId w:val="41"/>
        </w:numPr>
        <w:ind w:left="426" w:hanging="284"/>
        <w:rPr>
          <w:rFonts w:eastAsia="Calibri"/>
        </w:rPr>
      </w:pPr>
      <w:r w:rsidRPr="0062417D">
        <w:rPr>
          <w:rFonts w:eastAsia="Calibri"/>
        </w:rPr>
        <w:t>Operational &amp; Other Community Land – Community Land Management Plan</w:t>
      </w:r>
    </w:p>
    <w:p w:rsidR="004A2BF4" w:rsidRDefault="004A2BF4" w:rsidP="004A2BF4">
      <w:pPr>
        <w:pStyle w:val="GG-SDated"/>
        <w:rPr>
          <w:rFonts w:eastAsia="Calibri"/>
        </w:rPr>
      </w:pPr>
      <w:r>
        <w:rPr>
          <w:rFonts w:eastAsia="Calibri"/>
        </w:rPr>
        <w:t>Dated: 4 June 2020</w:t>
      </w:r>
    </w:p>
    <w:p w:rsidR="004A2BF4" w:rsidRPr="0062417D" w:rsidRDefault="004A2BF4" w:rsidP="004A2BF4">
      <w:pPr>
        <w:pStyle w:val="GG-SName"/>
        <w:rPr>
          <w:rFonts w:eastAsia="Calibri"/>
        </w:rPr>
      </w:pPr>
      <w:r w:rsidRPr="0062417D">
        <w:rPr>
          <w:rFonts w:eastAsia="Calibri"/>
        </w:rPr>
        <w:t>Mario Barone</w:t>
      </w:r>
    </w:p>
    <w:p w:rsidR="004A2BF4" w:rsidRDefault="004A2BF4" w:rsidP="004A2BF4">
      <w:pPr>
        <w:pStyle w:val="GG-Signature"/>
        <w:rPr>
          <w:rFonts w:eastAsia="Calibri"/>
        </w:rPr>
      </w:pPr>
      <w:r w:rsidRPr="0062417D">
        <w:rPr>
          <w:rFonts w:eastAsia="Calibri"/>
        </w:rPr>
        <w:t>Chief Executive Officer</w:t>
      </w:r>
    </w:p>
    <w:p w:rsidR="004A2BF4" w:rsidRDefault="004A2BF4" w:rsidP="004A2BF4">
      <w:pPr>
        <w:pStyle w:val="GG-Signature"/>
        <w:pBdr>
          <w:top w:val="single" w:sz="4" w:space="1" w:color="auto"/>
        </w:pBdr>
        <w:spacing w:before="100" w:line="14" w:lineRule="exact"/>
        <w:jc w:val="center"/>
        <w:rPr>
          <w:rFonts w:eastAsia="Calibri"/>
        </w:rPr>
      </w:pPr>
    </w:p>
    <w:p w:rsidR="004A2BF4" w:rsidRDefault="004A2BF4" w:rsidP="004A2BF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hAnsi="CG Times (W1)"/>
        </w:rPr>
      </w:pPr>
    </w:p>
    <w:p w:rsidR="004A2BF4" w:rsidRPr="004A2BF4" w:rsidRDefault="004A2BF4" w:rsidP="004A2BF4">
      <w:pPr>
        <w:jc w:val="center"/>
        <w:rPr>
          <w:caps/>
          <w:szCs w:val="17"/>
        </w:rPr>
      </w:pPr>
      <w:r w:rsidRPr="004A2BF4">
        <w:rPr>
          <w:caps/>
          <w:szCs w:val="17"/>
        </w:rPr>
        <w:t>CITY OF NORWOOD PAYNEHAM &amp; ST PETERS</w:t>
      </w:r>
    </w:p>
    <w:p w:rsidR="004A2BF4" w:rsidRPr="004A2BF4" w:rsidRDefault="004A2BF4" w:rsidP="004A2BF4">
      <w:pPr>
        <w:jc w:val="center"/>
        <w:rPr>
          <w:i/>
          <w:szCs w:val="17"/>
        </w:rPr>
      </w:pPr>
      <w:r w:rsidRPr="004A2BF4">
        <w:rPr>
          <w:i/>
          <w:szCs w:val="17"/>
        </w:rPr>
        <w:t>Revocation of Community Land Management Plans</w:t>
      </w:r>
    </w:p>
    <w:p w:rsidR="004A2BF4" w:rsidRPr="004A2BF4" w:rsidRDefault="004A2BF4" w:rsidP="004A2BF4">
      <w:pPr>
        <w:rPr>
          <w:szCs w:val="17"/>
        </w:rPr>
      </w:pPr>
      <w:r w:rsidRPr="004A2BF4">
        <w:rPr>
          <w:szCs w:val="17"/>
        </w:rPr>
        <w:t>Notice is hereby given pursuant to Section 198(4) of the Local Government Act 1999 that the City of Norwood Payneham &amp; St Peters, at its meeting held on 1 June 2020, adopted a proposal for the revocation of the following Community Land Management Plans:</w:t>
      </w:r>
    </w:p>
    <w:tbl>
      <w:tblPr>
        <w:tblStyle w:val="TableGrid"/>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4A2BF4" w:rsidRPr="004A2BF4" w:rsidTr="006A7F0C">
        <w:trPr>
          <w:trHeight w:val="8492"/>
        </w:trPr>
        <w:tc>
          <w:tcPr>
            <w:tcW w:w="4702" w:type="dxa"/>
          </w:tcPr>
          <w:p w:rsidR="004A2BF4" w:rsidRPr="004A2BF4" w:rsidRDefault="004A2BF4" w:rsidP="006A7F0C">
            <w:pPr>
              <w:spacing w:after="0" w:line="160" w:lineRule="exact"/>
              <w:rPr>
                <w:rFonts w:eastAsia="Calibri"/>
                <w:sz w:val="16"/>
                <w:szCs w:val="16"/>
              </w:rPr>
            </w:pPr>
            <w:r w:rsidRPr="004A2BF4">
              <w:rPr>
                <w:rFonts w:eastAsia="Calibri"/>
                <w:sz w:val="16"/>
                <w:szCs w:val="16"/>
              </w:rPr>
              <w:t>Alfred Street Park</w:t>
            </w:r>
          </w:p>
          <w:p w:rsidR="004A2BF4" w:rsidRPr="004A2BF4" w:rsidRDefault="004A2BF4" w:rsidP="006A7F0C">
            <w:pPr>
              <w:spacing w:after="0" w:line="160" w:lineRule="exact"/>
              <w:rPr>
                <w:rFonts w:eastAsia="Calibri"/>
                <w:sz w:val="16"/>
                <w:szCs w:val="16"/>
              </w:rPr>
            </w:pPr>
            <w:r w:rsidRPr="004A2BF4">
              <w:rPr>
                <w:rFonts w:eastAsia="Calibri"/>
                <w:sz w:val="16"/>
                <w:szCs w:val="16"/>
              </w:rPr>
              <w:t>Amherst Avenue Drainage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Beulah Road Community Hall</w:t>
            </w:r>
          </w:p>
          <w:p w:rsidR="004A2BF4" w:rsidRPr="004A2BF4" w:rsidRDefault="004A2BF4" w:rsidP="006A7F0C">
            <w:pPr>
              <w:spacing w:after="0" w:line="160" w:lineRule="exact"/>
              <w:rPr>
                <w:rFonts w:eastAsia="Calibri"/>
                <w:sz w:val="16"/>
                <w:szCs w:val="16"/>
              </w:rPr>
            </w:pPr>
            <w:r w:rsidRPr="004A2BF4">
              <w:rPr>
                <w:rFonts w:eastAsia="Calibri"/>
                <w:sz w:val="16"/>
                <w:szCs w:val="16"/>
              </w:rPr>
              <w:t>Bishops Place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Booroo Street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Borthwick Memorial Gardens</w:t>
            </w:r>
          </w:p>
          <w:p w:rsidR="004A2BF4" w:rsidRPr="004A2BF4" w:rsidRDefault="004A2BF4" w:rsidP="006A7F0C">
            <w:pPr>
              <w:spacing w:after="0" w:line="160" w:lineRule="exact"/>
              <w:rPr>
                <w:rFonts w:eastAsia="Calibri"/>
                <w:sz w:val="16"/>
                <w:szCs w:val="16"/>
              </w:rPr>
            </w:pPr>
            <w:r w:rsidRPr="004A2BF4">
              <w:rPr>
                <w:rFonts w:eastAsia="Calibri"/>
                <w:sz w:val="16"/>
                <w:szCs w:val="16"/>
              </w:rPr>
              <w:t>Borthwick Park</w:t>
            </w:r>
          </w:p>
          <w:p w:rsidR="004A2BF4" w:rsidRPr="004A2BF4" w:rsidRDefault="004A2BF4" w:rsidP="006A7F0C">
            <w:pPr>
              <w:spacing w:after="0" w:line="160" w:lineRule="exact"/>
              <w:rPr>
                <w:rFonts w:eastAsia="Calibri"/>
                <w:sz w:val="16"/>
                <w:szCs w:val="16"/>
              </w:rPr>
            </w:pPr>
            <w:r w:rsidRPr="004A2BF4">
              <w:rPr>
                <w:rFonts w:eastAsia="Calibri"/>
                <w:sz w:val="16"/>
                <w:szCs w:val="16"/>
              </w:rPr>
              <w:t>Breaker Street Drainage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Bridge Road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Broad Street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Buik Crescent</w:t>
            </w:r>
          </w:p>
          <w:p w:rsidR="004A2BF4" w:rsidRPr="004A2BF4" w:rsidRDefault="004A2BF4" w:rsidP="006A7F0C">
            <w:pPr>
              <w:spacing w:after="0" w:line="160" w:lineRule="exact"/>
              <w:rPr>
                <w:rFonts w:eastAsia="Calibri"/>
                <w:sz w:val="16"/>
                <w:szCs w:val="16"/>
              </w:rPr>
            </w:pPr>
            <w:r w:rsidRPr="004A2BF4">
              <w:rPr>
                <w:rFonts w:eastAsia="Calibri"/>
                <w:sz w:val="16"/>
                <w:szCs w:val="16"/>
              </w:rPr>
              <w:t>Burchell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Buttery Sportsground</w:t>
            </w:r>
          </w:p>
          <w:p w:rsidR="004A2BF4" w:rsidRPr="004A2BF4" w:rsidRDefault="004A2BF4" w:rsidP="006A7F0C">
            <w:pPr>
              <w:spacing w:after="0" w:line="160" w:lineRule="exact"/>
              <w:rPr>
                <w:rFonts w:eastAsia="Calibri"/>
                <w:sz w:val="16"/>
                <w:szCs w:val="16"/>
              </w:rPr>
            </w:pPr>
            <w:r w:rsidRPr="004A2BF4">
              <w:rPr>
                <w:rFonts w:eastAsia="Calibri"/>
                <w:sz w:val="16"/>
                <w:szCs w:val="16"/>
              </w:rPr>
              <w:t>Chimney Park</w:t>
            </w:r>
          </w:p>
          <w:p w:rsidR="004A2BF4" w:rsidRPr="004A2BF4" w:rsidRDefault="004A2BF4" w:rsidP="006A7F0C">
            <w:pPr>
              <w:spacing w:after="0" w:line="160" w:lineRule="exact"/>
              <w:rPr>
                <w:rFonts w:eastAsia="Calibri"/>
                <w:sz w:val="16"/>
                <w:szCs w:val="16"/>
              </w:rPr>
            </w:pPr>
            <w:r w:rsidRPr="004A2BF4">
              <w:rPr>
                <w:rFonts w:eastAsia="Calibri"/>
                <w:sz w:val="16"/>
                <w:szCs w:val="16"/>
              </w:rPr>
              <w:t>Church Avenue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Church Street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City Of Norwood Payneham And St Peters Works Depot</w:t>
            </w:r>
          </w:p>
          <w:p w:rsidR="004A2BF4" w:rsidRPr="004A2BF4" w:rsidRDefault="004A2BF4" w:rsidP="006A7F0C">
            <w:pPr>
              <w:spacing w:after="0" w:line="160" w:lineRule="exact"/>
              <w:rPr>
                <w:rFonts w:eastAsia="Calibri"/>
                <w:sz w:val="16"/>
                <w:szCs w:val="16"/>
              </w:rPr>
            </w:pPr>
            <w:r w:rsidRPr="004A2BF4">
              <w:rPr>
                <w:rFonts w:eastAsia="Calibri"/>
                <w:sz w:val="16"/>
                <w:szCs w:val="16"/>
              </w:rPr>
              <w:t>Cliff Goodwin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College Road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Dan And Nan Manning Playground And Walkway</w:t>
            </w:r>
          </w:p>
          <w:p w:rsidR="004A2BF4" w:rsidRPr="004A2BF4" w:rsidRDefault="004A2BF4" w:rsidP="006A7F0C">
            <w:pPr>
              <w:spacing w:after="0" w:line="160" w:lineRule="exact"/>
              <w:rPr>
                <w:rFonts w:eastAsia="Calibri"/>
                <w:sz w:val="16"/>
                <w:szCs w:val="16"/>
              </w:rPr>
            </w:pPr>
            <w:r w:rsidRPr="004A2BF4">
              <w:rPr>
                <w:rFonts w:eastAsia="Calibri"/>
                <w:sz w:val="16"/>
                <w:szCs w:val="16"/>
              </w:rPr>
              <w:t>Donegal Street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Drage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Dunstan Adventure Playground</w:t>
            </w:r>
          </w:p>
          <w:p w:rsidR="004A2BF4" w:rsidRPr="004A2BF4" w:rsidRDefault="004A2BF4" w:rsidP="006A7F0C">
            <w:pPr>
              <w:spacing w:after="0" w:line="160" w:lineRule="exact"/>
              <w:rPr>
                <w:rFonts w:eastAsia="Calibri"/>
                <w:sz w:val="16"/>
                <w:szCs w:val="16"/>
              </w:rPr>
            </w:pPr>
            <w:r w:rsidRPr="004A2BF4">
              <w:rPr>
                <w:rFonts w:eastAsia="Calibri"/>
                <w:sz w:val="16"/>
                <w:szCs w:val="16"/>
              </w:rPr>
              <w:t>Dunstone Grove – Linde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Edwin Smith Walk</w:t>
            </w:r>
          </w:p>
          <w:p w:rsidR="004A2BF4" w:rsidRPr="004A2BF4" w:rsidRDefault="004A2BF4" w:rsidP="006A7F0C">
            <w:pPr>
              <w:spacing w:after="0" w:line="160" w:lineRule="exact"/>
              <w:rPr>
                <w:rFonts w:eastAsia="Calibri"/>
                <w:sz w:val="16"/>
                <w:szCs w:val="16"/>
              </w:rPr>
            </w:pPr>
            <w:r w:rsidRPr="004A2BF4">
              <w:rPr>
                <w:rFonts w:eastAsia="Calibri"/>
                <w:sz w:val="16"/>
                <w:szCs w:val="16"/>
              </w:rPr>
              <w:t>Felixstow Car Park</w:t>
            </w:r>
          </w:p>
          <w:p w:rsidR="004A2BF4" w:rsidRPr="004A2BF4" w:rsidRDefault="004A2BF4" w:rsidP="006A7F0C">
            <w:pPr>
              <w:spacing w:after="0" w:line="160" w:lineRule="exact"/>
              <w:rPr>
                <w:rFonts w:eastAsia="Calibri"/>
                <w:sz w:val="16"/>
                <w:szCs w:val="16"/>
              </w:rPr>
            </w:pPr>
            <w:r w:rsidRPr="004A2BF4">
              <w:rPr>
                <w:rFonts w:eastAsia="Calibri"/>
                <w:sz w:val="16"/>
                <w:szCs w:val="16"/>
              </w:rPr>
              <w:t>Felixstow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Fifth Avenue Drainage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Gage Street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Garden Of Remembrance</w:t>
            </w:r>
          </w:p>
          <w:p w:rsidR="004A2BF4" w:rsidRPr="004A2BF4" w:rsidRDefault="004A2BF4" w:rsidP="006A7F0C">
            <w:pPr>
              <w:spacing w:after="0" w:line="160" w:lineRule="exact"/>
              <w:rPr>
                <w:rFonts w:eastAsia="Calibri"/>
                <w:sz w:val="16"/>
                <w:szCs w:val="16"/>
              </w:rPr>
            </w:pPr>
            <w:r w:rsidRPr="004A2BF4">
              <w:rPr>
                <w:rFonts w:eastAsia="Calibri"/>
                <w:sz w:val="16"/>
                <w:szCs w:val="16"/>
              </w:rPr>
              <w:t>Glenbrook Close Reserve No. 2</w:t>
            </w:r>
          </w:p>
          <w:p w:rsidR="004A2BF4" w:rsidRPr="004A2BF4" w:rsidRDefault="004A2BF4" w:rsidP="006A7F0C">
            <w:pPr>
              <w:spacing w:after="0" w:line="160" w:lineRule="exact"/>
              <w:rPr>
                <w:rFonts w:eastAsia="Calibri"/>
                <w:sz w:val="16"/>
                <w:szCs w:val="16"/>
              </w:rPr>
            </w:pPr>
            <w:r w:rsidRPr="004A2BF4">
              <w:rPr>
                <w:rFonts w:eastAsia="Calibri"/>
                <w:sz w:val="16"/>
                <w:szCs w:val="16"/>
              </w:rPr>
              <w:t>Glenbrook Close Reserve No. 3</w:t>
            </w:r>
          </w:p>
          <w:p w:rsidR="004A2BF4" w:rsidRPr="004A2BF4" w:rsidRDefault="004A2BF4" w:rsidP="006A7F0C">
            <w:pPr>
              <w:spacing w:after="0" w:line="160" w:lineRule="exact"/>
              <w:rPr>
                <w:rFonts w:eastAsia="Calibri"/>
                <w:sz w:val="16"/>
                <w:szCs w:val="16"/>
              </w:rPr>
            </w:pPr>
            <w:r w:rsidRPr="004A2BF4">
              <w:rPr>
                <w:rFonts w:eastAsia="Calibri"/>
                <w:sz w:val="16"/>
                <w:szCs w:val="16"/>
              </w:rPr>
              <w:t>Glenbrook Close Reserve No. 4</w:t>
            </w:r>
          </w:p>
          <w:p w:rsidR="004A2BF4" w:rsidRPr="004A2BF4" w:rsidRDefault="004A2BF4" w:rsidP="006A7F0C">
            <w:pPr>
              <w:spacing w:after="0" w:line="160" w:lineRule="exact"/>
              <w:rPr>
                <w:rFonts w:eastAsia="Calibri"/>
                <w:sz w:val="16"/>
                <w:szCs w:val="16"/>
              </w:rPr>
            </w:pPr>
            <w:r w:rsidRPr="004A2BF4">
              <w:rPr>
                <w:rFonts w:eastAsia="Calibri"/>
                <w:sz w:val="16"/>
                <w:szCs w:val="16"/>
              </w:rPr>
              <w:t>Glenbrook Close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Hannaford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Hanson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Hardiman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Hutchinson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James Coke Park</w:t>
            </w:r>
          </w:p>
          <w:p w:rsidR="004A2BF4" w:rsidRPr="004A2BF4" w:rsidRDefault="004A2BF4" w:rsidP="006A7F0C">
            <w:pPr>
              <w:spacing w:after="0" w:line="160" w:lineRule="exact"/>
              <w:rPr>
                <w:rFonts w:eastAsia="Calibri"/>
                <w:sz w:val="16"/>
                <w:szCs w:val="16"/>
              </w:rPr>
            </w:pPr>
            <w:r w:rsidRPr="004A2BF4">
              <w:rPr>
                <w:rFonts w:eastAsia="Calibri"/>
                <w:sz w:val="16"/>
                <w:szCs w:val="16"/>
              </w:rPr>
              <w:t>John Horrocks Memorial Green</w:t>
            </w:r>
          </w:p>
          <w:p w:rsidR="004A2BF4" w:rsidRPr="004A2BF4" w:rsidRDefault="004A2BF4" w:rsidP="006A7F0C">
            <w:pPr>
              <w:spacing w:after="0" w:line="160" w:lineRule="exact"/>
              <w:rPr>
                <w:rFonts w:eastAsia="Calibri"/>
                <w:sz w:val="16"/>
                <w:szCs w:val="16"/>
              </w:rPr>
            </w:pPr>
            <w:r w:rsidRPr="004A2BF4">
              <w:rPr>
                <w:rFonts w:eastAsia="Calibri"/>
                <w:sz w:val="16"/>
                <w:szCs w:val="16"/>
              </w:rPr>
              <w:t>Joslin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Kensington Pioneer Park</w:t>
            </w:r>
          </w:p>
          <w:p w:rsidR="004A2BF4" w:rsidRPr="004A2BF4" w:rsidRDefault="004A2BF4" w:rsidP="006A7F0C">
            <w:pPr>
              <w:spacing w:after="0" w:line="160" w:lineRule="exact"/>
              <w:rPr>
                <w:rFonts w:eastAsia="Calibri"/>
                <w:sz w:val="16"/>
                <w:szCs w:val="16"/>
              </w:rPr>
            </w:pPr>
            <w:r w:rsidRPr="004A2BF4">
              <w:rPr>
                <w:rFonts w:eastAsia="Calibri"/>
                <w:sz w:val="16"/>
                <w:szCs w:val="16"/>
              </w:rPr>
              <w:t>Koster Park</w:t>
            </w:r>
          </w:p>
          <w:p w:rsidR="004A2BF4" w:rsidRPr="004A2BF4" w:rsidRDefault="004A2BF4" w:rsidP="006A7F0C">
            <w:pPr>
              <w:spacing w:after="0" w:line="160" w:lineRule="exact"/>
              <w:rPr>
                <w:rFonts w:eastAsia="Calibri"/>
                <w:sz w:val="16"/>
                <w:szCs w:val="16"/>
              </w:rPr>
            </w:pPr>
            <w:r w:rsidRPr="004A2BF4">
              <w:rPr>
                <w:rFonts w:eastAsia="Calibri"/>
                <w:sz w:val="16"/>
                <w:szCs w:val="16"/>
              </w:rPr>
              <w:t>Linear Park – Gilberton</w:t>
            </w:r>
          </w:p>
          <w:p w:rsidR="004A2BF4" w:rsidRPr="004A2BF4" w:rsidRDefault="004A2BF4" w:rsidP="006A7F0C">
            <w:pPr>
              <w:spacing w:after="0" w:line="160" w:lineRule="exact"/>
              <w:rPr>
                <w:rFonts w:eastAsia="Calibri"/>
                <w:sz w:val="16"/>
                <w:szCs w:val="16"/>
              </w:rPr>
            </w:pPr>
            <w:r w:rsidRPr="004A2BF4">
              <w:rPr>
                <w:rFonts w:eastAsia="Calibri"/>
                <w:sz w:val="16"/>
                <w:szCs w:val="16"/>
              </w:rPr>
              <w:t>Lower Portrush Road Buffer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Lower Portrush Road Buffer Reserve No. 2</w:t>
            </w:r>
          </w:p>
          <w:p w:rsidR="004A2BF4" w:rsidRPr="004A2BF4" w:rsidRDefault="004A2BF4" w:rsidP="006A7F0C">
            <w:pPr>
              <w:spacing w:after="0" w:line="160" w:lineRule="exact"/>
              <w:rPr>
                <w:rFonts w:eastAsia="Calibri"/>
                <w:sz w:val="16"/>
                <w:szCs w:val="16"/>
              </w:rPr>
            </w:pPr>
            <w:r w:rsidRPr="004A2BF4">
              <w:rPr>
                <w:rFonts w:eastAsia="Calibri"/>
                <w:sz w:val="16"/>
                <w:szCs w:val="16"/>
              </w:rPr>
              <w:t>Lower Portrush Road Buffer Reserve No. 3</w:t>
            </w:r>
          </w:p>
          <w:p w:rsidR="004A2BF4" w:rsidRPr="004A2BF4" w:rsidRDefault="004A2BF4" w:rsidP="006A7F0C">
            <w:pPr>
              <w:spacing w:after="0" w:line="160" w:lineRule="exact"/>
              <w:rPr>
                <w:rFonts w:eastAsia="Calibri"/>
                <w:sz w:val="16"/>
                <w:szCs w:val="16"/>
              </w:rPr>
            </w:pPr>
            <w:r w:rsidRPr="004A2BF4">
              <w:rPr>
                <w:rFonts w:eastAsia="Calibri"/>
                <w:sz w:val="16"/>
                <w:szCs w:val="16"/>
              </w:rPr>
              <w:t>Magdalen Street Drainage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Margaret Street And Hampden Street Drainage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Marian Road Drainage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Maurice Clayton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May Street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May Street Reserve No. 2</w:t>
            </w:r>
          </w:p>
          <w:p w:rsidR="004A2BF4" w:rsidRPr="004A2BF4" w:rsidRDefault="004A2BF4" w:rsidP="006A7F0C">
            <w:pPr>
              <w:spacing w:after="0" w:line="160" w:lineRule="exact"/>
              <w:rPr>
                <w:rFonts w:eastAsia="Calibri"/>
                <w:sz w:val="16"/>
                <w:szCs w:val="16"/>
              </w:rPr>
            </w:pPr>
            <w:r w:rsidRPr="004A2BF4">
              <w:rPr>
                <w:rFonts w:eastAsia="Calibri"/>
                <w:sz w:val="16"/>
                <w:szCs w:val="16"/>
              </w:rPr>
              <w:t>May Street Reserve No. 3</w:t>
            </w:r>
          </w:p>
          <w:p w:rsidR="004A2BF4" w:rsidRPr="004A2BF4" w:rsidRDefault="004A2BF4" w:rsidP="006A7F0C">
            <w:pPr>
              <w:spacing w:after="0" w:line="160" w:lineRule="exact"/>
              <w:rPr>
                <w:rFonts w:eastAsia="Calibri"/>
                <w:sz w:val="16"/>
                <w:szCs w:val="16"/>
              </w:rPr>
            </w:pPr>
            <w:r w:rsidRPr="004A2BF4">
              <w:rPr>
                <w:rFonts w:eastAsia="Calibri"/>
                <w:sz w:val="16"/>
                <w:szCs w:val="16"/>
              </w:rPr>
              <w:t>Memorial Gardens</w:t>
            </w:r>
          </w:p>
          <w:p w:rsidR="004A2BF4" w:rsidRPr="004A2BF4" w:rsidRDefault="004A2BF4" w:rsidP="006A7F0C">
            <w:pPr>
              <w:spacing w:after="0" w:line="160" w:lineRule="exact"/>
              <w:rPr>
                <w:rFonts w:eastAsia="Calibri"/>
                <w:sz w:val="16"/>
                <w:szCs w:val="16"/>
              </w:rPr>
            </w:pPr>
            <w:r w:rsidRPr="004A2BF4">
              <w:rPr>
                <w:rFonts w:eastAsia="Calibri"/>
                <w:sz w:val="16"/>
                <w:szCs w:val="16"/>
              </w:rPr>
              <w:t>Norwood Institute Building</w:t>
            </w:r>
          </w:p>
        </w:tc>
        <w:tc>
          <w:tcPr>
            <w:tcW w:w="4702" w:type="dxa"/>
          </w:tcPr>
          <w:p w:rsidR="004A2BF4" w:rsidRPr="004A2BF4" w:rsidRDefault="004A2BF4" w:rsidP="006A7F0C">
            <w:pPr>
              <w:spacing w:after="0" w:line="160" w:lineRule="exact"/>
              <w:rPr>
                <w:rFonts w:eastAsia="Calibri"/>
                <w:sz w:val="16"/>
                <w:szCs w:val="16"/>
              </w:rPr>
            </w:pPr>
            <w:r w:rsidRPr="004A2BF4">
              <w:rPr>
                <w:rFonts w:eastAsia="Calibri"/>
                <w:sz w:val="16"/>
                <w:szCs w:val="16"/>
              </w:rPr>
              <w:t>Norwood Oval</w:t>
            </w:r>
          </w:p>
          <w:p w:rsidR="004A2BF4" w:rsidRPr="004A2BF4" w:rsidRDefault="004A2BF4" w:rsidP="006A7F0C">
            <w:pPr>
              <w:spacing w:after="0" w:line="160" w:lineRule="exact"/>
              <w:rPr>
                <w:rFonts w:eastAsia="Calibri"/>
                <w:sz w:val="16"/>
                <w:szCs w:val="16"/>
              </w:rPr>
            </w:pPr>
            <w:r w:rsidRPr="004A2BF4">
              <w:rPr>
                <w:rFonts w:eastAsia="Calibri"/>
                <w:sz w:val="16"/>
                <w:szCs w:val="16"/>
              </w:rPr>
              <w:t>Norwood Swimming Centre</w:t>
            </w:r>
          </w:p>
          <w:p w:rsidR="004A2BF4" w:rsidRPr="004A2BF4" w:rsidRDefault="004A2BF4" w:rsidP="006A7F0C">
            <w:pPr>
              <w:spacing w:after="0" w:line="160" w:lineRule="exact"/>
              <w:rPr>
                <w:rFonts w:eastAsia="Calibri"/>
                <w:sz w:val="16"/>
                <w:szCs w:val="16"/>
              </w:rPr>
            </w:pPr>
            <w:r w:rsidRPr="004A2BF4">
              <w:rPr>
                <w:rFonts w:eastAsia="Calibri"/>
                <w:sz w:val="16"/>
                <w:szCs w:val="16"/>
              </w:rPr>
              <w:t>Norwood Town Hall Civic Centre</w:t>
            </w:r>
          </w:p>
          <w:p w:rsidR="004A2BF4" w:rsidRPr="004A2BF4" w:rsidRDefault="004A2BF4" w:rsidP="006A7F0C">
            <w:pPr>
              <w:spacing w:after="0" w:line="160" w:lineRule="exact"/>
              <w:rPr>
                <w:rFonts w:eastAsia="Calibri"/>
                <w:sz w:val="16"/>
                <w:szCs w:val="16"/>
              </w:rPr>
            </w:pPr>
            <w:r w:rsidRPr="004A2BF4">
              <w:rPr>
                <w:rFonts w:eastAsia="Calibri"/>
                <w:sz w:val="16"/>
                <w:szCs w:val="16"/>
              </w:rPr>
              <w:t>O G Road Car Park</w:t>
            </w:r>
          </w:p>
          <w:p w:rsidR="004A2BF4" w:rsidRPr="004A2BF4" w:rsidRDefault="004A2BF4" w:rsidP="006A7F0C">
            <w:pPr>
              <w:spacing w:after="0" w:line="160" w:lineRule="exact"/>
              <w:rPr>
                <w:rFonts w:eastAsia="Calibri"/>
                <w:sz w:val="16"/>
                <w:szCs w:val="16"/>
              </w:rPr>
            </w:pPr>
            <w:r w:rsidRPr="004A2BF4">
              <w:rPr>
                <w:rFonts w:eastAsia="Calibri"/>
                <w:sz w:val="16"/>
                <w:szCs w:val="16"/>
              </w:rPr>
              <w:t>O G Road Screening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O G Road Screening Reserve No. 2</w:t>
            </w:r>
          </w:p>
          <w:p w:rsidR="004A2BF4" w:rsidRPr="004A2BF4" w:rsidRDefault="004A2BF4" w:rsidP="006A7F0C">
            <w:pPr>
              <w:spacing w:after="0" w:line="160" w:lineRule="exact"/>
              <w:rPr>
                <w:rFonts w:eastAsia="Calibri"/>
                <w:sz w:val="16"/>
                <w:szCs w:val="16"/>
              </w:rPr>
            </w:pPr>
            <w:r w:rsidRPr="004A2BF4">
              <w:rPr>
                <w:rFonts w:eastAsia="Calibri"/>
                <w:sz w:val="16"/>
                <w:szCs w:val="16"/>
              </w:rPr>
              <w:t>Old Mill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Osmond Square</w:t>
            </w:r>
          </w:p>
          <w:p w:rsidR="004A2BF4" w:rsidRPr="004A2BF4" w:rsidRDefault="004A2BF4" w:rsidP="006A7F0C">
            <w:pPr>
              <w:spacing w:after="0" w:line="160" w:lineRule="exact"/>
              <w:rPr>
                <w:rFonts w:eastAsia="Calibri"/>
                <w:sz w:val="16"/>
                <w:szCs w:val="16"/>
              </w:rPr>
            </w:pPr>
            <w:r w:rsidRPr="004A2BF4">
              <w:rPr>
                <w:rFonts w:eastAsia="Calibri"/>
                <w:sz w:val="16"/>
                <w:szCs w:val="16"/>
              </w:rPr>
              <w:t>Otto Park</w:t>
            </w:r>
          </w:p>
          <w:p w:rsidR="004A2BF4" w:rsidRPr="004A2BF4" w:rsidRDefault="004A2BF4" w:rsidP="006A7F0C">
            <w:pPr>
              <w:spacing w:after="0" w:line="160" w:lineRule="exact"/>
              <w:rPr>
                <w:rFonts w:eastAsia="Calibri"/>
                <w:sz w:val="16"/>
                <w:szCs w:val="16"/>
              </w:rPr>
            </w:pPr>
            <w:r w:rsidRPr="004A2BF4">
              <w:rPr>
                <w:rFonts w:eastAsia="Calibri"/>
                <w:sz w:val="16"/>
                <w:szCs w:val="16"/>
              </w:rPr>
              <w:t>Oxford Place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Pam Avenue Drainage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Patterson Sportsground</w:t>
            </w:r>
          </w:p>
          <w:p w:rsidR="004A2BF4" w:rsidRPr="004A2BF4" w:rsidRDefault="004A2BF4" w:rsidP="006A7F0C">
            <w:pPr>
              <w:spacing w:after="0" w:line="160" w:lineRule="exact"/>
              <w:rPr>
                <w:rFonts w:eastAsia="Calibri"/>
                <w:sz w:val="16"/>
                <w:szCs w:val="16"/>
              </w:rPr>
            </w:pPr>
            <w:r w:rsidRPr="004A2BF4">
              <w:rPr>
                <w:rFonts w:eastAsia="Calibri"/>
                <w:sz w:val="16"/>
                <w:szCs w:val="16"/>
              </w:rPr>
              <w:t>Payneham Community Centre</w:t>
            </w:r>
          </w:p>
          <w:p w:rsidR="004A2BF4" w:rsidRPr="004A2BF4" w:rsidRDefault="004A2BF4" w:rsidP="006A7F0C">
            <w:pPr>
              <w:spacing w:after="0" w:line="160" w:lineRule="exact"/>
              <w:rPr>
                <w:rFonts w:eastAsia="Calibri"/>
                <w:sz w:val="16"/>
                <w:szCs w:val="16"/>
              </w:rPr>
            </w:pPr>
            <w:r w:rsidRPr="004A2BF4">
              <w:rPr>
                <w:rFonts w:eastAsia="Calibri"/>
                <w:sz w:val="16"/>
                <w:szCs w:val="16"/>
              </w:rPr>
              <w:t>Payneham Drainage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Payneham Drainage Reserve No. 2</w:t>
            </w:r>
          </w:p>
          <w:p w:rsidR="004A2BF4" w:rsidRPr="004A2BF4" w:rsidRDefault="004A2BF4" w:rsidP="006A7F0C">
            <w:pPr>
              <w:spacing w:after="0" w:line="160" w:lineRule="exact"/>
              <w:rPr>
                <w:rFonts w:eastAsia="Calibri"/>
                <w:sz w:val="16"/>
                <w:szCs w:val="16"/>
              </w:rPr>
            </w:pPr>
            <w:r w:rsidRPr="004A2BF4">
              <w:rPr>
                <w:rFonts w:eastAsia="Calibri"/>
                <w:sz w:val="16"/>
                <w:szCs w:val="16"/>
              </w:rPr>
              <w:t>Payneham Library And Community Facilities Complex</w:t>
            </w:r>
          </w:p>
          <w:p w:rsidR="004A2BF4" w:rsidRPr="004A2BF4" w:rsidRDefault="004A2BF4" w:rsidP="006A7F0C">
            <w:pPr>
              <w:spacing w:after="0" w:line="160" w:lineRule="exact"/>
              <w:rPr>
                <w:rFonts w:eastAsia="Calibri"/>
                <w:sz w:val="16"/>
                <w:szCs w:val="16"/>
              </w:rPr>
            </w:pPr>
            <w:r w:rsidRPr="004A2BF4">
              <w:rPr>
                <w:rFonts w:eastAsia="Calibri"/>
                <w:sz w:val="16"/>
                <w:szCs w:val="16"/>
              </w:rPr>
              <w:t>Payneham Memorial Swimming Centre</w:t>
            </w:r>
          </w:p>
          <w:p w:rsidR="004A2BF4" w:rsidRPr="004A2BF4" w:rsidRDefault="004A2BF4" w:rsidP="006A7F0C">
            <w:pPr>
              <w:spacing w:after="0" w:line="160" w:lineRule="exact"/>
              <w:rPr>
                <w:rFonts w:eastAsia="Calibri"/>
                <w:sz w:val="16"/>
                <w:szCs w:val="16"/>
              </w:rPr>
            </w:pPr>
            <w:r w:rsidRPr="004A2BF4">
              <w:rPr>
                <w:rFonts w:eastAsia="Calibri"/>
                <w:sz w:val="16"/>
                <w:szCs w:val="16"/>
              </w:rPr>
              <w:t>Payneham Oval</w:t>
            </w:r>
          </w:p>
          <w:p w:rsidR="004A2BF4" w:rsidRPr="004A2BF4" w:rsidRDefault="004A2BF4" w:rsidP="006A7F0C">
            <w:pPr>
              <w:spacing w:after="0" w:line="160" w:lineRule="exact"/>
              <w:rPr>
                <w:rFonts w:eastAsia="Calibri"/>
                <w:sz w:val="16"/>
                <w:szCs w:val="16"/>
              </w:rPr>
            </w:pPr>
            <w:r w:rsidRPr="004A2BF4">
              <w:rPr>
                <w:rFonts w:eastAsia="Calibri"/>
                <w:sz w:val="16"/>
                <w:szCs w:val="16"/>
              </w:rPr>
              <w:t>Payneham Senior Citizens Centre</w:t>
            </w:r>
          </w:p>
          <w:p w:rsidR="004A2BF4" w:rsidRPr="004A2BF4" w:rsidRDefault="004A2BF4" w:rsidP="006A7F0C">
            <w:pPr>
              <w:spacing w:after="0" w:line="160" w:lineRule="exact"/>
              <w:rPr>
                <w:rFonts w:eastAsia="Calibri"/>
                <w:sz w:val="16"/>
                <w:szCs w:val="16"/>
              </w:rPr>
            </w:pPr>
            <w:r w:rsidRPr="004A2BF4">
              <w:rPr>
                <w:rFonts w:eastAsia="Calibri"/>
                <w:sz w:val="16"/>
                <w:szCs w:val="16"/>
              </w:rPr>
              <w:t>Payneham Youth Centre</w:t>
            </w:r>
          </w:p>
          <w:p w:rsidR="004A2BF4" w:rsidRPr="004A2BF4" w:rsidRDefault="004A2BF4" w:rsidP="006A7F0C">
            <w:pPr>
              <w:spacing w:after="0" w:line="160" w:lineRule="exact"/>
              <w:rPr>
                <w:rFonts w:eastAsia="Calibri"/>
                <w:sz w:val="16"/>
                <w:szCs w:val="16"/>
              </w:rPr>
            </w:pPr>
            <w:r w:rsidRPr="004A2BF4">
              <w:rPr>
                <w:rFonts w:eastAsia="Calibri"/>
                <w:sz w:val="16"/>
                <w:szCs w:val="16"/>
              </w:rPr>
              <w:t>Player Avenue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Regent Gardens</w:t>
            </w:r>
          </w:p>
          <w:p w:rsidR="004A2BF4" w:rsidRPr="004A2BF4" w:rsidRDefault="004A2BF4" w:rsidP="006A7F0C">
            <w:pPr>
              <w:spacing w:after="0" w:line="160" w:lineRule="exact"/>
              <w:rPr>
                <w:rFonts w:eastAsia="Calibri"/>
                <w:sz w:val="16"/>
                <w:szCs w:val="16"/>
              </w:rPr>
            </w:pPr>
            <w:r w:rsidRPr="004A2BF4">
              <w:rPr>
                <w:rFonts w:eastAsia="Calibri"/>
                <w:sz w:val="16"/>
                <w:szCs w:val="16"/>
              </w:rPr>
              <w:t>Richards Park</w:t>
            </w:r>
          </w:p>
          <w:p w:rsidR="004A2BF4" w:rsidRPr="004A2BF4" w:rsidRDefault="004A2BF4" w:rsidP="006A7F0C">
            <w:pPr>
              <w:spacing w:after="0" w:line="160" w:lineRule="exact"/>
              <w:rPr>
                <w:rFonts w:eastAsia="Calibri"/>
                <w:sz w:val="16"/>
                <w:szCs w:val="16"/>
              </w:rPr>
            </w:pPr>
            <w:r w:rsidRPr="004A2BF4">
              <w:rPr>
                <w:rFonts w:eastAsia="Calibri"/>
                <w:sz w:val="16"/>
                <w:szCs w:val="16"/>
              </w:rPr>
              <w:t>River Torrens Linear Park Section No. 2</w:t>
            </w:r>
          </w:p>
          <w:p w:rsidR="004A2BF4" w:rsidRPr="004A2BF4" w:rsidRDefault="004A2BF4" w:rsidP="006A7F0C">
            <w:pPr>
              <w:spacing w:after="0" w:line="160" w:lineRule="exact"/>
              <w:rPr>
                <w:rFonts w:eastAsia="Calibri"/>
                <w:sz w:val="16"/>
                <w:szCs w:val="16"/>
              </w:rPr>
            </w:pPr>
            <w:r w:rsidRPr="004A2BF4">
              <w:rPr>
                <w:rFonts w:eastAsia="Calibri"/>
                <w:sz w:val="16"/>
                <w:szCs w:val="16"/>
              </w:rPr>
              <w:t>River Torrens Linear Park Section No. 4</w:t>
            </w:r>
          </w:p>
          <w:p w:rsidR="004A2BF4" w:rsidRPr="004A2BF4" w:rsidRDefault="004A2BF4" w:rsidP="006A7F0C">
            <w:pPr>
              <w:spacing w:after="0" w:line="160" w:lineRule="exact"/>
              <w:rPr>
                <w:rFonts w:eastAsia="Calibri"/>
                <w:sz w:val="16"/>
                <w:szCs w:val="16"/>
              </w:rPr>
            </w:pPr>
            <w:r w:rsidRPr="004A2BF4">
              <w:rPr>
                <w:rFonts w:eastAsia="Calibri"/>
                <w:sz w:val="16"/>
                <w:szCs w:val="16"/>
              </w:rPr>
              <w:t>River Torrens Linear Park Section No. 6</w:t>
            </w:r>
          </w:p>
          <w:p w:rsidR="004A2BF4" w:rsidRPr="004A2BF4" w:rsidRDefault="004A2BF4" w:rsidP="006A7F0C">
            <w:pPr>
              <w:spacing w:after="0" w:line="160" w:lineRule="exact"/>
              <w:rPr>
                <w:rFonts w:eastAsia="Calibri"/>
                <w:sz w:val="16"/>
                <w:szCs w:val="16"/>
              </w:rPr>
            </w:pPr>
            <w:r w:rsidRPr="004A2BF4">
              <w:rPr>
                <w:rFonts w:eastAsia="Calibri"/>
                <w:sz w:val="16"/>
                <w:szCs w:val="16"/>
              </w:rPr>
              <w:t>River Torrens Linear Park Section No. 7</w:t>
            </w:r>
          </w:p>
          <w:p w:rsidR="004A2BF4" w:rsidRPr="004A2BF4" w:rsidRDefault="004A2BF4" w:rsidP="006A7F0C">
            <w:pPr>
              <w:spacing w:after="0" w:line="160" w:lineRule="exact"/>
              <w:rPr>
                <w:rFonts w:eastAsia="Calibri"/>
                <w:sz w:val="16"/>
                <w:szCs w:val="16"/>
              </w:rPr>
            </w:pPr>
            <w:r w:rsidRPr="004A2BF4">
              <w:rPr>
                <w:rFonts w:eastAsia="Calibri"/>
                <w:sz w:val="16"/>
                <w:szCs w:val="16"/>
              </w:rPr>
              <w:t>River Torrens Linear Park Section No. 8</w:t>
            </w:r>
          </w:p>
          <w:p w:rsidR="004A2BF4" w:rsidRPr="004A2BF4" w:rsidRDefault="004A2BF4" w:rsidP="006A7F0C">
            <w:pPr>
              <w:spacing w:after="0" w:line="160" w:lineRule="exact"/>
              <w:rPr>
                <w:rFonts w:eastAsia="Calibri"/>
                <w:sz w:val="16"/>
                <w:szCs w:val="16"/>
              </w:rPr>
            </w:pPr>
            <w:r w:rsidRPr="004A2BF4">
              <w:rPr>
                <w:rFonts w:eastAsia="Calibri"/>
                <w:sz w:val="16"/>
                <w:szCs w:val="16"/>
              </w:rPr>
              <w:t>River Torrens Linear Park Section No. 9</w:t>
            </w:r>
          </w:p>
          <w:p w:rsidR="004A2BF4" w:rsidRPr="004A2BF4" w:rsidRDefault="004A2BF4" w:rsidP="006A7F0C">
            <w:pPr>
              <w:spacing w:after="0" w:line="160" w:lineRule="exact"/>
              <w:rPr>
                <w:rFonts w:eastAsia="Calibri"/>
                <w:sz w:val="16"/>
                <w:szCs w:val="16"/>
              </w:rPr>
            </w:pPr>
            <w:r w:rsidRPr="004A2BF4">
              <w:rPr>
                <w:rFonts w:eastAsia="Calibri"/>
                <w:sz w:val="16"/>
                <w:szCs w:val="16"/>
              </w:rPr>
              <w:t>Scott Street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St Margarets Crescent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St Margarets Crescent Reserve No. 2</w:t>
            </w:r>
          </w:p>
          <w:p w:rsidR="004A2BF4" w:rsidRPr="004A2BF4" w:rsidRDefault="004A2BF4" w:rsidP="006A7F0C">
            <w:pPr>
              <w:spacing w:after="0" w:line="160" w:lineRule="exact"/>
              <w:rPr>
                <w:rFonts w:eastAsia="Calibri"/>
                <w:sz w:val="16"/>
                <w:szCs w:val="16"/>
              </w:rPr>
            </w:pPr>
            <w:r w:rsidRPr="004A2BF4">
              <w:rPr>
                <w:rFonts w:eastAsia="Calibri"/>
                <w:sz w:val="16"/>
                <w:szCs w:val="16"/>
              </w:rPr>
              <w:t>St Margarets Crescent Reserve No. 3</w:t>
            </w:r>
          </w:p>
          <w:p w:rsidR="004A2BF4" w:rsidRPr="004A2BF4" w:rsidRDefault="004A2BF4" w:rsidP="006A7F0C">
            <w:pPr>
              <w:spacing w:after="0" w:line="160" w:lineRule="exact"/>
              <w:rPr>
                <w:rFonts w:eastAsia="Calibri"/>
                <w:sz w:val="16"/>
                <w:szCs w:val="16"/>
              </w:rPr>
            </w:pPr>
            <w:r w:rsidRPr="004A2BF4">
              <w:rPr>
                <w:rFonts w:eastAsia="Calibri"/>
                <w:sz w:val="16"/>
                <w:szCs w:val="16"/>
              </w:rPr>
              <w:t>St Morris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St Peters Car Park</w:t>
            </w:r>
          </w:p>
          <w:p w:rsidR="004A2BF4" w:rsidRPr="004A2BF4" w:rsidRDefault="004A2BF4" w:rsidP="006A7F0C">
            <w:pPr>
              <w:spacing w:after="0" w:line="160" w:lineRule="exact"/>
              <w:rPr>
                <w:rFonts w:eastAsia="Calibri"/>
                <w:sz w:val="16"/>
                <w:szCs w:val="16"/>
              </w:rPr>
            </w:pPr>
            <w:r w:rsidRPr="004A2BF4">
              <w:rPr>
                <w:rFonts w:eastAsia="Calibri"/>
                <w:sz w:val="16"/>
                <w:szCs w:val="16"/>
              </w:rPr>
              <w:t>St Peters Child Care Centre</w:t>
            </w:r>
          </w:p>
          <w:p w:rsidR="004A2BF4" w:rsidRPr="004A2BF4" w:rsidRDefault="004A2BF4" w:rsidP="006A7F0C">
            <w:pPr>
              <w:spacing w:after="0" w:line="160" w:lineRule="exact"/>
              <w:rPr>
                <w:rFonts w:eastAsia="Calibri"/>
                <w:sz w:val="16"/>
                <w:szCs w:val="16"/>
              </w:rPr>
            </w:pPr>
            <w:r w:rsidRPr="004A2BF4">
              <w:rPr>
                <w:rFonts w:eastAsia="Calibri"/>
                <w:sz w:val="16"/>
                <w:szCs w:val="16"/>
              </w:rPr>
              <w:t>St Peters Civic Centre Complex</w:t>
            </w:r>
          </w:p>
          <w:p w:rsidR="004A2BF4" w:rsidRPr="004A2BF4" w:rsidRDefault="004A2BF4" w:rsidP="006A7F0C">
            <w:pPr>
              <w:spacing w:after="0" w:line="160" w:lineRule="exact"/>
              <w:rPr>
                <w:rFonts w:eastAsia="Calibri"/>
                <w:sz w:val="16"/>
                <w:szCs w:val="16"/>
              </w:rPr>
            </w:pPr>
            <w:r w:rsidRPr="004A2BF4">
              <w:rPr>
                <w:rFonts w:eastAsia="Calibri"/>
                <w:sz w:val="16"/>
                <w:szCs w:val="16"/>
              </w:rPr>
              <w:t>St Peters River Park</w:t>
            </w:r>
          </w:p>
          <w:p w:rsidR="004A2BF4" w:rsidRPr="004A2BF4" w:rsidRDefault="004A2BF4" w:rsidP="006A7F0C">
            <w:pPr>
              <w:spacing w:after="0" w:line="160" w:lineRule="exact"/>
              <w:rPr>
                <w:rFonts w:eastAsia="Calibri"/>
                <w:sz w:val="16"/>
                <w:szCs w:val="16"/>
              </w:rPr>
            </w:pPr>
            <w:r w:rsidRPr="004A2BF4">
              <w:rPr>
                <w:rFonts w:eastAsia="Calibri"/>
                <w:sz w:val="16"/>
                <w:szCs w:val="16"/>
              </w:rPr>
              <w:t>St Peters Rotary Club Shed</w:t>
            </w:r>
          </w:p>
          <w:p w:rsidR="004A2BF4" w:rsidRPr="004A2BF4" w:rsidRDefault="004A2BF4" w:rsidP="006A7F0C">
            <w:pPr>
              <w:spacing w:after="0" w:line="160" w:lineRule="exact"/>
              <w:rPr>
                <w:rFonts w:eastAsia="Calibri"/>
                <w:sz w:val="16"/>
                <w:szCs w:val="16"/>
              </w:rPr>
            </w:pPr>
            <w:r w:rsidRPr="004A2BF4">
              <w:rPr>
                <w:rFonts w:eastAsia="Calibri"/>
                <w:sz w:val="16"/>
                <w:szCs w:val="16"/>
              </w:rPr>
              <w:t>Stacey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Stanford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Syd Jones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Third Avenue Drainage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Third Creek Drainage Reserve No. 4</w:t>
            </w:r>
          </w:p>
          <w:p w:rsidR="004A2BF4" w:rsidRPr="004A2BF4" w:rsidRDefault="004A2BF4" w:rsidP="006A7F0C">
            <w:pPr>
              <w:spacing w:after="0" w:line="160" w:lineRule="exact"/>
              <w:rPr>
                <w:rFonts w:eastAsia="Calibri"/>
                <w:sz w:val="16"/>
                <w:szCs w:val="16"/>
              </w:rPr>
            </w:pPr>
            <w:r w:rsidRPr="004A2BF4">
              <w:rPr>
                <w:rFonts w:eastAsia="Calibri"/>
                <w:sz w:val="16"/>
                <w:szCs w:val="16"/>
              </w:rPr>
              <w:t>Trenorden Park</w:t>
            </w:r>
          </w:p>
          <w:p w:rsidR="004A2BF4" w:rsidRPr="004A2BF4" w:rsidRDefault="004A2BF4" w:rsidP="006A7F0C">
            <w:pPr>
              <w:spacing w:after="0" w:line="160" w:lineRule="exact"/>
              <w:rPr>
                <w:rFonts w:eastAsia="Calibri"/>
                <w:sz w:val="16"/>
                <w:szCs w:val="16"/>
              </w:rPr>
            </w:pPr>
            <w:r w:rsidRPr="004A2BF4">
              <w:rPr>
                <w:rFonts w:eastAsia="Calibri"/>
                <w:sz w:val="16"/>
                <w:szCs w:val="16"/>
              </w:rPr>
              <w:t>Trinity Gardens Soldiers’ Memorial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Turner Street Buffer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Turner Street Drainage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Twelftree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Vogt Place Buffer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Webbe Street Car Park</w:t>
            </w:r>
          </w:p>
          <w:p w:rsidR="004A2BF4" w:rsidRPr="004A2BF4" w:rsidRDefault="004A2BF4" w:rsidP="006A7F0C">
            <w:pPr>
              <w:spacing w:after="0" w:line="160" w:lineRule="exact"/>
              <w:rPr>
                <w:rFonts w:eastAsia="Calibri"/>
                <w:sz w:val="16"/>
                <w:szCs w:val="16"/>
              </w:rPr>
            </w:pPr>
            <w:r w:rsidRPr="004A2BF4">
              <w:rPr>
                <w:rFonts w:eastAsia="Calibri"/>
                <w:sz w:val="16"/>
                <w:szCs w:val="16"/>
              </w:rPr>
              <w:t>White Reserve</w:t>
            </w:r>
          </w:p>
          <w:p w:rsidR="004A2BF4" w:rsidRPr="004A2BF4" w:rsidRDefault="004A2BF4" w:rsidP="006A7F0C">
            <w:pPr>
              <w:spacing w:after="0" w:line="160" w:lineRule="exact"/>
              <w:rPr>
                <w:rFonts w:eastAsia="Calibri"/>
                <w:sz w:val="16"/>
                <w:szCs w:val="16"/>
              </w:rPr>
            </w:pPr>
            <w:r w:rsidRPr="004A2BF4">
              <w:rPr>
                <w:rFonts w:eastAsia="Calibri"/>
                <w:sz w:val="16"/>
                <w:szCs w:val="16"/>
              </w:rPr>
              <w:t>Willow Bend Reserve No. 1</w:t>
            </w:r>
          </w:p>
          <w:p w:rsidR="004A2BF4" w:rsidRPr="004A2BF4" w:rsidRDefault="004A2BF4" w:rsidP="006A7F0C">
            <w:pPr>
              <w:spacing w:after="0" w:line="160" w:lineRule="exact"/>
              <w:rPr>
                <w:rFonts w:eastAsia="Calibri"/>
                <w:sz w:val="16"/>
                <w:szCs w:val="16"/>
              </w:rPr>
            </w:pPr>
            <w:r w:rsidRPr="004A2BF4">
              <w:rPr>
                <w:rFonts w:eastAsia="Calibri"/>
                <w:sz w:val="16"/>
                <w:szCs w:val="16"/>
              </w:rPr>
              <w:t>Willow Bend Reserve No. 2</w:t>
            </w:r>
          </w:p>
          <w:p w:rsidR="004A2BF4" w:rsidRPr="004A2BF4" w:rsidRDefault="004A2BF4" w:rsidP="006A7F0C">
            <w:pPr>
              <w:spacing w:after="0" w:line="160" w:lineRule="exact"/>
              <w:rPr>
                <w:rFonts w:eastAsia="Calibri"/>
                <w:sz w:val="16"/>
                <w:szCs w:val="16"/>
              </w:rPr>
            </w:pPr>
            <w:r w:rsidRPr="004A2BF4">
              <w:rPr>
                <w:rFonts w:eastAsia="Calibri"/>
                <w:sz w:val="16"/>
                <w:szCs w:val="16"/>
              </w:rPr>
              <w:t>Willowbank Crescent Reserve</w:t>
            </w:r>
          </w:p>
          <w:p w:rsidR="004A2BF4" w:rsidRPr="004A2BF4" w:rsidRDefault="004A2BF4" w:rsidP="00DB2FB8">
            <w:pPr>
              <w:spacing w:line="160" w:lineRule="exact"/>
              <w:jc w:val="left"/>
              <w:rPr>
                <w:rFonts w:eastAsia="Calibri"/>
                <w:sz w:val="16"/>
                <w:szCs w:val="16"/>
              </w:rPr>
            </w:pPr>
            <w:r w:rsidRPr="004A2BF4">
              <w:rPr>
                <w:rFonts w:eastAsia="Calibri"/>
                <w:sz w:val="16"/>
                <w:szCs w:val="16"/>
              </w:rPr>
              <w:t>Woodroofe Gardens</w:t>
            </w:r>
          </w:p>
        </w:tc>
      </w:tr>
    </w:tbl>
    <w:p w:rsidR="004A2BF4" w:rsidRPr="004A2BF4" w:rsidRDefault="004A2BF4" w:rsidP="004A2BF4">
      <w:pPr>
        <w:spacing w:after="0"/>
        <w:rPr>
          <w:szCs w:val="17"/>
        </w:rPr>
      </w:pPr>
      <w:r w:rsidRPr="004A2BF4">
        <w:rPr>
          <w:szCs w:val="17"/>
        </w:rPr>
        <w:t>Dated: 4 June 2020</w:t>
      </w:r>
    </w:p>
    <w:p w:rsidR="004A2BF4" w:rsidRPr="004A2BF4" w:rsidRDefault="004A2BF4" w:rsidP="004A2BF4">
      <w:pPr>
        <w:spacing w:after="0"/>
        <w:jc w:val="right"/>
        <w:rPr>
          <w:rFonts w:eastAsia="Times New Roman"/>
          <w:smallCaps/>
          <w:szCs w:val="20"/>
        </w:rPr>
      </w:pPr>
      <w:r w:rsidRPr="004A2BF4">
        <w:rPr>
          <w:rFonts w:eastAsia="Times New Roman"/>
          <w:smallCaps/>
          <w:szCs w:val="20"/>
        </w:rPr>
        <w:t>Mario Barone</w:t>
      </w:r>
    </w:p>
    <w:p w:rsidR="00EE755E" w:rsidRDefault="004A2BF4" w:rsidP="00EE755E">
      <w:pPr>
        <w:spacing w:after="0"/>
        <w:jc w:val="right"/>
        <w:rPr>
          <w:szCs w:val="17"/>
        </w:rPr>
      </w:pPr>
      <w:r w:rsidRPr="004A2BF4">
        <w:rPr>
          <w:rFonts w:eastAsia="Times New Roman"/>
          <w:szCs w:val="17"/>
        </w:rPr>
        <w:t>Chief Executive Officer</w:t>
      </w:r>
      <w:bookmarkStart w:id="31" w:name="_Toc42155347"/>
    </w:p>
    <w:p w:rsidR="00EE755E" w:rsidRDefault="00EE755E" w:rsidP="00EE755E">
      <w:pPr>
        <w:pBdr>
          <w:bottom w:val="single" w:sz="4" w:space="1" w:color="auto"/>
        </w:pBdr>
        <w:spacing w:after="0" w:line="52" w:lineRule="exact"/>
        <w:jc w:val="center"/>
      </w:pPr>
    </w:p>
    <w:p w:rsidR="00EE755E" w:rsidRDefault="00EE755E" w:rsidP="00EE755E">
      <w:pPr>
        <w:pBdr>
          <w:top w:val="single" w:sz="4" w:space="1" w:color="auto"/>
        </w:pBdr>
        <w:spacing w:before="34" w:after="0" w:line="14" w:lineRule="exact"/>
        <w:jc w:val="center"/>
      </w:pPr>
    </w:p>
    <w:p w:rsidR="006A7F0C" w:rsidRPr="006A7F0C" w:rsidRDefault="006A7F0C" w:rsidP="00EE755E">
      <w:pPr>
        <w:pStyle w:val="Heading2"/>
      </w:pPr>
      <w:r w:rsidRPr="006A7F0C">
        <w:lastRenderedPageBreak/>
        <w:t>CITY OF PORT ADELAIDE ENFIELD</w:t>
      </w:r>
      <w:bookmarkEnd w:id="31"/>
    </w:p>
    <w:p w:rsidR="006A7F0C" w:rsidRPr="006A7F0C" w:rsidRDefault="006A7F0C" w:rsidP="006A7F0C">
      <w:pPr>
        <w:jc w:val="center"/>
        <w:rPr>
          <w:smallCaps/>
          <w:szCs w:val="17"/>
        </w:rPr>
      </w:pPr>
      <w:r w:rsidRPr="006A7F0C">
        <w:rPr>
          <w:smallCaps/>
          <w:szCs w:val="17"/>
        </w:rPr>
        <w:t>Roads (Opening and Closing) Act 1991</w:t>
      </w:r>
    </w:p>
    <w:p w:rsidR="006A7F0C" w:rsidRPr="006A7F0C" w:rsidRDefault="006A7F0C" w:rsidP="006A7F0C">
      <w:pPr>
        <w:jc w:val="center"/>
        <w:rPr>
          <w:i/>
          <w:szCs w:val="17"/>
        </w:rPr>
      </w:pPr>
      <w:r w:rsidRPr="006A7F0C">
        <w:rPr>
          <w:i/>
          <w:szCs w:val="17"/>
        </w:rPr>
        <w:t>Notice of Proposed Road Closure – Cole Street, Klemzig</w:t>
      </w:r>
    </w:p>
    <w:p w:rsidR="006A7F0C" w:rsidRPr="006A7F0C" w:rsidRDefault="006A7F0C" w:rsidP="006A7F0C">
      <w:pPr>
        <w:rPr>
          <w:rFonts w:eastAsia="Times New Roman" w:cs="Arial"/>
          <w:szCs w:val="24"/>
        </w:rPr>
      </w:pPr>
      <w:r w:rsidRPr="006A7F0C">
        <w:rPr>
          <w:rFonts w:eastAsia="Times New Roman"/>
          <w:szCs w:val="17"/>
        </w:rPr>
        <w:t>Notice is hereby given pursuant to section 10 of the Roads (Opening and Closing) Act 1991, that the City of Port Adelaide Enfield proposes to make a Road Process Order to close and retain a portion of Cole Street adjoining allotment 27 in DP6290 and allotment 102 in DP23872</w:t>
      </w:r>
      <w:r w:rsidRPr="006A7F0C">
        <w:rPr>
          <w:rFonts w:eastAsia="Times New Roman"/>
          <w:szCs w:val="24"/>
        </w:rPr>
        <w:t xml:space="preserve"> </w:t>
      </w:r>
      <w:r w:rsidRPr="006A7F0C">
        <w:rPr>
          <w:rFonts w:eastAsia="Times New Roman" w:cs="Arial"/>
          <w:szCs w:val="24"/>
        </w:rPr>
        <w:t xml:space="preserve">and </w:t>
      </w:r>
      <w:r w:rsidRPr="006A7F0C">
        <w:rPr>
          <w:rFonts w:eastAsia="Times New Roman"/>
          <w:szCs w:val="17"/>
        </w:rPr>
        <w:t>marked ‘A’ on Preliminary Plan No. 20/0024</w:t>
      </w:r>
      <w:r w:rsidRPr="006A7F0C">
        <w:rPr>
          <w:rFonts w:eastAsia="Times New Roman" w:cs="Arial"/>
          <w:szCs w:val="24"/>
        </w:rPr>
        <w:t>.</w:t>
      </w:r>
    </w:p>
    <w:p w:rsidR="006A7F0C" w:rsidRPr="006A7F0C" w:rsidRDefault="006A7F0C" w:rsidP="006A7F0C">
      <w:pPr>
        <w:rPr>
          <w:rFonts w:eastAsia="Times New Roman"/>
          <w:szCs w:val="17"/>
        </w:rPr>
      </w:pPr>
      <w:r w:rsidRPr="006A7F0C">
        <w:rPr>
          <w:rFonts w:eastAsia="Times New Roman"/>
          <w:szCs w:val="17"/>
        </w:rPr>
        <w:t xml:space="preserve">The Preliminary Plan and Statement of Persons Affected is available for public inspection at the Council’s Civic Centre, 163 St Vincent Street, Port Adelaide, and the Adelaide Office of the Surveyor-General, during normal office hours. The Preliminary Plan can also be viewed at </w:t>
      </w:r>
      <w:hyperlink r:id="rId28" w:history="1">
        <w:r w:rsidRPr="006A7F0C">
          <w:rPr>
            <w:rFonts w:eastAsia="Times New Roman"/>
            <w:color w:val="0000FF"/>
            <w:szCs w:val="17"/>
            <w:u w:val="single"/>
          </w:rPr>
          <w:t>http://www.sa.gov.au/roadsactproposals</w:t>
        </w:r>
      </w:hyperlink>
      <w:r w:rsidRPr="006A7F0C">
        <w:rPr>
          <w:rFonts w:eastAsia="Times New Roman"/>
          <w:szCs w:val="17"/>
        </w:rPr>
        <w:t>.</w:t>
      </w:r>
    </w:p>
    <w:p w:rsidR="006A7F0C" w:rsidRPr="006A7F0C" w:rsidRDefault="006A7F0C" w:rsidP="006A7F0C">
      <w:pPr>
        <w:rPr>
          <w:rFonts w:eastAsia="Times New Roman"/>
          <w:szCs w:val="17"/>
        </w:rPr>
      </w:pPr>
      <w:r w:rsidRPr="006A7F0C">
        <w:rPr>
          <w:rFonts w:eastAsia="Times New Roman"/>
          <w:szCs w:val="17"/>
        </w:rPr>
        <w:t>Any person is entitled to object to the proposed road closure and any person affected by a proposed road closure may apply for an easement to be granted in that person's favour over the land subject to the proposed road closure.</w:t>
      </w:r>
    </w:p>
    <w:p w:rsidR="006A7F0C" w:rsidRPr="006A7F0C" w:rsidRDefault="006A7F0C" w:rsidP="006A7F0C">
      <w:pPr>
        <w:rPr>
          <w:rFonts w:eastAsia="Times New Roman"/>
          <w:szCs w:val="17"/>
        </w:rPr>
      </w:pPr>
      <w:r w:rsidRPr="006A7F0C">
        <w:rPr>
          <w:rFonts w:eastAsia="Times New Roman"/>
          <w:szCs w:val="17"/>
        </w:rPr>
        <w:t>Such objection or application for an easement must set out the full name and address of the person making the objection or application and must be fully supported by reasons.</w:t>
      </w:r>
    </w:p>
    <w:p w:rsidR="006A7F0C" w:rsidRPr="006A7F0C" w:rsidRDefault="006A7F0C" w:rsidP="006A7F0C">
      <w:pPr>
        <w:rPr>
          <w:rFonts w:eastAsia="Times New Roman"/>
          <w:szCs w:val="17"/>
        </w:rPr>
      </w:pPr>
      <w:r w:rsidRPr="006A7F0C">
        <w:rPr>
          <w:rFonts w:eastAsia="Times New Roman"/>
          <w:szCs w:val="17"/>
        </w:rPr>
        <w:t>Any application for an easement must give full particulars of the nature and location of the easement and where made by a person as the owner of adjoining or nearby land, specify the land to which the easement is to be annexed.</w:t>
      </w:r>
    </w:p>
    <w:p w:rsidR="006A7F0C" w:rsidRPr="006A7F0C" w:rsidRDefault="006A7F0C" w:rsidP="006A7F0C">
      <w:pPr>
        <w:rPr>
          <w:rFonts w:eastAsia="Times New Roman"/>
          <w:spacing w:val="-4"/>
          <w:szCs w:val="17"/>
        </w:rPr>
      </w:pPr>
      <w:r w:rsidRPr="006A7F0C">
        <w:rPr>
          <w:rFonts w:eastAsia="Times New Roman"/>
          <w:spacing w:val="-4"/>
          <w:szCs w:val="17"/>
        </w:rPr>
        <w:t xml:space="preserve">Any application for easement or objection must be made in writing within 28 days of the date of this notice and posted to the City of Port Adelaide Enfield, PO Box 110 Port Adelaide SA 5015 and the Surveyor-General, GPO Box 1354 Adelaide SA 5001, setting out the full details. </w:t>
      </w:r>
    </w:p>
    <w:p w:rsidR="006A7F0C" w:rsidRPr="006A7F0C" w:rsidRDefault="006A7F0C" w:rsidP="006A7F0C">
      <w:pPr>
        <w:rPr>
          <w:rFonts w:eastAsia="Times New Roman"/>
          <w:szCs w:val="17"/>
        </w:rPr>
      </w:pPr>
      <w:r w:rsidRPr="006A7F0C">
        <w:rPr>
          <w:rFonts w:eastAsia="Times New Roman"/>
          <w:szCs w:val="17"/>
        </w:rPr>
        <w:t>Where a submission is made, Council will give notification of a meeting at which the matter will be considered.</w:t>
      </w:r>
    </w:p>
    <w:p w:rsidR="006A7F0C" w:rsidRPr="006A7F0C" w:rsidRDefault="006A7F0C" w:rsidP="006A7F0C">
      <w:pPr>
        <w:spacing w:after="0"/>
        <w:rPr>
          <w:rFonts w:eastAsia="Times New Roman"/>
          <w:szCs w:val="17"/>
        </w:rPr>
      </w:pPr>
      <w:r w:rsidRPr="006A7F0C">
        <w:rPr>
          <w:rFonts w:eastAsia="Times New Roman"/>
          <w:szCs w:val="17"/>
        </w:rPr>
        <w:t>Dated: 4 June 2020</w:t>
      </w:r>
    </w:p>
    <w:p w:rsidR="006A7F0C" w:rsidRPr="006A7F0C" w:rsidRDefault="006A7F0C" w:rsidP="006A7F0C">
      <w:pPr>
        <w:spacing w:after="0"/>
        <w:jc w:val="right"/>
        <w:rPr>
          <w:rFonts w:eastAsia="Times New Roman"/>
          <w:smallCaps/>
          <w:szCs w:val="20"/>
        </w:rPr>
      </w:pPr>
      <w:r w:rsidRPr="006A7F0C">
        <w:rPr>
          <w:rFonts w:eastAsia="Times New Roman"/>
          <w:smallCaps/>
          <w:szCs w:val="20"/>
        </w:rPr>
        <w:t>Mark Withers</w:t>
      </w:r>
    </w:p>
    <w:p w:rsidR="006A7F0C" w:rsidRDefault="006A7F0C" w:rsidP="00EE755E">
      <w:pPr>
        <w:spacing w:after="0"/>
        <w:jc w:val="right"/>
        <w:rPr>
          <w:rFonts w:eastAsia="Times New Roman"/>
          <w:szCs w:val="17"/>
        </w:rPr>
      </w:pPr>
      <w:r w:rsidRPr="006A7F0C">
        <w:rPr>
          <w:rFonts w:eastAsia="Times New Roman"/>
          <w:szCs w:val="17"/>
        </w:rPr>
        <w:t>Chief Executive Officer</w:t>
      </w:r>
    </w:p>
    <w:p w:rsidR="00EE755E" w:rsidRDefault="00EE755E" w:rsidP="00EE755E">
      <w:pPr>
        <w:pBdr>
          <w:bottom w:val="single" w:sz="4" w:space="1" w:color="auto"/>
        </w:pBdr>
        <w:spacing w:after="0" w:line="52" w:lineRule="exact"/>
        <w:jc w:val="center"/>
        <w:rPr>
          <w:rFonts w:ascii="CG Times (W1)" w:eastAsia="Times New Roman" w:hAnsi="CG Times (W1)"/>
          <w:szCs w:val="17"/>
        </w:rPr>
      </w:pPr>
    </w:p>
    <w:p w:rsidR="00EE755E" w:rsidRDefault="00EE755E" w:rsidP="00EE755E">
      <w:pPr>
        <w:pBdr>
          <w:top w:val="single" w:sz="4" w:space="1" w:color="auto"/>
        </w:pBdr>
        <w:spacing w:before="34" w:after="0" w:line="14" w:lineRule="exact"/>
        <w:jc w:val="center"/>
        <w:rPr>
          <w:rFonts w:ascii="CG Times (W1)" w:eastAsia="Times New Roman" w:hAnsi="CG Times (W1)"/>
          <w:szCs w:val="17"/>
        </w:rPr>
      </w:pPr>
    </w:p>
    <w:p w:rsidR="00EE755E" w:rsidRPr="006A7F0C" w:rsidRDefault="00EE755E" w:rsidP="00EE75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6A7F0C" w:rsidRPr="006A7F0C" w:rsidRDefault="006A7F0C" w:rsidP="00DC3F27">
      <w:pPr>
        <w:pStyle w:val="Heading2"/>
      </w:pPr>
      <w:bookmarkStart w:id="32" w:name="_Toc42155348"/>
      <w:r w:rsidRPr="006A7F0C">
        <w:t>DiSTRICT COUNCIL OF ROBE</w:t>
      </w:r>
      <w:bookmarkEnd w:id="32"/>
    </w:p>
    <w:p w:rsidR="006A7F0C" w:rsidRPr="006A7F0C" w:rsidRDefault="006A7F0C" w:rsidP="006A7F0C">
      <w:pPr>
        <w:jc w:val="center"/>
        <w:rPr>
          <w:smallCaps/>
          <w:szCs w:val="17"/>
        </w:rPr>
      </w:pPr>
      <w:r w:rsidRPr="006A7F0C">
        <w:rPr>
          <w:smallCaps/>
          <w:szCs w:val="17"/>
        </w:rPr>
        <w:t>Roads (Opening and Closing) Act 1991</w:t>
      </w:r>
    </w:p>
    <w:p w:rsidR="006A7F0C" w:rsidRPr="006A7F0C" w:rsidRDefault="006A7F0C" w:rsidP="006A7F0C">
      <w:pPr>
        <w:jc w:val="center"/>
        <w:rPr>
          <w:i/>
          <w:szCs w:val="17"/>
        </w:rPr>
      </w:pPr>
      <w:r w:rsidRPr="006A7F0C">
        <w:rPr>
          <w:i/>
          <w:szCs w:val="17"/>
        </w:rPr>
        <w:t>Road Closing – Dening Street, Robe</w:t>
      </w:r>
    </w:p>
    <w:p w:rsidR="006A7F0C" w:rsidRPr="006A7F0C" w:rsidRDefault="006A7F0C" w:rsidP="006A7F0C">
      <w:pPr>
        <w:rPr>
          <w:rFonts w:eastAsia="Times New Roman"/>
          <w:szCs w:val="17"/>
        </w:rPr>
      </w:pPr>
      <w:r w:rsidRPr="006A7F0C">
        <w:rPr>
          <w:rFonts w:eastAsia="Times New Roman"/>
          <w:szCs w:val="17"/>
        </w:rPr>
        <w:t xml:space="preserve">NOTICE is hereby given, pursuant to section 10 of the </w:t>
      </w:r>
      <w:r w:rsidRPr="006A7F0C">
        <w:rPr>
          <w:rFonts w:eastAsia="Times New Roman"/>
          <w:i/>
          <w:iCs/>
          <w:szCs w:val="17"/>
        </w:rPr>
        <w:t>Roads (Opening and Closing) Act 1991</w:t>
      </w:r>
      <w:r w:rsidRPr="006A7F0C">
        <w:rPr>
          <w:rFonts w:eastAsia="Times New Roman"/>
          <w:szCs w:val="17"/>
        </w:rPr>
        <w:t>, that the council proposes to make a Road Process Order to close and retain the un-made road adjoining allotment 10 in DP67101 and allotment 117 in FP205463 more particularly delineated and lettered A on Preliminary Plan 20/0023.</w:t>
      </w:r>
    </w:p>
    <w:p w:rsidR="006A7F0C" w:rsidRPr="006A7F0C" w:rsidRDefault="006A7F0C" w:rsidP="006A7F0C">
      <w:pPr>
        <w:rPr>
          <w:rFonts w:eastAsia="Times New Roman"/>
          <w:szCs w:val="17"/>
        </w:rPr>
      </w:pPr>
      <w:r w:rsidRPr="006A7F0C">
        <w:rPr>
          <w:rFonts w:eastAsia="Times New Roman"/>
          <w:szCs w:val="17"/>
        </w:rPr>
        <w:t xml:space="preserve">The Preliminary Plan and Statement of Persons Affected is available for public inspection at the office of the District Council of Robe located at 3 Royal Circus Robe and the Adelaide Office of the Surveyor-General during normal office hours. The Preliminary Plan can also be viewed at </w:t>
      </w:r>
      <w:hyperlink r:id="rId29" w:history="1">
        <w:r w:rsidRPr="006A7F0C">
          <w:rPr>
            <w:color w:val="0000FF"/>
            <w:szCs w:val="17"/>
            <w:u w:val="single"/>
          </w:rPr>
          <w:t>www.sa.gov.au/roadsactproposals</w:t>
        </w:r>
      </w:hyperlink>
      <w:r w:rsidRPr="006A7F0C">
        <w:rPr>
          <w:rFonts w:eastAsia="Times New Roman"/>
          <w:szCs w:val="17"/>
        </w:rPr>
        <w:t>.</w:t>
      </w:r>
    </w:p>
    <w:p w:rsidR="006A7F0C" w:rsidRPr="006A7F0C" w:rsidRDefault="006A7F0C" w:rsidP="006A7F0C">
      <w:pPr>
        <w:rPr>
          <w:rFonts w:eastAsia="Times New Roman"/>
          <w:szCs w:val="17"/>
        </w:rPr>
      </w:pPr>
      <w:r w:rsidRPr="006A7F0C">
        <w:rPr>
          <w:rFonts w:eastAsia="Times New Roman"/>
          <w:szCs w:val="17"/>
        </w:rPr>
        <w:t>Any application for easement or objection must set out the full name, address and details of the submission and must be fully supported by reasons. The application for easement or objection must be made in writing to the City of Salisbury at PO Box 1 Robe SA 5276, WITHIN 28 DAYS OF THIS NOTICE and a copy must be forwarded to the Surveyor-General at GPO Box 1354, Adelaide 5001. Where a submission is made, the Council will give notification of a meeting at which the matter will be considered.</w:t>
      </w:r>
    </w:p>
    <w:p w:rsidR="006A7F0C" w:rsidRPr="006A7F0C" w:rsidRDefault="006A7F0C" w:rsidP="006A7F0C">
      <w:pPr>
        <w:spacing w:after="0"/>
        <w:rPr>
          <w:rFonts w:eastAsia="Times New Roman"/>
          <w:szCs w:val="17"/>
        </w:rPr>
      </w:pPr>
      <w:r w:rsidRPr="006A7F0C">
        <w:rPr>
          <w:rFonts w:eastAsia="Times New Roman"/>
          <w:szCs w:val="17"/>
        </w:rPr>
        <w:t>Dated: 4 June 2020</w:t>
      </w:r>
    </w:p>
    <w:p w:rsidR="006A7F0C" w:rsidRPr="006A7F0C" w:rsidRDefault="006A7F0C" w:rsidP="006A7F0C">
      <w:pPr>
        <w:spacing w:after="0"/>
        <w:jc w:val="right"/>
        <w:rPr>
          <w:rFonts w:eastAsia="Times New Roman"/>
          <w:smallCaps/>
          <w:szCs w:val="20"/>
        </w:rPr>
      </w:pPr>
      <w:r w:rsidRPr="006A7F0C">
        <w:rPr>
          <w:rFonts w:eastAsia="Times New Roman"/>
          <w:smallCaps/>
          <w:szCs w:val="20"/>
        </w:rPr>
        <w:t>James Holyman</w:t>
      </w:r>
    </w:p>
    <w:p w:rsidR="006A7F0C" w:rsidRDefault="006A7F0C" w:rsidP="006A7F0C">
      <w:pPr>
        <w:spacing w:after="0"/>
        <w:jc w:val="right"/>
        <w:rPr>
          <w:rFonts w:eastAsia="Times New Roman"/>
          <w:szCs w:val="17"/>
        </w:rPr>
      </w:pPr>
      <w:r w:rsidRPr="006A7F0C">
        <w:rPr>
          <w:rFonts w:eastAsia="Times New Roman"/>
          <w:szCs w:val="17"/>
        </w:rPr>
        <w:t>Chief Executive Officer</w:t>
      </w:r>
    </w:p>
    <w:p w:rsidR="006A7F0C" w:rsidRDefault="006A7F0C" w:rsidP="006A7F0C">
      <w:pPr>
        <w:pBdr>
          <w:bottom w:val="single" w:sz="4" w:space="1" w:color="auto"/>
        </w:pBdr>
        <w:spacing w:after="0" w:line="52" w:lineRule="exact"/>
        <w:jc w:val="center"/>
        <w:rPr>
          <w:rFonts w:ascii="CG Times (W1)" w:eastAsia="Times New Roman" w:hAnsi="CG Times (W1)"/>
          <w:szCs w:val="17"/>
        </w:rPr>
      </w:pPr>
    </w:p>
    <w:p w:rsidR="006A7F0C" w:rsidRDefault="006A7F0C" w:rsidP="006A7F0C">
      <w:pPr>
        <w:pBdr>
          <w:top w:val="single" w:sz="4" w:space="1" w:color="auto"/>
        </w:pBdr>
        <w:spacing w:before="34" w:after="0" w:line="14" w:lineRule="exact"/>
        <w:jc w:val="center"/>
        <w:rPr>
          <w:rFonts w:ascii="CG Times (W1)" w:eastAsia="Times New Roman" w:hAnsi="CG Times (W1)"/>
          <w:szCs w:val="17"/>
        </w:rPr>
      </w:pPr>
    </w:p>
    <w:p w:rsidR="004A2BF4" w:rsidRDefault="004A2BF4" w:rsidP="00B13C12">
      <w:pPr>
        <w:pStyle w:val="GG-body"/>
        <w:rPr>
          <w:lang w:val="en-US"/>
        </w:rPr>
      </w:pPr>
    </w:p>
    <w:p w:rsidR="009D1E2E" w:rsidRPr="009D1E2E" w:rsidRDefault="009D1E2E" w:rsidP="00F80EF5">
      <w:pPr>
        <w:pStyle w:val="Heading1"/>
      </w:pPr>
      <w:r>
        <w:rPr>
          <w:lang w:val="en-US"/>
        </w:rPr>
        <w:br w:type="page"/>
      </w:r>
      <w:bookmarkStart w:id="33" w:name="_Toc33707984"/>
      <w:bookmarkStart w:id="34" w:name="_Toc33708155"/>
      <w:bookmarkStart w:id="35" w:name="_Toc42155349"/>
      <w:r>
        <w:lastRenderedPageBreak/>
        <w:t>Public Notices</w:t>
      </w:r>
      <w:bookmarkEnd w:id="33"/>
      <w:bookmarkEnd w:id="34"/>
      <w:bookmarkEnd w:id="35"/>
    </w:p>
    <w:p w:rsidR="006A7F0C" w:rsidRPr="006A7F0C" w:rsidRDefault="006A7F0C" w:rsidP="00F06F7A">
      <w:pPr>
        <w:pStyle w:val="Heading2"/>
      </w:pPr>
      <w:bookmarkStart w:id="36" w:name="_Toc42155350"/>
      <w:r w:rsidRPr="006A7F0C">
        <w:t>Trustee Act 1936</w:t>
      </w:r>
      <w:bookmarkEnd w:id="36"/>
    </w:p>
    <w:p w:rsidR="006A7F0C" w:rsidRPr="006A7F0C" w:rsidRDefault="006A7F0C" w:rsidP="006A7F0C">
      <w:pPr>
        <w:jc w:val="center"/>
        <w:rPr>
          <w:smallCaps/>
          <w:szCs w:val="17"/>
        </w:rPr>
      </w:pPr>
      <w:r w:rsidRPr="006A7F0C">
        <w:rPr>
          <w:smallCaps/>
          <w:szCs w:val="17"/>
        </w:rPr>
        <w:t>Public Trustee</w:t>
      </w:r>
    </w:p>
    <w:p w:rsidR="006A7F0C" w:rsidRPr="006A7F0C" w:rsidRDefault="006A7F0C" w:rsidP="006A7F0C">
      <w:pPr>
        <w:jc w:val="center"/>
        <w:rPr>
          <w:i/>
          <w:szCs w:val="17"/>
        </w:rPr>
      </w:pPr>
      <w:r w:rsidRPr="006A7F0C">
        <w:rPr>
          <w:i/>
          <w:szCs w:val="17"/>
        </w:rPr>
        <w:t>Estates of Deceased Persons</w:t>
      </w:r>
    </w:p>
    <w:p w:rsidR="006A7F0C" w:rsidRPr="006A7F0C" w:rsidRDefault="006A7F0C" w:rsidP="006A7F0C">
      <w:pPr>
        <w:rPr>
          <w:rFonts w:eastAsia="Times New Roman"/>
          <w:szCs w:val="17"/>
        </w:rPr>
      </w:pPr>
      <w:r w:rsidRPr="006A7F0C">
        <w:rPr>
          <w:rFonts w:eastAsia="Times New Roman"/>
          <w:szCs w:val="17"/>
        </w:rPr>
        <w:t>In the matter of the estates of the undermentioned deceased persons:</w:t>
      </w:r>
    </w:p>
    <w:p w:rsidR="006A7F0C" w:rsidRPr="006A7F0C" w:rsidRDefault="006A7F0C" w:rsidP="00E65620">
      <w:pPr>
        <w:spacing w:after="0"/>
        <w:ind w:left="160"/>
        <w:rPr>
          <w:rFonts w:eastAsia="Times New Roman"/>
          <w:szCs w:val="17"/>
        </w:rPr>
      </w:pPr>
      <w:r w:rsidRPr="006A7F0C">
        <w:rPr>
          <w:rFonts w:eastAsia="Times New Roman"/>
          <w:szCs w:val="17"/>
        </w:rPr>
        <w:t>BIEDERMANN Elsbeth late of 1 Leighton Avenue Klemzig Retired Chef who died 29 September 2019</w:t>
      </w:r>
    </w:p>
    <w:p w:rsidR="006A7F0C" w:rsidRPr="006A7F0C" w:rsidRDefault="006A7F0C" w:rsidP="00E65620">
      <w:pPr>
        <w:spacing w:after="0"/>
        <w:ind w:left="160"/>
        <w:rPr>
          <w:rFonts w:eastAsia="Times New Roman"/>
          <w:szCs w:val="17"/>
        </w:rPr>
      </w:pPr>
      <w:r w:rsidRPr="006A7F0C">
        <w:rPr>
          <w:rFonts w:eastAsia="Times New Roman"/>
          <w:szCs w:val="17"/>
        </w:rPr>
        <w:t>DRAPER Ian Ronald late of 6 Colton Road Blackwood Computer Programmer who died 14 December 2019</w:t>
      </w:r>
    </w:p>
    <w:p w:rsidR="006A7F0C" w:rsidRPr="006A7F0C" w:rsidRDefault="006A7F0C" w:rsidP="00E65620">
      <w:pPr>
        <w:spacing w:after="0"/>
        <w:ind w:left="160"/>
        <w:rPr>
          <w:rFonts w:eastAsia="Times New Roman"/>
          <w:szCs w:val="17"/>
        </w:rPr>
      </w:pPr>
      <w:r w:rsidRPr="006A7F0C">
        <w:rPr>
          <w:rFonts w:eastAsia="Times New Roman"/>
          <w:szCs w:val="17"/>
        </w:rPr>
        <w:t>GREEN Eric Norman late of 150 Reynell Road Woodcroft of no occupation who died 17 December 2019</w:t>
      </w:r>
    </w:p>
    <w:p w:rsidR="006A7F0C" w:rsidRPr="006A7F0C" w:rsidRDefault="006A7F0C" w:rsidP="00E65620">
      <w:pPr>
        <w:spacing w:after="0"/>
        <w:ind w:left="160"/>
        <w:rPr>
          <w:rFonts w:eastAsia="Times New Roman"/>
          <w:szCs w:val="17"/>
        </w:rPr>
      </w:pPr>
      <w:r w:rsidRPr="006A7F0C">
        <w:rPr>
          <w:rFonts w:eastAsia="Times New Roman"/>
          <w:szCs w:val="17"/>
        </w:rPr>
        <w:t>HASKARD Ian Kenneth late of 81 Tapleys Hill Road Hendon Retired Engineer who died 04 November 2019</w:t>
      </w:r>
    </w:p>
    <w:p w:rsidR="006A7F0C" w:rsidRPr="006A7F0C" w:rsidRDefault="006A7F0C" w:rsidP="00E65620">
      <w:pPr>
        <w:spacing w:after="0"/>
        <w:ind w:left="160"/>
        <w:rPr>
          <w:rFonts w:eastAsia="Times New Roman"/>
          <w:szCs w:val="17"/>
        </w:rPr>
      </w:pPr>
      <w:r w:rsidRPr="006A7F0C">
        <w:rPr>
          <w:rFonts w:eastAsia="Times New Roman"/>
          <w:szCs w:val="17"/>
        </w:rPr>
        <w:t>HOWIE Donald Robert late of 15 Yeo Avenue Highgate Retired Public Servant who died 02 April 2020</w:t>
      </w:r>
    </w:p>
    <w:p w:rsidR="006A7F0C" w:rsidRPr="006A7F0C" w:rsidRDefault="006A7F0C" w:rsidP="00E65620">
      <w:pPr>
        <w:spacing w:after="0"/>
        <w:ind w:left="160"/>
        <w:rPr>
          <w:rFonts w:eastAsia="Times New Roman"/>
          <w:szCs w:val="17"/>
        </w:rPr>
      </w:pPr>
      <w:r w:rsidRPr="006A7F0C">
        <w:rPr>
          <w:rFonts w:eastAsia="Times New Roman"/>
          <w:szCs w:val="17"/>
        </w:rPr>
        <w:t>MARTYN Michael John late of 66 Nelson Road Valley View Retired Bricklayer who died 10 November 2019</w:t>
      </w:r>
    </w:p>
    <w:p w:rsidR="006A7F0C" w:rsidRPr="006A7F0C" w:rsidRDefault="006A7F0C" w:rsidP="00E65620">
      <w:pPr>
        <w:spacing w:after="0"/>
        <w:ind w:left="160"/>
        <w:rPr>
          <w:rFonts w:eastAsia="Times New Roman"/>
          <w:szCs w:val="17"/>
        </w:rPr>
      </w:pPr>
      <w:r w:rsidRPr="006A7F0C">
        <w:rPr>
          <w:rFonts w:eastAsia="Times New Roman"/>
          <w:szCs w:val="17"/>
        </w:rPr>
        <w:t>MONKS Bridget Agnes late of 1 Leighton Avenue Klemzig Retired Nursing Sister who died 17 January 2020</w:t>
      </w:r>
    </w:p>
    <w:p w:rsidR="006A7F0C" w:rsidRPr="006A7F0C" w:rsidRDefault="006A7F0C" w:rsidP="00E65620">
      <w:pPr>
        <w:spacing w:after="0"/>
        <w:ind w:left="160"/>
        <w:rPr>
          <w:rFonts w:eastAsia="Times New Roman"/>
          <w:szCs w:val="17"/>
        </w:rPr>
      </w:pPr>
      <w:r w:rsidRPr="006A7F0C">
        <w:rPr>
          <w:rFonts w:eastAsia="Times New Roman"/>
          <w:szCs w:val="17"/>
        </w:rPr>
        <w:t>OFFERING Kimbe Light Truth late of 55 Victoria Street Victor Harbor of no occupation who died 17 February 2020</w:t>
      </w:r>
    </w:p>
    <w:p w:rsidR="006A7F0C" w:rsidRPr="006A7F0C" w:rsidRDefault="006A7F0C" w:rsidP="00E65620">
      <w:pPr>
        <w:spacing w:after="0"/>
        <w:ind w:left="160"/>
        <w:rPr>
          <w:rFonts w:eastAsia="Times New Roman"/>
          <w:szCs w:val="17"/>
        </w:rPr>
      </w:pPr>
      <w:r w:rsidRPr="006A7F0C">
        <w:rPr>
          <w:rFonts w:eastAsia="Times New Roman"/>
          <w:szCs w:val="17"/>
        </w:rPr>
        <w:t>STRINGER Mary Doreen late of 147 St Bernards Road Rostrevor of no occupation who died 19 March 2019</w:t>
      </w:r>
    </w:p>
    <w:p w:rsidR="006A7F0C" w:rsidRPr="006A7F0C" w:rsidRDefault="006A7F0C" w:rsidP="00E65620">
      <w:pPr>
        <w:ind w:left="160"/>
        <w:rPr>
          <w:rFonts w:eastAsia="Times New Roman"/>
          <w:szCs w:val="17"/>
        </w:rPr>
      </w:pPr>
      <w:r w:rsidRPr="006A7F0C">
        <w:rPr>
          <w:rFonts w:eastAsia="Times New Roman"/>
          <w:szCs w:val="17"/>
        </w:rPr>
        <w:t>SYM CHOON Yvonne Lorraine Joyce late of 59 George Street Unley Retired Silk Painter who died 05 February 2020</w:t>
      </w:r>
    </w:p>
    <w:p w:rsidR="006A7F0C" w:rsidRPr="006A7F0C" w:rsidRDefault="006A7F0C" w:rsidP="006A7F0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6A7F0C">
        <w:rPr>
          <w:rFonts w:eastAsia="Times New Roman"/>
          <w:szCs w:val="20"/>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3 July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6A7F0C" w:rsidRPr="006A7F0C" w:rsidRDefault="006A7F0C" w:rsidP="006A7F0C">
      <w:pPr>
        <w:spacing w:after="0"/>
        <w:rPr>
          <w:rFonts w:eastAsia="Times New Roman"/>
          <w:szCs w:val="17"/>
        </w:rPr>
      </w:pPr>
      <w:r w:rsidRPr="006A7F0C">
        <w:rPr>
          <w:rFonts w:eastAsia="Times New Roman"/>
          <w:szCs w:val="17"/>
        </w:rPr>
        <w:t>Dated: 4 June 2020</w:t>
      </w:r>
    </w:p>
    <w:p w:rsidR="006A7F0C" w:rsidRPr="006A7F0C" w:rsidRDefault="006A7F0C" w:rsidP="006A7F0C">
      <w:pPr>
        <w:spacing w:after="0"/>
        <w:jc w:val="right"/>
        <w:rPr>
          <w:rFonts w:eastAsia="Times New Roman"/>
          <w:smallCaps/>
          <w:szCs w:val="20"/>
        </w:rPr>
      </w:pPr>
      <w:r w:rsidRPr="006A7F0C">
        <w:rPr>
          <w:rFonts w:eastAsia="Times New Roman"/>
          <w:smallCaps/>
          <w:szCs w:val="20"/>
        </w:rPr>
        <w:t>N S Rantanen</w:t>
      </w:r>
    </w:p>
    <w:p w:rsidR="006A7F0C" w:rsidRPr="006A7F0C" w:rsidRDefault="006A7F0C" w:rsidP="006A7F0C">
      <w:pPr>
        <w:spacing w:after="0"/>
        <w:jc w:val="right"/>
        <w:rPr>
          <w:rFonts w:eastAsia="Times New Roman"/>
          <w:szCs w:val="17"/>
        </w:rPr>
      </w:pPr>
      <w:r w:rsidRPr="006A7F0C">
        <w:rPr>
          <w:rFonts w:eastAsia="Times New Roman"/>
          <w:szCs w:val="17"/>
        </w:rPr>
        <w:t>Acting</w:t>
      </w:r>
      <w:r w:rsidRPr="006A7F0C">
        <w:rPr>
          <w:rFonts w:eastAsia="Times New Roman"/>
          <w:smallCaps/>
          <w:szCs w:val="20"/>
        </w:rPr>
        <w:t xml:space="preserve"> </w:t>
      </w:r>
      <w:r w:rsidRPr="006A7F0C">
        <w:rPr>
          <w:rFonts w:eastAsia="Times New Roman"/>
          <w:szCs w:val="17"/>
        </w:rPr>
        <w:t>Public Trustee</w:t>
      </w:r>
    </w:p>
    <w:p w:rsidR="006A7F0C" w:rsidRPr="006A7F0C" w:rsidRDefault="006A7F0C" w:rsidP="006A7F0C">
      <w:pPr>
        <w:pBdr>
          <w:bottom w:val="single" w:sz="4" w:space="1" w:color="auto"/>
        </w:pBdr>
        <w:spacing w:after="0" w:line="52" w:lineRule="exact"/>
        <w:jc w:val="center"/>
        <w:rPr>
          <w:rFonts w:eastAsia="Times New Roman"/>
          <w:szCs w:val="17"/>
        </w:rPr>
      </w:pPr>
    </w:p>
    <w:p w:rsidR="006A7F0C" w:rsidRPr="006A7F0C" w:rsidRDefault="006A7F0C" w:rsidP="006A7F0C">
      <w:pPr>
        <w:pBdr>
          <w:top w:val="single" w:sz="4" w:space="1" w:color="auto"/>
        </w:pBdr>
        <w:spacing w:before="34" w:after="0" w:line="14" w:lineRule="exact"/>
        <w:jc w:val="center"/>
        <w:rPr>
          <w:rFonts w:eastAsia="Times New Roman"/>
          <w:szCs w:val="17"/>
        </w:rPr>
      </w:pPr>
    </w:p>
    <w:p w:rsidR="009D1E2E" w:rsidRDefault="009D1E2E" w:rsidP="00B13C12">
      <w:pPr>
        <w:pStyle w:val="GG-body"/>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FC7B18">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FC7B18">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FC7B18">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FC7B18">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FC7B18">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FC7B18">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FC7B18">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FC7B18">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FC7B18">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FC7B18">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30"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31"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32" w:history="1">
        <w:r w:rsidRPr="000B6B42">
          <w:rPr>
            <w:rStyle w:val="Hyperlink"/>
            <w:szCs w:val="17"/>
          </w:rPr>
          <w:t>www.governmentgazette.sa.gov.au</w:t>
        </w:r>
      </w:hyperlink>
      <w:r>
        <w:rPr>
          <w:szCs w:val="17"/>
        </w:rPr>
        <w:t xml:space="preserve"> </w:t>
      </w:r>
    </w:p>
    <w:sectPr w:rsidR="00D0446B" w:rsidRPr="00C77C39" w:rsidSect="00593FE8">
      <w:headerReference w:type="even" r:id="rId33"/>
      <w:headerReference w:type="default" r:id="rId34"/>
      <w:pgSz w:w="11906" w:h="16838"/>
      <w:pgMar w:top="1673" w:right="1259" w:bottom="1134" w:left="1293" w:header="1134" w:footer="936" w:gutter="0"/>
      <w:pgNumType w:start="279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A5A" w:rsidRDefault="00C84A5A" w:rsidP="00777F88">
      <w:pPr>
        <w:spacing w:after="0" w:line="240" w:lineRule="auto"/>
      </w:pPr>
      <w:r>
        <w:separator/>
      </w:r>
    </w:p>
  </w:endnote>
  <w:endnote w:type="continuationSeparator" w:id="0">
    <w:p w:rsidR="00C84A5A" w:rsidRDefault="00C84A5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D0446B" w:rsidRDefault="00C84A5A"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144772" w:rsidRDefault="00C84A5A"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84A5A" w:rsidRPr="00144772" w:rsidRDefault="00C84A5A"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84A5A" w:rsidRPr="00777F88" w:rsidRDefault="00C84A5A"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84A5A" w:rsidRPr="00777F88" w:rsidRDefault="00C84A5A"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C84A5A" w:rsidRPr="00D0446B" w:rsidRDefault="00C84A5A"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D0446B" w:rsidRDefault="00C84A5A"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144772" w:rsidRDefault="00C84A5A"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C84A5A" w:rsidRPr="00144772" w:rsidRDefault="00C84A5A"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84A5A" w:rsidRPr="00777F88" w:rsidRDefault="00C84A5A"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C84A5A" w:rsidRPr="00777F88" w:rsidRDefault="00C84A5A" w:rsidP="00D0446B">
    <w:pPr>
      <w:pStyle w:val="Footer"/>
      <w:spacing w:line="170" w:lineRule="exact"/>
      <w:jc w:val="center"/>
      <w:rPr>
        <w:szCs w:val="17"/>
      </w:rPr>
    </w:pPr>
    <w:r w:rsidRPr="00777F88">
      <w:rPr>
        <w:szCs w:val="17"/>
      </w:rPr>
      <w:t>$7.21 per issue (plus postage), $361.90 per annual subscription—GST inclusive</w:t>
    </w:r>
  </w:p>
  <w:p w:rsidR="00C84A5A" w:rsidRPr="00D0446B" w:rsidRDefault="00C84A5A"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A5A" w:rsidRDefault="00C84A5A" w:rsidP="00777F88">
      <w:pPr>
        <w:spacing w:after="0" w:line="240" w:lineRule="auto"/>
      </w:pPr>
      <w:r>
        <w:separator/>
      </w:r>
    </w:p>
  </w:footnote>
  <w:footnote w:type="continuationSeparator" w:id="0">
    <w:p w:rsidR="00C84A5A" w:rsidRDefault="00C84A5A"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34074D" w:rsidRDefault="00C84A5A"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C84A5A" w:rsidRPr="0034074D" w:rsidRDefault="00C84A5A" w:rsidP="0034074D">
    <w:pPr>
      <w:pStyle w:val="Header"/>
      <w:pBdr>
        <w:top w:val="single" w:sz="4" w:space="1" w:color="auto"/>
      </w:pBdr>
      <w:tabs>
        <w:tab w:val="clear" w:pos="9026"/>
        <w:tab w:val="right" w:pos="9360"/>
      </w:tabs>
      <w:spacing w:before="100" w:line="14" w:lineRule="exact"/>
      <w:jc w:val="center"/>
      <w:rPr>
        <w:sz w:val="20"/>
        <w:szCs w:val="20"/>
      </w:rPr>
    </w:pPr>
  </w:p>
  <w:p w:rsidR="00C84A5A" w:rsidRPr="0034074D" w:rsidRDefault="00C84A5A"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DA30CF" w:rsidRDefault="00C84A5A"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C25241" w:rsidRDefault="00C84A5A"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46</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2360B0">
      <w:rPr>
        <w:noProof/>
        <w:sz w:val="21"/>
        <w:szCs w:val="21"/>
      </w:rPr>
      <w:t>2795</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34074D" w:rsidRDefault="00C84A5A"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C84A5A" w:rsidRPr="0034074D" w:rsidRDefault="00C84A5A" w:rsidP="0034074D">
    <w:pPr>
      <w:pStyle w:val="Header"/>
      <w:pBdr>
        <w:top w:val="single" w:sz="4" w:space="1" w:color="auto"/>
      </w:pBdr>
      <w:tabs>
        <w:tab w:val="clear" w:pos="9026"/>
        <w:tab w:val="right" w:pos="9360"/>
      </w:tabs>
      <w:spacing w:before="100" w:line="14" w:lineRule="exact"/>
      <w:jc w:val="center"/>
      <w:rPr>
        <w:sz w:val="20"/>
        <w:szCs w:val="20"/>
      </w:rPr>
    </w:pPr>
  </w:p>
  <w:p w:rsidR="00C84A5A" w:rsidRPr="0034074D" w:rsidRDefault="00C84A5A"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DA30CF" w:rsidRDefault="00C84A5A"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C25241" w:rsidRDefault="00C84A5A"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46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5A1052">
      <w:rPr>
        <w:rFonts w:eastAsia="Times New Roman"/>
        <w:noProof/>
        <w:sz w:val="21"/>
        <w:szCs w:val="21"/>
      </w:rPr>
      <w:t>2798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4 June</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A5A" w:rsidRPr="00C25241" w:rsidRDefault="00C84A5A"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4 June</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46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5A1052">
      <w:rPr>
        <w:rFonts w:eastAsia="Times New Roman"/>
        <w:noProof/>
        <w:sz w:val="21"/>
        <w:szCs w:val="21"/>
      </w:rPr>
      <w:t>2799</w:t>
    </w:r>
    <w:r w:rsidRPr="00C25241">
      <w:rPr>
        <w:rFonts w:eastAsia="Times New Roman"/>
        <w:noProof/>
        <w:sz w:val="21"/>
        <w:szCs w:val="21"/>
      </w:rPr>
      <w:fldChar w:fldCharType="end"/>
    </w:r>
  </w:p>
  <w:p w:rsidR="00C84A5A" w:rsidRPr="00C25241" w:rsidRDefault="00C84A5A">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D97"/>
    <w:multiLevelType w:val="hybridMultilevel"/>
    <w:tmpl w:val="0150C15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09C90C42"/>
    <w:multiLevelType w:val="hybridMultilevel"/>
    <w:tmpl w:val="281AF05A"/>
    <w:lvl w:ilvl="0" w:tplc="3E548FDA">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C1524F4"/>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A48FD"/>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FB6534"/>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BC202D"/>
    <w:multiLevelType w:val="hybridMultilevel"/>
    <w:tmpl w:val="281AF05A"/>
    <w:lvl w:ilvl="0" w:tplc="3E548FDA">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12BD13AF"/>
    <w:multiLevelType w:val="hybridMultilevel"/>
    <w:tmpl w:val="BE7AFDE8"/>
    <w:lvl w:ilvl="0" w:tplc="0C090011">
      <w:start w:val="1"/>
      <w:numFmt w:val="decimal"/>
      <w:lvlText w:val="%1)"/>
      <w:lvlJc w:val="left"/>
      <w:pPr>
        <w:ind w:left="738" w:hanging="360"/>
      </w:pPr>
    </w:lvl>
    <w:lvl w:ilvl="1" w:tplc="0C090019" w:tentative="1">
      <w:start w:val="1"/>
      <w:numFmt w:val="lowerLetter"/>
      <w:lvlText w:val="%2."/>
      <w:lvlJc w:val="left"/>
      <w:pPr>
        <w:ind w:left="1458" w:hanging="360"/>
      </w:pPr>
    </w:lvl>
    <w:lvl w:ilvl="2" w:tplc="0C09001B" w:tentative="1">
      <w:start w:val="1"/>
      <w:numFmt w:val="lowerRoman"/>
      <w:lvlText w:val="%3."/>
      <w:lvlJc w:val="right"/>
      <w:pPr>
        <w:ind w:left="2178" w:hanging="180"/>
      </w:pPr>
    </w:lvl>
    <w:lvl w:ilvl="3" w:tplc="0C09000F" w:tentative="1">
      <w:start w:val="1"/>
      <w:numFmt w:val="decimal"/>
      <w:lvlText w:val="%4."/>
      <w:lvlJc w:val="left"/>
      <w:pPr>
        <w:ind w:left="2898" w:hanging="360"/>
      </w:pPr>
    </w:lvl>
    <w:lvl w:ilvl="4" w:tplc="0C090019" w:tentative="1">
      <w:start w:val="1"/>
      <w:numFmt w:val="lowerLetter"/>
      <w:lvlText w:val="%5."/>
      <w:lvlJc w:val="left"/>
      <w:pPr>
        <w:ind w:left="3618" w:hanging="360"/>
      </w:pPr>
    </w:lvl>
    <w:lvl w:ilvl="5" w:tplc="0C09001B" w:tentative="1">
      <w:start w:val="1"/>
      <w:numFmt w:val="lowerRoman"/>
      <w:lvlText w:val="%6."/>
      <w:lvlJc w:val="right"/>
      <w:pPr>
        <w:ind w:left="4338" w:hanging="180"/>
      </w:pPr>
    </w:lvl>
    <w:lvl w:ilvl="6" w:tplc="0C09000F" w:tentative="1">
      <w:start w:val="1"/>
      <w:numFmt w:val="decimal"/>
      <w:lvlText w:val="%7."/>
      <w:lvlJc w:val="left"/>
      <w:pPr>
        <w:ind w:left="5058" w:hanging="360"/>
      </w:pPr>
    </w:lvl>
    <w:lvl w:ilvl="7" w:tplc="0C090019" w:tentative="1">
      <w:start w:val="1"/>
      <w:numFmt w:val="lowerLetter"/>
      <w:lvlText w:val="%8."/>
      <w:lvlJc w:val="left"/>
      <w:pPr>
        <w:ind w:left="5778" w:hanging="360"/>
      </w:pPr>
    </w:lvl>
    <w:lvl w:ilvl="8" w:tplc="0C09001B" w:tentative="1">
      <w:start w:val="1"/>
      <w:numFmt w:val="lowerRoman"/>
      <w:lvlText w:val="%9."/>
      <w:lvlJc w:val="right"/>
      <w:pPr>
        <w:ind w:left="6498" w:hanging="180"/>
      </w:pPr>
    </w:lvl>
  </w:abstractNum>
  <w:abstractNum w:abstractNumId="7" w15:restartNumberingAfterBreak="0">
    <w:nsid w:val="15F7641F"/>
    <w:multiLevelType w:val="hybridMultilevel"/>
    <w:tmpl w:val="712AF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D6253A"/>
    <w:multiLevelType w:val="hybridMultilevel"/>
    <w:tmpl w:val="9BCED5B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0331DB"/>
    <w:multiLevelType w:val="hybridMultilevel"/>
    <w:tmpl w:val="D1AE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E1494"/>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732B32"/>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856143"/>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52172A"/>
    <w:multiLevelType w:val="hybridMultilevel"/>
    <w:tmpl w:val="C74A13DE"/>
    <w:lvl w:ilvl="0" w:tplc="5A5615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31184D"/>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D91069"/>
    <w:multiLevelType w:val="hybridMultilevel"/>
    <w:tmpl w:val="AA32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C4A3C"/>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811BAE"/>
    <w:multiLevelType w:val="hybridMultilevel"/>
    <w:tmpl w:val="607605D0"/>
    <w:lvl w:ilvl="0" w:tplc="2EFE558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EC302A0"/>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A811EA"/>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93443B"/>
    <w:multiLevelType w:val="hybridMultilevel"/>
    <w:tmpl w:val="0792D05C"/>
    <w:lvl w:ilvl="0" w:tplc="5D02AAC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2" w15:restartNumberingAfterBreak="0">
    <w:nsid w:val="509D6698"/>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0F6481"/>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CF025F"/>
    <w:multiLevelType w:val="multilevel"/>
    <w:tmpl w:val="50A0871A"/>
    <w:lvl w:ilvl="0">
      <w:start w:val="4"/>
      <w:numFmt w:val="decimal"/>
      <w:lvlText w:val="%1"/>
      <w:lvlJc w:val="left"/>
      <w:pPr>
        <w:ind w:left="360" w:hanging="360"/>
      </w:p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lvl>
    <w:lvl w:ilvl="3">
      <w:start w:val="1"/>
      <w:numFmt w:val="decimal"/>
      <w:lvlText w:val="%1.%2.%3.%4"/>
      <w:lvlJc w:val="left"/>
      <w:pPr>
        <w:ind w:left="3912" w:hanging="720"/>
      </w:pPr>
    </w:lvl>
    <w:lvl w:ilvl="4">
      <w:start w:val="1"/>
      <w:numFmt w:val="decimal"/>
      <w:lvlText w:val="%1.%2.%3.%4.%5"/>
      <w:lvlJc w:val="left"/>
      <w:pPr>
        <w:ind w:left="5336" w:hanging="1080"/>
      </w:pPr>
    </w:lvl>
    <w:lvl w:ilvl="5">
      <w:start w:val="1"/>
      <w:numFmt w:val="decimal"/>
      <w:lvlText w:val="%1.%2.%3.%4.%5.%6"/>
      <w:lvlJc w:val="left"/>
      <w:pPr>
        <w:ind w:left="6400" w:hanging="1080"/>
      </w:pPr>
    </w:lvl>
    <w:lvl w:ilvl="6">
      <w:start w:val="1"/>
      <w:numFmt w:val="decimal"/>
      <w:lvlText w:val="%1.%2.%3.%4.%5.%6.%7"/>
      <w:lvlJc w:val="left"/>
      <w:pPr>
        <w:ind w:left="7824" w:hanging="1440"/>
      </w:pPr>
    </w:lvl>
    <w:lvl w:ilvl="7">
      <w:start w:val="1"/>
      <w:numFmt w:val="decimal"/>
      <w:lvlText w:val="%1.%2.%3.%4.%5.%6.%7.%8"/>
      <w:lvlJc w:val="left"/>
      <w:pPr>
        <w:ind w:left="8888" w:hanging="1440"/>
      </w:pPr>
    </w:lvl>
    <w:lvl w:ilvl="8">
      <w:start w:val="1"/>
      <w:numFmt w:val="decimal"/>
      <w:lvlText w:val="%1.%2.%3.%4.%5.%6.%7.%8.%9"/>
      <w:lvlJc w:val="left"/>
      <w:pPr>
        <w:ind w:left="10312" w:hanging="1800"/>
      </w:pPr>
    </w:lvl>
  </w:abstractNum>
  <w:abstractNum w:abstractNumId="25" w15:restartNumberingAfterBreak="0">
    <w:nsid w:val="53DC66DE"/>
    <w:multiLevelType w:val="hybridMultilevel"/>
    <w:tmpl w:val="2F843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596483"/>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EE6A8A"/>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71E58"/>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F370539"/>
    <w:multiLevelType w:val="hybridMultilevel"/>
    <w:tmpl w:val="BE7AFDE8"/>
    <w:lvl w:ilvl="0" w:tplc="0C090011">
      <w:start w:val="1"/>
      <w:numFmt w:val="decimal"/>
      <w:lvlText w:val="%1)"/>
      <w:lvlJc w:val="left"/>
      <w:pPr>
        <w:ind w:left="738" w:hanging="360"/>
      </w:pPr>
    </w:lvl>
    <w:lvl w:ilvl="1" w:tplc="0C090019" w:tentative="1">
      <w:start w:val="1"/>
      <w:numFmt w:val="lowerLetter"/>
      <w:lvlText w:val="%2."/>
      <w:lvlJc w:val="left"/>
      <w:pPr>
        <w:ind w:left="1458" w:hanging="360"/>
      </w:pPr>
    </w:lvl>
    <w:lvl w:ilvl="2" w:tplc="0C09001B" w:tentative="1">
      <w:start w:val="1"/>
      <w:numFmt w:val="lowerRoman"/>
      <w:lvlText w:val="%3."/>
      <w:lvlJc w:val="right"/>
      <w:pPr>
        <w:ind w:left="2178" w:hanging="180"/>
      </w:pPr>
    </w:lvl>
    <w:lvl w:ilvl="3" w:tplc="0C09000F" w:tentative="1">
      <w:start w:val="1"/>
      <w:numFmt w:val="decimal"/>
      <w:lvlText w:val="%4."/>
      <w:lvlJc w:val="left"/>
      <w:pPr>
        <w:ind w:left="2898" w:hanging="360"/>
      </w:pPr>
    </w:lvl>
    <w:lvl w:ilvl="4" w:tplc="0C090019" w:tentative="1">
      <w:start w:val="1"/>
      <w:numFmt w:val="lowerLetter"/>
      <w:lvlText w:val="%5."/>
      <w:lvlJc w:val="left"/>
      <w:pPr>
        <w:ind w:left="3618" w:hanging="360"/>
      </w:pPr>
    </w:lvl>
    <w:lvl w:ilvl="5" w:tplc="0C09001B" w:tentative="1">
      <w:start w:val="1"/>
      <w:numFmt w:val="lowerRoman"/>
      <w:lvlText w:val="%6."/>
      <w:lvlJc w:val="right"/>
      <w:pPr>
        <w:ind w:left="4338" w:hanging="180"/>
      </w:pPr>
    </w:lvl>
    <w:lvl w:ilvl="6" w:tplc="0C09000F" w:tentative="1">
      <w:start w:val="1"/>
      <w:numFmt w:val="decimal"/>
      <w:lvlText w:val="%7."/>
      <w:lvlJc w:val="left"/>
      <w:pPr>
        <w:ind w:left="5058" w:hanging="360"/>
      </w:pPr>
    </w:lvl>
    <w:lvl w:ilvl="7" w:tplc="0C090019" w:tentative="1">
      <w:start w:val="1"/>
      <w:numFmt w:val="lowerLetter"/>
      <w:lvlText w:val="%8."/>
      <w:lvlJc w:val="left"/>
      <w:pPr>
        <w:ind w:left="5778" w:hanging="360"/>
      </w:pPr>
    </w:lvl>
    <w:lvl w:ilvl="8" w:tplc="0C09001B" w:tentative="1">
      <w:start w:val="1"/>
      <w:numFmt w:val="lowerRoman"/>
      <w:lvlText w:val="%9."/>
      <w:lvlJc w:val="right"/>
      <w:pPr>
        <w:ind w:left="6498" w:hanging="180"/>
      </w:pPr>
    </w:lvl>
  </w:abstractNum>
  <w:abstractNum w:abstractNumId="3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B56BA"/>
    <w:multiLevelType w:val="hybridMultilevel"/>
    <w:tmpl w:val="CC767404"/>
    <w:lvl w:ilvl="0" w:tplc="BE427DA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3" w15:restartNumberingAfterBreak="0">
    <w:nsid w:val="645608F8"/>
    <w:multiLevelType w:val="hybridMultilevel"/>
    <w:tmpl w:val="BE7AFDE8"/>
    <w:lvl w:ilvl="0" w:tplc="0C090011">
      <w:start w:val="1"/>
      <w:numFmt w:val="decimal"/>
      <w:lvlText w:val="%1)"/>
      <w:lvlJc w:val="left"/>
      <w:pPr>
        <w:ind w:left="738" w:hanging="360"/>
      </w:pPr>
    </w:lvl>
    <w:lvl w:ilvl="1" w:tplc="0C090019" w:tentative="1">
      <w:start w:val="1"/>
      <w:numFmt w:val="lowerLetter"/>
      <w:lvlText w:val="%2."/>
      <w:lvlJc w:val="left"/>
      <w:pPr>
        <w:ind w:left="1458" w:hanging="360"/>
      </w:pPr>
    </w:lvl>
    <w:lvl w:ilvl="2" w:tplc="0C09001B" w:tentative="1">
      <w:start w:val="1"/>
      <w:numFmt w:val="lowerRoman"/>
      <w:lvlText w:val="%3."/>
      <w:lvlJc w:val="right"/>
      <w:pPr>
        <w:ind w:left="2178" w:hanging="180"/>
      </w:pPr>
    </w:lvl>
    <w:lvl w:ilvl="3" w:tplc="0C09000F" w:tentative="1">
      <w:start w:val="1"/>
      <w:numFmt w:val="decimal"/>
      <w:lvlText w:val="%4."/>
      <w:lvlJc w:val="left"/>
      <w:pPr>
        <w:ind w:left="2898" w:hanging="360"/>
      </w:pPr>
    </w:lvl>
    <w:lvl w:ilvl="4" w:tplc="0C090019" w:tentative="1">
      <w:start w:val="1"/>
      <w:numFmt w:val="lowerLetter"/>
      <w:lvlText w:val="%5."/>
      <w:lvlJc w:val="left"/>
      <w:pPr>
        <w:ind w:left="3618" w:hanging="360"/>
      </w:pPr>
    </w:lvl>
    <w:lvl w:ilvl="5" w:tplc="0C09001B" w:tentative="1">
      <w:start w:val="1"/>
      <w:numFmt w:val="lowerRoman"/>
      <w:lvlText w:val="%6."/>
      <w:lvlJc w:val="right"/>
      <w:pPr>
        <w:ind w:left="4338" w:hanging="180"/>
      </w:pPr>
    </w:lvl>
    <w:lvl w:ilvl="6" w:tplc="0C09000F" w:tentative="1">
      <w:start w:val="1"/>
      <w:numFmt w:val="decimal"/>
      <w:lvlText w:val="%7."/>
      <w:lvlJc w:val="left"/>
      <w:pPr>
        <w:ind w:left="5058" w:hanging="360"/>
      </w:pPr>
    </w:lvl>
    <w:lvl w:ilvl="7" w:tplc="0C090019" w:tentative="1">
      <w:start w:val="1"/>
      <w:numFmt w:val="lowerLetter"/>
      <w:lvlText w:val="%8."/>
      <w:lvlJc w:val="left"/>
      <w:pPr>
        <w:ind w:left="5778" w:hanging="360"/>
      </w:pPr>
    </w:lvl>
    <w:lvl w:ilvl="8" w:tplc="0C09001B" w:tentative="1">
      <w:start w:val="1"/>
      <w:numFmt w:val="lowerRoman"/>
      <w:lvlText w:val="%9."/>
      <w:lvlJc w:val="right"/>
      <w:pPr>
        <w:ind w:left="6498" w:hanging="180"/>
      </w:pPr>
    </w:lvl>
  </w:abstractNum>
  <w:abstractNum w:abstractNumId="34" w15:restartNumberingAfterBreak="0">
    <w:nsid w:val="6C0601C9"/>
    <w:multiLevelType w:val="hybridMultilevel"/>
    <w:tmpl w:val="4CD8530C"/>
    <w:lvl w:ilvl="0" w:tplc="48C40B5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AE211A5"/>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8" w15:restartNumberingAfterBreak="0">
    <w:nsid w:val="7C31408E"/>
    <w:multiLevelType w:val="hybridMultilevel"/>
    <w:tmpl w:val="A0E2A26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7E8A37F4"/>
    <w:multiLevelType w:val="hybridMultilevel"/>
    <w:tmpl w:val="281AF05A"/>
    <w:lvl w:ilvl="0" w:tplc="3E548FDA">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0" w15:restartNumberingAfterBreak="0">
    <w:nsid w:val="7FE262F7"/>
    <w:multiLevelType w:val="hybridMultilevel"/>
    <w:tmpl w:val="B04E157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37"/>
  </w:num>
  <w:num w:numId="3">
    <w:abstractNumId w:val="30"/>
  </w:num>
  <w:num w:numId="4">
    <w:abstractNumId w:val="21"/>
  </w:num>
  <w:num w:numId="5">
    <w:abstractNumId w:val="25"/>
  </w:num>
  <w:num w:numId="6">
    <w:abstractNumId w:val="34"/>
  </w:num>
  <w:num w:numId="7">
    <w:abstractNumId w:val="17"/>
  </w:num>
  <w:num w:numId="8">
    <w:abstractNumId w:val="20"/>
  </w:num>
  <w:num w:numId="9">
    <w:abstractNumId w:val="0"/>
  </w:num>
  <w:num w:numId="10">
    <w:abstractNumId w:val="29"/>
  </w:num>
  <w:num w:numId="11">
    <w:abstractNumId w:val="3"/>
  </w:num>
  <w:num w:numId="12">
    <w:abstractNumId w:val="11"/>
  </w:num>
  <w:num w:numId="13">
    <w:abstractNumId w:val="12"/>
  </w:num>
  <w:num w:numId="14">
    <w:abstractNumId w:val="8"/>
  </w:num>
  <w:num w:numId="15">
    <w:abstractNumId w:val="5"/>
  </w:num>
  <w:num w:numId="16">
    <w:abstractNumId w:val="35"/>
  </w:num>
  <w:num w:numId="17">
    <w:abstractNumId w:val="14"/>
  </w:num>
  <w:num w:numId="18">
    <w:abstractNumId w:val="33"/>
  </w:num>
  <w:num w:numId="19">
    <w:abstractNumId w:val="18"/>
  </w:num>
  <w:num w:numId="20">
    <w:abstractNumId w:val="16"/>
  </w:num>
  <w:num w:numId="21">
    <w:abstractNumId w:val="22"/>
  </w:num>
  <w:num w:numId="22">
    <w:abstractNumId w:val="40"/>
  </w:num>
  <w:num w:numId="23">
    <w:abstractNumId w:val="6"/>
  </w:num>
  <w:num w:numId="24">
    <w:abstractNumId w:val="2"/>
  </w:num>
  <w:num w:numId="25">
    <w:abstractNumId w:val="26"/>
  </w:num>
  <w:num w:numId="26">
    <w:abstractNumId w:val="27"/>
  </w:num>
  <w:num w:numId="27">
    <w:abstractNumId w:val="23"/>
  </w:num>
  <w:num w:numId="28">
    <w:abstractNumId w:val="10"/>
  </w:num>
  <w:num w:numId="29">
    <w:abstractNumId w:val="4"/>
  </w:num>
  <w:num w:numId="30">
    <w:abstractNumId w:val="39"/>
  </w:num>
  <w:num w:numId="31">
    <w:abstractNumId w:val="19"/>
  </w:num>
  <w:num w:numId="32">
    <w:abstractNumId w:val="28"/>
  </w:num>
  <w:num w:numId="33">
    <w:abstractNumId w:val="1"/>
  </w:num>
  <w:num w:numId="34">
    <w:abstractNumId w:val="32"/>
  </w:num>
  <w:num w:numId="3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9"/>
  </w:num>
  <w:num w:numId="38">
    <w:abstractNumId w:val="13"/>
  </w:num>
  <w:num w:numId="39">
    <w:abstractNumId w:val="15"/>
  </w:num>
  <w:num w:numId="40">
    <w:abstractNumId w:val="36"/>
  </w:num>
  <w:num w:numId="4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70"/>
    <w:rsid w:val="000100A7"/>
    <w:rsid w:val="0001762C"/>
    <w:rsid w:val="000202A8"/>
    <w:rsid w:val="0002085F"/>
    <w:rsid w:val="000249AC"/>
    <w:rsid w:val="00030270"/>
    <w:rsid w:val="00032FA1"/>
    <w:rsid w:val="00050E42"/>
    <w:rsid w:val="0005659C"/>
    <w:rsid w:val="00063D6D"/>
    <w:rsid w:val="00064C75"/>
    <w:rsid w:val="00066B0B"/>
    <w:rsid w:val="00070E37"/>
    <w:rsid w:val="000835E8"/>
    <w:rsid w:val="0009376E"/>
    <w:rsid w:val="000B0640"/>
    <w:rsid w:val="000C1F3D"/>
    <w:rsid w:val="000C5912"/>
    <w:rsid w:val="000C7E56"/>
    <w:rsid w:val="000D34A3"/>
    <w:rsid w:val="000D35A2"/>
    <w:rsid w:val="000D54A0"/>
    <w:rsid w:val="000E332A"/>
    <w:rsid w:val="000E655C"/>
    <w:rsid w:val="000F0B45"/>
    <w:rsid w:val="000F2CEA"/>
    <w:rsid w:val="001009BB"/>
    <w:rsid w:val="00104BC5"/>
    <w:rsid w:val="00110167"/>
    <w:rsid w:val="001169F7"/>
    <w:rsid w:val="00116F04"/>
    <w:rsid w:val="00121D2F"/>
    <w:rsid w:val="00123302"/>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1777F"/>
    <w:rsid w:val="002219DF"/>
    <w:rsid w:val="00221E0D"/>
    <w:rsid w:val="00222B67"/>
    <w:rsid w:val="00227163"/>
    <w:rsid w:val="002360B0"/>
    <w:rsid w:val="00251266"/>
    <w:rsid w:val="00251FEE"/>
    <w:rsid w:val="00256C71"/>
    <w:rsid w:val="00262F8F"/>
    <w:rsid w:val="0026731F"/>
    <w:rsid w:val="00275F32"/>
    <w:rsid w:val="00293061"/>
    <w:rsid w:val="0029410F"/>
    <w:rsid w:val="00295727"/>
    <w:rsid w:val="002977EE"/>
    <w:rsid w:val="002A0492"/>
    <w:rsid w:val="002A4530"/>
    <w:rsid w:val="002A7F4B"/>
    <w:rsid w:val="002B0011"/>
    <w:rsid w:val="002B1AEF"/>
    <w:rsid w:val="002B5584"/>
    <w:rsid w:val="002C219B"/>
    <w:rsid w:val="002C2E97"/>
    <w:rsid w:val="002C751E"/>
    <w:rsid w:val="002D3EE3"/>
    <w:rsid w:val="002D4754"/>
    <w:rsid w:val="002D7735"/>
    <w:rsid w:val="00300268"/>
    <w:rsid w:val="00304833"/>
    <w:rsid w:val="00314651"/>
    <w:rsid w:val="00322D71"/>
    <w:rsid w:val="00333321"/>
    <w:rsid w:val="0034074D"/>
    <w:rsid w:val="0035604B"/>
    <w:rsid w:val="00362C85"/>
    <w:rsid w:val="0037145E"/>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F5F"/>
    <w:rsid w:val="003E3565"/>
    <w:rsid w:val="004120A4"/>
    <w:rsid w:val="0041701B"/>
    <w:rsid w:val="00421804"/>
    <w:rsid w:val="0043387B"/>
    <w:rsid w:val="00435ECE"/>
    <w:rsid w:val="00436380"/>
    <w:rsid w:val="00441E8D"/>
    <w:rsid w:val="004436B7"/>
    <w:rsid w:val="004530F1"/>
    <w:rsid w:val="004535E8"/>
    <w:rsid w:val="00473263"/>
    <w:rsid w:val="00475212"/>
    <w:rsid w:val="004872C1"/>
    <w:rsid w:val="00487DCB"/>
    <w:rsid w:val="00493E5C"/>
    <w:rsid w:val="004A2BF4"/>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622AC"/>
    <w:rsid w:val="00593FE8"/>
    <w:rsid w:val="005956F0"/>
    <w:rsid w:val="00597F2F"/>
    <w:rsid w:val="005A1052"/>
    <w:rsid w:val="005A3A1B"/>
    <w:rsid w:val="005A69A9"/>
    <w:rsid w:val="005B4E55"/>
    <w:rsid w:val="005B69B3"/>
    <w:rsid w:val="005C6C9D"/>
    <w:rsid w:val="005D24AC"/>
    <w:rsid w:val="005E7D95"/>
    <w:rsid w:val="005F4618"/>
    <w:rsid w:val="00602B9D"/>
    <w:rsid w:val="00612978"/>
    <w:rsid w:val="00615806"/>
    <w:rsid w:val="0062440F"/>
    <w:rsid w:val="00635E4E"/>
    <w:rsid w:val="006419CA"/>
    <w:rsid w:val="00645DC8"/>
    <w:rsid w:val="006671B7"/>
    <w:rsid w:val="00670706"/>
    <w:rsid w:val="00671C1C"/>
    <w:rsid w:val="00682532"/>
    <w:rsid w:val="00682F0B"/>
    <w:rsid w:val="00683755"/>
    <w:rsid w:val="00685927"/>
    <w:rsid w:val="00694D0A"/>
    <w:rsid w:val="006974D4"/>
    <w:rsid w:val="006A510F"/>
    <w:rsid w:val="006A7F0C"/>
    <w:rsid w:val="006B561D"/>
    <w:rsid w:val="006B5B96"/>
    <w:rsid w:val="006D00AD"/>
    <w:rsid w:val="006D3455"/>
    <w:rsid w:val="006E0C7D"/>
    <w:rsid w:val="006E6060"/>
    <w:rsid w:val="00703D70"/>
    <w:rsid w:val="0071453C"/>
    <w:rsid w:val="00724B20"/>
    <w:rsid w:val="00731EA9"/>
    <w:rsid w:val="00732C68"/>
    <w:rsid w:val="00732FC9"/>
    <w:rsid w:val="00737523"/>
    <w:rsid w:val="0075022D"/>
    <w:rsid w:val="00761163"/>
    <w:rsid w:val="0076638C"/>
    <w:rsid w:val="00777F88"/>
    <w:rsid w:val="007850FA"/>
    <w:rsid w:val="0079069D"/>
    <w:rsid w:val="007A120B"/>
    <w:rsid w:val="007A37F9"/>
    <w:rsid w:val="007A4399"/>
    <w:rsid w:val="007B4546"/>
    <w:rsid w:val="007C3E7B"/>
    <w:rsid w:val="007E5D21"/>
    <w:rsid w:val="007F1191"/>
    <w:rsid w:val="007F462A"/>
    <w:rsid w:val="0080019C"/>
    <w:rsid w:val="008008DD"/>
    <w:rsid w:val="00802077"/>
    <w:rsid w:val="00822107"/>
    <w:rsid w:val="008226D4"/>
    <w:rsid w:val="008250FE"/>
    <w:rsid w:val="00831BDE"/>
    <w:rsid w:val="008412C1"/>
    <w:rsid w:val="00845E75"/>
    <w:rsid w:val="00854962"/>
    <w:rsid w:val="00864D13"/>
    <w:rsid w:val="00867EF2"/>
    <w:rsid w:val="0087395E"/>
    <w:rsid w:val="00891067"/>
    <w:rsid w:val="008A405A"/>
    <w:rsid w:val="008E4F1E"/>
    <w:rsid w:val="00901E82"/>
    <w:rsid w:val="00902C46"/>
    <w:rsid w:val="0090520A"/>
    <w:rsid w:val="00914649"/>
    <w:rsid w:val="00920880"/>
    <w:rsid w:val="00920FFF"/>
    <w:rsid w:val="00921240"/>
    <w:rsid w:val="0093079E"/>
    <w:rsid w:val="00934A23"/>
    <w:rsid w:val="00947809"/>
    <w:rsid w:val="009562D8"/>
    <w:rsid w:val="00962B7D"/>
    <w:rsid w:val="00964B4D"/>
    <w:rsid w:val="009750C8"/>
    <w:rsid w:val="00977C9F"/>
    <w:rsid w:val="00985AEE"/>
    <w:rsid w:val="009A6661"/>
    <w:rsid w:val="009B2C75"/>
    <w:rsid w:val="009B6FFD"/>
    <w:rsid w:val="009C6388"/>
    <w:rsid w:val="009D152A"/>
    <w:rsid w:val="009D1E2E"/>
    <w:rsid w:val="009D586E"/>
    <w:rsid w:val="009E2997"/>
    <w:rsid w:val="009F15D7"/>
    <w:rsid w:val="009F7976"/>
    <w:rsid w:val="00A00225"/>
    <w:rsid w:val="00A0211B"/>
    <w:rsid w:val="00A25F99"/>
    <w:rsid w:val="00A2611B"/>
    <w:rsid w:val="00A33023"/>
    <w:rsid w:val="00A37EF6"/>
    <w:rsid w:val="00A424A1"/>
    <w:rsid w:val="00A44FFB"/>
    <w:rsid w:val="00A504E5"/>
    <w:rsid w:val="00A50E6A"/>
    <w:rsid w:val="00A55207"/>
    <w:rsid w:val="00A61F2B"/>
    <w:rsid w:val="00A631C3"/>
    <w:rsid w:val="00A747D0"/>
    <w:rsid w:val="00A74915"/>
    <w:rsid w:val="00A756C0"/>
    <w:rsid w:val="00A773E8"/>
    <w:rsid w:val="00A92C4D"/>
    <w:rsid w:val="00A93B37"/>
    <w:rsid w:val="00A97608"/>
    <w:rsid w:val="00AC20EB"/>
    <w:rsid w:val="00AD71CC"/>
    <w:rsid w:val="00AF46B8"/>
    <w:rsid w:val="00AF6919"/>
    <w:rsid w:val="00B01DE4"/>
    <w:rsid w:val="00B07083"/>
    <w:rsid w:val="00B13C12"/>
    <w:rsid w:val="00B152A8"/>
    <w:rsid w:val="00B15AEC"/>
    <w:rsid w:val="00B21E57"/>
    <w:rsid w:val="00B22E26"/>
    <w:rsid w:val="00B26ECF"/>
    <w:rsid w:val="00B32C36"/>
    <w:rsid w:val="00B33677"/>
    <w:rsid w:val="00B33FB3"/>
    <w:rsid w:val="00B40542"/>
    <w:rsid w:val="00B4443A"/>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103E"/>
    <w:rsid w:val="00C25241"/>
    <w:rsid w:val="00C310DA"/>
    <w:rsid w:val="00C41352"/>
    <w:rsid w:val="00C53FED"/>
    <w:rsid w:val="00C62FCE"/>
    <w:rsid w:val="00C64152"/>
    <w:rsid w:val="00C77C39"/>
    <w:rsid w:val="00C83D8C"/>
    <w:rsid w:val="00C84A5A"/>
    <w:rsid w:val="00C9018A"/>
    <w:rsid w:val="00C965BF"/>
    <w:rsid w:val="00C971BF"/>
    <w:rsid w:val="00CB0790"/>
    <w:rsid w:val="00CC5D38"/>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668B2"/>
    <w:rsid w:val="00D730EB"/>
    <w:rsid w:val="00D73B65"/>
    <w:rsid w:val="00D75219"/>
    <w:rsid w:val="00D817E6"/>
    <w:rsid w:val="00D83C2C"/>
    <w:rsid w:val="00DA08BE"/>
    <w:rsid w:val="00DA30CF"/>
    <w:rsid w:val="00DA6921"/>
    <w:rsid w:val="00DB2FB8"/>
    <w:rsid w:val="00DB5A8F"/>
    <w:rsid w:val="00DB6A8B"/>
    <w:rsid w:val="00DC2219"/>
    <w:rsid w:val="00DC3F27"/>
    <w:rsid w:val="00DC7AC3"/>
    <w:rsid w:val="00DD670D"/>
    <w:rsid w:val="00DE347D"/>
    <w:rsid w:val="00DF632D"/>
    <w:rsid w:val="00E14F28"/>
    <w:rsid w:val="00E21999"/>
    <w:rsid w:val="00E222C6"/>
    <w:rsid w:val="00E27CBD"/>
    <w:rsid w:val="00E4308C"/>
    <w:rsid w:val="00E47B5A"/>
    <w:rsid w:val="00E50B26"/>
    <w:rsid w:val="00E519D3"/>
    <w:rsid w:val="00E525DE"/>
    <w:rsid w:val="00E57D4E"/>
    <w:rsid w:val="00E60854"/>
    <w:rsid w:val="00E65620"/>
    <w:rsid w:val="00E663DF"/>
    <w:rsid w:val="00E92649"/>
    <w:rsid w:val="00E95550"/>
    <w:rsid w:val="00EA2CCE"/>
    <w:rsid w:val="00EC2419"/>
    <w:rsid w:val="00ED024C"/>
    <w:rsid w:val="00ED16E0"/>
    <w:rsid w:val="00ED326B"/>
    <w:rsid w:val="00ED3955"/>
    <w:rsid w:val="00EE119B"/>
    <w:rsid w:val="00EE248B"/>
    <w:rsid w:val="00EE2A33"/>
    <w:rsid w:val="00EE5D8C"/>
    <w:rsid w:val="00EE7338"/>
    <w:rsid w:val="00EE755E"/>
    <w:rsid w:val="00EF509F"/>
    <w:rsid w:val="00EF586F"/>
    <w:rsid w:val="00EF5EE0"/>
    <w:rsid w:val="00EF6684"/>
    <w:rsid w:val="00F011AF"/>
    <w:rsid w:val="00F06F7A"/>
    <w:rsid w:val="00F12687"/>
    <w:rsid w:val="00F2577E"/>
    <w:rsid w:val="00F513CA"/>
    <w:rsid w:val="00F55C07"/>
    <w:rsid w:val="00F577DC"/>
    <w:rsid w:val="00F80EF5"/>
    <w:rsid w:val="00F8336F"/>
    <w:rsid w:val="00F85D9B"/>
    <w:rsid w:val="00F94AB3"/>
    <w:rsid w:val="00FB0EA1"/>
    <w:rsid w:val="00FB5F67"/>
    <w:rsid w:val="00FB68BE"/>
    <w:rsid w:val="00FC6042"/>
    <w:rsid w:val="00FC7743"/>
    <w:rsid w:val="00FC7B18"/>
    <w:rsid w:val="00FD196A"/>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5777C5A0-5F92-4B9F-B1DA-58E47227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8B2"/>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table" w:styleId="TableGrid">
    <w:name w:val="Table Grid"/>
    <w:basedOn w:val="TableNormal"/>
    <w:uiPriority w:val="59"/>
    <w:rsid w:val="002219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219DF"/>
    <w:pPr>
      <w:widowControl w:val="0"/>
      <w:autoSpaceDE w:val="0"/>
      <w:autoSpaceDN w:val="0"/>
      <w:spacing w:before="57" w:after="0" w:line="240" w:lineRule="auto"/>
      <w:jc w:val="right"/>
    </w:pPr>
    <w:rPr>
      <w:rFonts w:eastAsia="Times New Roman"/>
      <w:sz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abcb.gov.au" TargetMode="External"/><Relationship Id="rId26" Type="http://schemas.openxmlformats.org/officeDocument/2006/relationships/hyperlink" Target="http://www.legislation.sa.gov.au/index.aspx?action=legref&amp;type=subordleg&amp;legtitle=Motor%20Vehicles%20Regulations%202010" TargetMode="External"/><Relationship Id="rId3" Type="http://schemas.openxmlformats.org/officeDocument/2006/relationships/styles" Target="styles.xml"/><Relationship Id="rId21"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file:///G:\GAZETTE\GAZETTE%20NOTICES\3.%20STATE%20GOVERNMENT%20INSTRUMENTS%202020\4%20June%202020\Source\002_DOCS_AND_FILES-%2315500410-v1-HK-HT-HG_Owners_Car_Club_of_South_Australia_Incorporated_-_Gazette_Notice.DOC"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em.miningregrehab@sa.gov.au" TargetMode="External"/><Relationship Id="rId29" Type="http://schemas.openxmlformats.org/officeDocument/2006/relationships/hyperlink" Target="http://www.sa.gov.au/roadsactpropos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G:\GAZETTE\GAZETTE%20NOTICES\3.%20STATE%20GOVERNMENT%20INSTRUMENTS%202020\4%20June%202020\Source\002_DOCS_AND_FILES-%2315500410-v1-HK-HT-HG_Owners_Car_Club_of_South_Australia_Incorporated_-_Gazette_Notice.DOC" TargetMode="External"/><Relationship Id="rId32"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G:\GAZETTE\GAZETTE%20NOTICES\3.%20STATE%20GOVERNMENT%20INSTRUMENTS%202020\4%20June%202020\Source\002_DOCS_AND_FILES-%2315500410-v1-HK-HT-HG_Owners_Car_Club_of_South_Australia_Incorporated_-_Gazette_Notice.DOC" TargetMode="External"/><Relationship Id="rId28" Type="http://schemas.openxmlformats.org/officeDocument/2006/relationships/hyperlink" Target="http://www.sa.gov.au/roadsactproposals"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energymining.sa.gov.au/minerals/mining/public_notices_mining"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Motor%20Vehicles%20Act%201959" TargetMode="External"/><Relationship Id="rId27" Type="http://schemas.openxmlformats.org/officeDocument/2006/relationships/hyperlink" Target="http://www.dpti.sa.gov.au/OutbackRoads/outback_road_conditions/special_notices" TargetMode="External"/><Relationship Id="rId30" Type="http://schemas.openxmlformats.org/officeDocument/2006/relationships/hyperlink" Target="mailto:governmentgazettesa@sa.gov.au"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6DDC-A209-4101-ABE9-1F226FBA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14544</Words>
  <Characters>82904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No. 46 - Thursday, 4 June 2020 (pp. 2795–2824)</vt:lpstr>
    </vt:vector>
  </TitlesOfParts>
  <Company>SA Government</Company>
  <LinksUpToDate>false</LinksUpToDate>
  <CharactersWithSpaces>97254</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46 - Thursday, 4 June 2020 (pp. 2795–2824)</dc:title>
  <dc:subject/>
  <dc:creator>Elyse Ellgar</dc:creator>
  <cp:keywords/>
  <cp:lastModifiedBy>Elyse Ellgar</cp:lastModifiedBy>
  <cp:revision>2</cp:revision>
  <cp:lastPrinted>2020-06-04T00:10:00Z</cp:lastPrinted>
  <dcterms:created xsi:type="dcterms:W3CDTF">2020-06-04T01:04:00Z</dcterms:created>
  <dcterms:modified xsi:type="dcterms:W3CDTF">2020-06-04T01:04:00Z</dcterms:modified>
</cp:coreProperties>
</file>