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827BA8" w:rsidP="00DA30CF">
      <w:pPr>
        <w:tabs>
          <w:tab w:val="right" w:pos="9360"/>
        </w:tabs>
        <w:spacing w:after="0" w:line="210" w:lineRule="exact"/>
        <w:rPr>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177.35pt;margin-top:11.25pt;width:112.95pt;height:110.5pt;z-index:251657728;visibility:visible">
            <v:imagedata r:id="rId8" o:title=""/>
            <w10:wrap type="topAndBottom"/>
          </v:shape>
        </w:pict>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bookmarkStart w:id="0" w:name="_GoBack"/>
      <w:r w:rsidRPr="00612978">
        <w:rPr>
          <w:b/>
          <w:color w:val="000000"/>
          <w:sz w:val="60"/>
        </w:rPr>
        <w:t>GOVERNMENT GAZETTE</w:t>
      </w:r>
    </w:p>
    <w:bookmarkEnd w:id="0"/>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FC55A4">
        <w:rPr>
          <w:smallCaps/>
          <w:color w:val="000000"/>
          <w:sz w:val="28"/>
          <w:szCs w:val="26"/>
        </w:rPr>
        <w:t xml:space="preserve">21 May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FC55A4">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2449"/>
          <w:cols w:space="708"/>
          <w:titlePg/>
          <w:docGrid w:linePitch="360"/>
        </w:sectPr>
      </w:pPr>
    </w:p>
    <w:p w:rsidR="00C96140" w:rsidRPr="00C96140" w:rsidRDefault="00C96140" w:rsidP="00C96140">
      <w:pPr>
        <w:pStyle w:val="TOC1"/>
        <w:tabs>
          <w:tab w:val="right" w:leader="dot" w:pos="4550"/>
        </w:tabs>
        <w:rPr>
          <w:rFonts w:ascii="Calibri" w:hAnsi="Calibri"/>
          <w:noProof/>
          <w:color w:val="auto"/>
          <w:sz w:val="22"/>
          <w:szCs w:val="22"/>
        </w:rPr>
      </w:pPr>
      <w:r>
        <w:rPr>
          <w:b/>
          <w:bCs/>
          <w:noProof/>
        </w:rPr>
        <w:fldChar w:fldCharType="begin"/>
      </w:r>
      <w:r>
        <w:rPr>
          <w:b/>
          <w:bCs/>
          <w:noProof/>
        </w:rPr>
        <w:instrText xml:space="preserve"> TOC \o "1-3" \h \z \u </w:instrText>
      </w:r>
      <w:r>
        <w:rPr>
          <w:b/>
          <w:bCs/>
          <w:noProof/>
        </w:rPr>
        <w:fldChar w:fldCharType="separate"/>
      </w:r>
      <w:hyperlink w:anchor="_Toc40954852" w:history="1">
        <w:r w:rsidRPr="00540E2C">
          <w:rPr>
            <w:b/>
            <w:smallCaps/>
            <w:color w:val="auto"/>
            <w:szCs w:val="20"/>
            <w:lang w:eastAsia="en-US"/>
          </w:rPr>
          <w:t>Governor’s Instruments</w:t>
        </w:r>
      </w:hyperlink>
    </w:p>
    <w:p w:rsidR="00C96140" w:rsidRPr="00C96140" w:rsidRDefault="00827BA8" w:rsidP="00C96140">
      <w:pPr>
        <w:pStyle w:val="TOC2"/>
        <w:tabs>
          <w:tab w:val="right" w:leader="dot" w:pos="4550"/>
        </w:tabs>
        <w:rPr>
          <w:rFonts w:ascii="Calibri" w:hAnsi="Calibri"/>
          <w:noProof/>
          <w:color w:val="auto"/>
          <w:sz w:val="22"/>
          <w:szCs w:val="22"/>
        </w:rPr>
      </w:pPr>
      <w:hyperlink w:anchor="_Toc40954853" w:history="1">
        <w:r w:rsidR="00C96140" w:rsidRPr="00833B15">
          <w:rPr>
            <w:rStyle w:val="Hyperlink"/>
            <w:noProof/>
          </w:rPr>
          <w:t>Appointments</w:t>
        </w:r>
        <w:r w:rsidR="00C96140">
          <w:rPr>
            <w:noProof/>
            <w:webHidden/>
          </w:rPr>
          <w:tab/>
        </w:r>
        <w:r w:rsidR="00C96140">
          <w:rPr>
            <w:noProof/>
            <w:webHidden/>
          </w:rPr>
          <w:fldChar w:fldCharType="begin"/>
        </w:r>
        <w:r w:rsidR="00C96140">
          <w:rPr>
            <w:noProof/>
            <w:webHidden/>
          </w:rPr>
          <w:instrText xml:space="preserve"> PAGEREF _Toc40954853 \h </w:instrText>
        </w:r>
        <w:r w:rsidR="00C96140">
          <w:rPr>
            <w:noProof/>
            <w:webHidden/>
          </w:rPr>
        </w:r>
        <w:r w:rsidR="00C96140">
          <w:rPr>
            <w:noProof/>
            <w:webHidden/>
          </w:rPr>
          <w:fldChar w:fldCharType="separate"/>
        </w:r>
        <w:r w:rsidR="00C96140">
          <w:rPr>
            <w:noProof/>
            <w:webHidden/>
          </w:rPr>
          <w:t>2450</w:t>
        </w:r>
        <w:r w:rsidR="00C96140">
          <w:rPr>
            <w:noProof/>
            <w:webHidden/>
          </w:rPr>
          <w:fldChar w:fldCharType="end"/>
        </w:r>
      </w:hyperlink>
    </w:p>
    <w:p w:rsidR="00C96140" w:rsidRPr="00077A89" w:rsidRDefault="00827BA8" w:rsidP="00C96140">
      <w:pPr>
        <w:pStyle w:val="TOC2"/>
        <w:tabs>
          <w:tab w:val="right" w:leader="dot" w:pos="4550"/>
        </w:tabs>
        <w:rPr>
          <w:noProof/>
          <w:color w:val="auto"/>
          <w:szCs w:val="17"/>
        </w:rPr>
      </w:pPr>
      <w:hyperlink w:anchor="_Toc40954854" w:history="1">
        <w:r w:rsidR="00C96140" w:rsidRPr="00833B15">
          <w:rPr>
            <w:rStyle w:val="Hyperlink"/>
            <w:noProof/>
          </w:rPr>
          <w:t>Proclamations</w:t>
        </w:r>
        <w:r w:rsidR="00540E2C">
          <w:rPr>
            <w:rStyle w:val="Hyperlink"/>
            <w:noProof/>
          </w:rPr>
          <w:t>—</w:t>
        </w:r>
      </w:hyperlink>
    </w:p>
    <w:p w:rsidR="00C96140" w:rsidRPr="00C96140" w:rsidRDefault="00827BA8" w:rsidP="00540E2C">
      <w:pPr>
        <w:pStyle w:val="TOC3"/>
        <w:tabs>
          <w:tab w:val="right" w:leader="dot" w:pos="4550"/>
        </w:tabs>
        <w:spacing w:before="0" w:after="0"/>
        <w:ind w:left="284" w:hanging="142"/>
        <w:rPr>
          <w:rFonts w:ascii="Calibri" w:hAnsi="Calibri"/>
          <w:noProof/>
          <w:color w:val="auto"/>
          <w:sz w:val="22"/>
        </w:rPr>
      </w:pPr>
      <w:hyperlink w:anchor="_Toc40954855" w:history="1">
        <w:r w:rsidR="00C96140" w:rsidRPr="00833B15">
          <w:rPr>
            <w:rStyle w:val="Hyperlink"/>
            <w:noProof/>
          </w:rPr>
          <w:t xml:space="preserve">Legal Practitioners (Foreign Lawyers and Other </w:t>
        </w:r>
        <w:r w:rsidR="00540E2C">
          <w:rPr>
            <w:rStyle w:val="Hyperlink"/>
            <w:noProof/>
          </w:rPr>
          <w:br/>
        </w:r>
        <w:r w:rsidR="00C96140" w:rsidRPr="00833B15">
          <w:rPr>
            <w:rStyle w:val="Hyperlink"/>
            <w:noProof/>
          </w:rPr>
          <w:t>Matters) Amendment Act (Commencement) Proclamation 2020</w:t>
        </w:r>
        <w:r w:rsidR="00C96140">
          <w:rPr>
            <w:noProof/>
            <w:webHidden/>
          </w:rPr>
          <w:tab/>
        </w:r>
        <w:r w:rsidR="00C96140">
          <w:rPr>
            <w:noProof/>
            <w:webHidden/>
          </w:rPr>
          <w:fldChar w:fldCharType="begin"/>
        </w:r>
        <w:r w:rsidR="00C96140">
          <w:rPr>
            <w:noProof/>
            <w:webHidden/>
          </w:rPr>
          <w:instrText xml:space="preserve"> PAGEREF _Toc40954855 \h </w:instrText>
        </w:r>
        <w:r w:rsidR="00C96140">
          <w:rPr>
            <w:noProof/>
            <w:webHidden/>
          </w:rPr>
        </w:r>
        <w:r w:rsidR="00C96140">
          <w:rPr>
            <w:noProof/>
            <w:webHidden/>
          </w:rPr>
          <w:fldChar w:fldCharType="separate"/>
        </w:r>
        <w:r w:rsidR="00C96140">
          <w:rPr>
            <w:noProof/>
            <w:webHidden/>
          </w:rPr>
          <w:t>2451</w:t>
        </w:r>
        <w:r w:rsidR="00C96140">
          <w:rPr>
            <w:noProof/>
            <w:webHidden/>
          </w:rPr>
          <w:fldChar w:fldCharType="end"/>
        </w:r>
      </w:hyperlink>
    </w:p>
    <w:p w:rsidR="00C96140" w:rsidRPr="00C96140" w:rsidRDefault="00827BA8" w:rsidP="00C96140">
      <w:pPr>
        <w:pStyle w:val="TOC2"/>
        <w:tabs>
          <w:tab w:val="right" w:leader="dot" w:pos="4550"/>
        </w:tabs>
        <w:rPr>
          <w:rFonts w:ascii="Calibri" w:hAnsi="Calibri"/>
          <w:noProof/>
          <w:color w:val="auto"/>
          <w:sz w:val="22"/>
          <w:szCs w:val="22"/>
        </w:rPr>
      </w:pPr>
      <w:hyperlink w:anchor="_Toc40954856" w:history="1">
        <w:r w:rsidR="00C96140" w:rsidRPr="00833B15">
          <w:rPr>
            <w:rStyle w:val="Hyperlink"/>
            <w:noProof/>
          </w:rPr>
          <w:t>Regulations</w:t>
        </w:r>
        <w:r w:rsidR="00540E2C">
          <w:rPr>
            <w:rStyle w:val="Hyperlink"/>
            <w:noProof/>
          </w:rPr>
          <w:t>—</w:t>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57" w:history="1">
        <w:r w:rsidR="00C96140" w:rsidRPr="00833B15">
          <w:rPr>
            <w:rStyle w:val="Hyperlink"/>
            <w:noProof/>
          </w:rPr>
          <w:t xml:space="preserve">Primary Produce (Food Safety Schemes) (Meat </w:t>
        </w:r>
        <w:r w:rsidR="00C96140">
          <w:rPr>
            <w:rStyle w:val="Hyperlink"/>
            <w:noProof/>
          </w:rPr>
          <w:br/>
        </w:r>
        <w:r w:rsidR="00C96140" w:rsidRPr="00833B15">
          <w:rPr>
            <w:rStyle w:val="Hyperlink"/>
            <w:noProof/>
          </w:rPr>
          <w:t xml:space="preserve">Food Safety Advisory Committee) Revocation </w:t>
        </w:r>
        <w:r w:rsidR="00C96140">
          <w:rPr>
            <w:rStyle w:val="Hyperlink"/>
            <w:noProof/>
          </w:rPr>
          <w:br/>
        </w:r>
        <w:r w:rsidR="00C96140" w:rsidRPr="00833B15">
          <w:rPr>
            <w:rStyle w:val="Hyperlink"/>
            <w:noProof/>
          </w:rPr>
          <w:t>Regulations 2020</w:t>
        </w:r>
        <w:r w:rsidR="00540E2C">
          <w:t>—No. 61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_Toc40954857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2452</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58" w:history="1">
        <w:r w:rsidR="00C96140" w:rsidRPr="00833B15">
          <w:rPr>
            <w:rStyle w:val="Hyperlink"/>
            <w:noProof/>
          </w:rPr>
          <w:t xml:space="preserve">COVID-19 Emergency Response (Section 14) </w:t>
        </w:r>
        <w:r w:rsidR="00C96140">
          <w:rPr>
            <w:rStyle w:val="Hyperlink"/>
            <w:noProof/>
          </w:rPr>
          <w:br/>
        </w:r>
        <w:r w:rsidR="00C96140" w:rsidRPr="00833B15">
          <w:rPr>
            <w:rStyle w:val="Hyperlink"/>
            <w:noProof/>
          </w:rPr>
          <w:t>Regulations 2020</w:t>
        </w:r>
        <w:r w:rsidR="00540E2C" w:rsidRPr="00540E2C">
          <w:rPr>
            <w:rStyle w:val="Hyperlink"/>
            <w:noProof/>
          </w:rPr>
          <w:t>—No. 6</w:t>
        </w:r>
        <w:r w:rsidR="00540E2C">
          <w:rPr>
            <w:rStyle w:val="Hyperlink"/>
            <w:noProof/>
          </w:rPr>
          <w:t>2</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_Toc40954858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2453</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59" w:history="1">
        <w:r w:rsidR="00C96140" w:rsidRPr="00833B15">
          <w:rPr>
            <w:rStyle w:val="Hyperlink"/>
            <w:noProof/>
          </w:rPr>
          <w:t xml:space="preserve">Southern State Superannuation (Inactive Low Balance </w:t>
        </w:r>
        <w:r w:rsidR="00C96140">
          <w:rPr>
            <w:rStyle w:val="Hyperlink"/>
            <w:noProof/>
          </w:rPr>
          <w:br/>
        </w:r>
        <w:r w:rsidR="00C96140" w:rsidRPr="00833B15">
          <w:rPr>
            <w:rStyle w:val="Hyperlink"/>
            <w:noProof/>
          </w:rPr>
          <w:t xml:space="preserve">and Lost Member Accounts) Variation </w:t>
        </w:r>
        <w:r w:rsidR="00C96140">
          <w:rPr>
            <w:rStyle w:val="Hyperlink"/>
            <w:noProof/>
          </w:rPr>
          <w:br/>
        </w:r>
        <w:r w:rsidR="00C96140" w:rsidRPr="00833B15">
          <w:rPr>
            <w:rStyle w:val="Hyperlink"/>
            <w:noProof/>
          </w:rPr>
          <w:t>Regulations 2020</w:t>
        </w:r>
        <w:r w:rsidR="00540E2C">
          <w:t>—No. 63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_Toc40954859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2455</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0" w:history="1">
        <w:r w:rsidR="00C96140" w:rsidRPr="00833B15">
          <w:rPr>
            <w:rStyle w:val="Hyperlink"/>
            <w:noProof/>
          </w:rPr>
          <w:t>Superannuation (Prescribed Authority) Variation Regulations 2020</w:t>
        </w:r>
        <w:r w:rsidR="00540E2C" w:rsidRPr="00540E2C">
          <w:rPr>
            <w:rStyle w:val="Hyperlink"/>
            <w:noProof/>
          </w:rPr>
          <w:t xml:space="preserve">—No. </w:t>
        </w:r>
        <w:r w:rsidR="00540E2C">
          <w:rPr>
            <w:rStyle w:val="Hyperlink"/>
            <w:noProof/>
          </w:rPr>
          <w:t>64</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_Toc40954860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2457</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1" w:history="1">
        <w:r w:rsidR="00C96140" w:rsidRPr="00833B15">
          <w:rPr>
            <w:rStyle w:val="Hyperlink"/>
            <w:noProof/>
          </w:rPr>
          <w:t xml:space="preserve">Legal Practitioners (Foreign Lawyers) </w:t>
        </w:r>
        <w:r w:rsidR="00C96140">
          <w:rPr>
            <w:rStyle w:val="Hyperlink"/>
            <w:noProof/>
          </w:rPr>
          <w:br/>
        </w:r>
        <w:r w:rsidR="00C96140" w:rsidRPr="00833B15">
          <w:rPr>
            <w:rStyle w:val="Hyperlink"/>
            <w:noProof/>
          </w:rPr>
          <w:t>Variation Regulations 2020</w:t>
        </w:r>
        <w:r w:rsidR="00540E2C" w:rsidRPr="00540E2C">
          <w:rPr>
            <w:rStyle w:val="Hyperlink"/>
            <w:noProof/>
          </w:rPr>
          <w:t>—No. 6</w:t>
        </w:r>
        <w:r w:rsidR="00540E2C">
          <w:rPr>
            <w:rStyle w:val="Hyperlink"/>
            <w:noProof/>
          </w:rPr>
          <w:t>5</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_Toc40954861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2458</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2" w:history="1">
        <w:r w:rsidR="00C96140" w:rsidRPr="00833B15">
          <w:rPr>
            <w:rStyle w:val="Hyperlink"/>
            <w:noProof/>
          </w:rPr>
          <w:t xml:space="preserve">Summary Offences (Variation of Schedule 2) </w:t>
        </w:r>
        <w:r w:rsidR="00C96140">
          <w:rPr>
            <w:rStyle w:val="Hyperlink"/>
            <w:noProof/>
          </w:rPr>
          <w:br/>
        </w:r>
        <w:r w:rsidR="00C96140" w:rsidRPr="00833B15">
          <w:rPr>
            <w:rStyle w:val="Hyperlink"/>
            <w:noProof/>
          </w:rPr>
          <w:t>Regulations 2020</w:t>
        </w:r>
        <w:r w:rsidR="00540E2C" w:rsidRPr="00540E2C">
          <w:rPr>
            <w:rStyle w:val="Hyperlink"/>
            <w:noProof/>
          </w:rPr>
          <w:t xml:space="preserve">—No. </w:t>
        </w:r>
        <w:r w:rsidR="00540E2C">
          <w:rPr>
            <w:rStyle w:val="Hyperlink"/>
            <w:noProof/>
          </w:rPr>
          <w:t>66</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_Toc40954862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2460</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3" w:history="1">
        <w:r w:rsidR="00C96140" w:rsidRPr="00833B15">
          <w:rPr>
            <w:rStyle w:val="Hyperlink"/>
            <w:noProof/>
          </w:rPr>
          <w:t xml:space="preserve">Fisheries Management (Rock Lobster Fisheries) </w:t>
        </w:r>
        <w:r w:rsidR="00C96140">
          <w:rPr>
            <w:rStyle w:val="Hyperlink"/>
            <w:noProof/>
          </w:rPr>
          <w:br/>
        </w:r>
        <w:r w:rsidR="00C96140" w:rsidRPr="00833B15">
          <w:rPr>
            <w:rStyle w:val="Hyperlink"/>
            <w:noProof/>
          </w:rPr>
          <w:t>(Quota) Variation Regulations 2020</w:t>
        </w:r>
        <w:r w:rsidR="00540E2C" w:rsidRPr="00540E2C">
          <w:rPr>
            <w:rStyle w:val="Hyperlink"/>
            <w:noProof/>
          </w:rPr>
          <w:t xml:space="preserve">—No. </w:t>
        </w:r>
        <w:r w:rsidR="00540E2C">
          <w:rPr>
            <w:rStyle w:val="Hyperlink"/>
            <w:noProof/>
          </w:rPr>
          <w:t>67</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_Toc40954863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2461</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4" w:history="1">
        <w:r w:rsidR="00C96140" w:rsidRPr="00833B15">
          <w:rPr>
            <w:rStyle w:val="Hyperlink"/>
            <w:noProof/>
          </w:rPr>
          <w:t>Fisheries Management (General) (Section 70—</w:t>
        </w:r>
        <w:r w:rsidR="00C96140">
          <w:rPr>
            <w:rStyle w:val="Hyperlink"/>
            <w:noProof/>
          </w:rPr>
          <w:br/>
        </w:r>
        <w:r w:rsidR="00C96140" w:rsidRPr="00833B15">
          <w:rPr>
            <w:rStyle w:val="Hyperlink"/>
            <w:noProof/>
          </w:rPr>
          <w:t xml:space="preserve">Prescribed Fishing Activities) Variation </w:t>
        </w:r>
        <w:r w:rsidR="00C96140">
          <w:rPr>
            <w:rStyle w:val="Hyperlink"/>
            <w:noProof/>
          </w:rPr>
          <w:br/>
        </w:r>
        <w:r w:rsidR="00C96140" w:rsidRPr="00833B15">
          <w:rPr>
            <w:rStyle w:val="Hyperlink"/>
            <w:noProof/>
          </w:rPr>
          <w:t>Regulations 2020</w:t>
        </w:r>
        <w:r w:rsidR="00540E2C" w:rsidRPr="00540E2C">
          <w:rPr>
            <w:rStyle w:val="Hyperlink"/>
            <w:noProof/>
          </w:rPr>
          <w:t>—No. 6</w:t>
        </w:r>
        <w:r w:rsidR="00540E2C">
          <w:rPr>
            <w:rStyle w:val="Hyperlink"/>
            <w:noProof/>
          </w:rPr>
          <w:t>8</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_Toc40954864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2464</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5" w:history="1">
        <w:r w:rsidR="00C96140" w:rsidRPr="00833B15">
          <w:rPr>
            <w:rStyle w:val="Hyperlink"/>
            <w:noProof/>
          </w:rPr>
          <w:t xml:space="preserve">Fisheries Management (Demerit Points) (Rock Lobster) </w:t>
        </w:r>
        <w:r w:rsidR="00C96140">
          <w:rPr>
            <w:rStyle w:val="Hyperlink"/>
            <w:noProof/>
          </w:rPr>
          <w:br/>
        </w:r>
        <w:r w:rsidR="00C96140" w:rsidRPr="00833B15">
          <w:rPr>
            <w:rStyle w:val="Hyperlink"/>
            <w:noProof/>
          </w:rPr>
          <w:t>Variation Regulations 2020</w:t>
        </w:r>
        <w:r w:rsidR="00540E2C" w:rsidRPr="00540E2C">
          <w:rPr>
            <w:rStyle w:val="Hyperlink"/>
            <w:noProof/>
          </w:rPr>
          <w:t xml:space="preserve">—No. </w:t>
        </w:r>
        <w:r w:rsidR="00540E2C">
          <w:rPr>
            <w:rStyle w:val="Hyperlink"/>
            <w:noProof/>
          </w:rPr>
          <w:t>69</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_Toc40954865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2466</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6" w:history="1">
        <w:r w:rsidR="00C96140" w:rsidRPr="00833B15">
          <w:rPr>
            <w:rStyle w:val="Hyperlink"/>
            <w:noProof/>
          </w:rPr>
          <w:t xml:space="preserve">COVID-19 Emergency Response (Section 14) (No 1) </w:t>
        </w:r>
        <w:r w:rsidR="00C96140">
          <w:rPr>
            <w:rStyle w:val="Hyperlink"/>
            <w:noProof/>
          </w:rPr>
          <w:br/>
        </w:r>
        <w:r w:rsidR="00C96140" w:rsidRPr="00833B15">
          <w:rPr>
            <w:rStyle w:val="Hyperlink"/>
            <w:noProof/>
          </w:rPr>
          <w:t>Variation Regulations 2020</w:t>
        </w:r>
        <w:r w:rsidR="00540E2C" w:rsidRPr="00540E2C">
          <w:rPr>
            <w:rStyle w:val="Hyperlink"/>
            <w:noProof/>
          </w:rPr>
          <w:t xml:space="preserve">—No. </w:t>
        </w:r>
        <w:r w:rsidR="00540E2C">
          <w:rPr>
            <w:rStyle w:val="Hyperlink"/>
            <w:noProof/>
          </w:rPr>
          <w:t>70</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_Toc40954866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2468</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7" w:history="1">
        <w:r w:rsidR="00C96140" w:rsidRPr="00833B15">
          <w:rPr>
            <w:rStyle w:val="Hyperlink"/>
            <w:noProof/>
          </w:rPr>
          <w:t>Liquor Licensing (General) (Miscellaneous) Variation Regulations 2020</w:t>
        </w:r>
        <w:r w:rsidR="00540E2C" w:rsidRPr="00540E2C">
          <w:rPr>
            <w:rStyle w:val="Hyperlink"/>
            <w:noProof/>
          </w:rPr>
          <w:t xml:space="preserve">—No. </w:t>
        </w:r>
        <w:r w:rsidR="00540E2C">
          <w:rPr>
            <w:rStyle w:val="Hyperlink"/>
            <w:noProof/>
          </w:rPr>
          <w:t>71</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_Toc40954867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2470</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8" w:history="1">
        <w:r w:rsidR="00C96140" w:rsidRPr="00833B15">
          <w:rPr>
            <w:rStyle w:val="Hyperlink"/>
            <w:noProof/>
          </w:rPr>
          <w:t xml:space="preserve">Children and Young People (Safety) Variation </w:t>
        </w:r>
        <w:r w:rsidR="00C96140">
          <w:rPr>
            <w:rStyle w:val="Hyperlink"/>
            <w:noProof/>
          </w:rPr>
          <w:br/>
        </w:r>
        <w:r w:rsidR="00C96140" w:rsidRPr="00833B15">
          <w:rPr>
            <w:rStyle w:val="Hyperlink"/>
            <w:noProof/>
          </w:rPr>
          <w:t>Regulations 2020</w:t>
        </w:r>
        <w:r w:rsidR="00540E2C" w:rsidRPr="00540E2C">
          <w:rPr>
            <w:rStyle w:val="Hyperlink"/>
            <w:noProof/>
          </w:rPr>
          <w:t xml:space="preserve">—No. </w:t>
        </w:r>
        <w:r w:rsidR="00540E2C">
          <w:rPr>
            <w:rStyle w:val="Hyperlink"/>
            <w:noProof/>
          </w:rPr>
          <w:t>72</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_Toc40954868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2472</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69" w:history="1">
        <w:r w:rsidR="00C96140" w:rsidRPr="00540E2C">
          <w:rPr>
            <w:rStyle w:val="Hyperlink"/>
            <w:noProof/>
          </w:rPr>
          <w:t xml:space="preserve">Child Safety (Prohibited Persons) Variation </w:t>
        </w:r>
        <w:r w:rsidR="00540E2C">
          <w:rPr>
            <w:rStyle w:val="Hyperlink"/>
            <w:noProof/>
          </w:rPr>
          <w:br/>
        </w:r>
        <w:r w:rsidR="00C96140" w:rsidRPr="00540E2C">
          <w:rPr>
            <w:rStyle w:val="Hyperlink"/>
            <w:noProof/>
          </w:rPr>
          <w:t>Regulations 2020</w:t>
        </w:r>
        <w:r w:rsidR="00540E2C" w:rsidRPr="00540E2C">
          <w:rPr>
            <w:rStyle w:val="Hyperlink"/>
            <w:noProof/>
          </w:rPr>
          <w:t xml:space="preserve">—No. </w:t>
        </w:r>
        <w:r w:rsidR="00540E2C">
          <w:rPr>
            <w:rStyle w:val="Hyperlink"/>
            <w:noProof/>
          </w:rPr>
          <w:t>7</w:t>
        </w:r>
        <w:r w:rsidR="00540E2C" w:rsidRPr="00540E2C">
          <w:rPr>
            <w:rStyle w:val="Hyperlink"/>
            <w:noProof/>
          </w:rPr>
          <w:t>3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_Toc40954869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2474</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0"/>
        <w:ind w:left="284" w:hanging="142"/>
        <w:rPr>
          <w:rStyle w:val="Hyperlink"/>
          <w:rFonts w:eastAsiaTheme="minorEastAsia"/>
        </w:rPr>
      </w:pPr>
      <w:hyperlink w:anchor="_Toc40954870" w:history="1">
        <w:r w:rsidR="00C96140" w:rsidRPr="00833B15">
          <w:rPr>
            <w:rStyle w:val="Hyperlink"/>
            <w:noProof/>
          </w:rPr>
          <w:t xml:space="preserve">Youth Justice Administration Variation </w:t>
        </w:r>
        <w:r w:rsidR="00540E2C">
          <w:rPr>
            <w:rStyle w:val="Hyperlink"/>
            <w:noProof/>
          </w:rPr>
          <w:br/>
        </w:r>
        <w:r w:rsidR="00C96140" w:rsidRPr="00833B15">
          <w:rPr>
            <w:rStyle w:val="Hyperlink"/>
            <w:noProof/>
          </w:rPr>
          <w:t>Regulations 2020</w:t>
        </w:r>
        <w:r w:rsidR="00540E2C" w:rsidRPr="00540E2C">
          <w:rPr>
            <w:rStyle w:val="Hyperlink"/>
            <w:noProof/>
          </w:rPr>
          <w:t xml:space="preserve">—No. </w:t>
        </w:r>
        <w:r w:rsidR="00540E2C">
          <w:rPr>
            <w:rStyle w:val="Hyperlink"/>
            <w:noProof/>
          </w:rPr>
          <w:t>74</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_Toc40954870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2475</w:t>
        </w:r>
        <w:r w:rsidR="00C96140" w:rsidRPr="00540E2C">
          <w:rPr>
            <w:rStyle w:val="Hyperlink"/>
            <w:webHidden/>
          </w:rPr>
          <w:fldChar w:fldCharType="end"/>
        </w:r>
      </w:hyperlink>
    </w:p>
    <w:p w:rsidR="00C96140" w:rsidRPr="00540E2C" w:rsidRDefault="00827BA8" w:rsidP="00540E2C">
      <w:pPr>
        <w:pStyle w:val="TOC3"/>
        <w:tabs>
          <w:tab w:val="right" w:leader="dot" w:pos="4550"/>
        </w:tabs>
        <w:spacing w:before="0" w:after="80"/>
        <w:ind w:left="284" w:hanging="142"/>
        <w:rPr>
          <w:rStyle w:val="Hyperlink"/>
          <w:rFonts w:eastAsiaTheme="minorEastAsia"/>
        </w:rPr>
      </w:pPr>
      <w:hyperlink w:anchor="_Toc40954871" w:history="1">
        <w:r w:rsidR="00C96140" w:rsidRPr="00833B15">
          <w:rPr>
            <w:rStyle w:val="Hyperlink"/>
            <w:noProof/>
          </w:rPr>
          <w:t xml:space="preserve">Disability Services (Assessment of Relevant History) </w:t>
        </w:r>
        <w:r w:rsidR="00540E2C">
          <w:rPr>
            <w:rStyle w:val="Hyperlink"/>
            <w:noProof/>
          </w:rPr>
          <w:br/>
        </w:r>
        <w:r w:rsidR="00C96140" w:rsidRPr="00833B15">
          <w:rPr>
            <w:rStyle w:val="Hyperlink"/>
            <w:noProof/>
          </w:rPr>
          <w:t>Variation Regulations 2020</w:t>
        </w:r>
        <w:r w:rsidR="00540E2C" w:rsidRPr="00540E2C">
          <w:rPr>
            <w:rStyle w:val="Hyperlink"/>
            <w:noProof/>
          </w:rPr>
          <w:t xml:space="preserve">—No. </w:t>
        </w:r>
        <w:r w:rsidR="00540E2C">
          <w:rPr>
            <w:rStyle w:val="Hyperlink"/>
            <w:noProof/>
          </w:rPr>
          <w:t>75</w:t>
        </w:r>
        <w:r w:rsidR="00540E2C" w:rsidRPr="00540E2C">
          <w:rPr>
            <w:rStyle w:val="Hyperlink"/>
            <w:noProof/>
          </w:rPr>
          <w:t xml:space="preserve"> of 2020</w:t>
        </w:r>
        <w:r w:rsidR="00C96140" w:rsidRPr="00540E2C">
          <w:rPr>
            <w:rStyle w:val="Hyperlink"/>
            <w:webHidden/>
          </w:rPr>
          <w:tab/>
        </w:r>
        <w:r w:rsidR="00C96140" w:rsidRPr="00540E2C">
          <w:rPr>
            <w:rStyle w:val="Hyperlink"/>
            <w:webHidden/>
          </w:rPr>
          <w:fldChar w:fldCharType="begin"/>
        </w:r>
        <w:r w:rsidR="00C96140" w:rsidRPr="00540E2C">
          <w:rPr>
            <w:rStyle w:val="Hyperlink"/>
            <w:webHidden/>
          </w:rPr>
          <w:instrText xml:space="preserve"> PAGEREF _Toc40954871 \h </w:instrText>
        </w:r>
        <w:r w:rsidR="00C96140" w:rsidRPr="00540E2C">
          <w:rPr>
            <w:rStyle w:val="Hyperlink"/>
            <w:webHidden/>
          </w:rPr>
        </w:r>
        <w:r w:rsidR="00C96140" w:rsidRPr="00540E2C">
          <w:rPr>
            <w:rStyle w:val="Hyperlink"/>
            <w:webHidden/>
          </w:rPr>
          <w:fldChar w:fldCharType="separate"/>
        </w:r>
        <w:r w:rsidR="00C96140" w:rsidRPr="00540E2C">
          <w:rPr>
            <w:rStyle w:val="Hyperlink"/>
            <w:webHidden/>
          </w:rPr>
          <w:t>2476</w:t>
        </w:r>
        <w:r w:rsidR="00C96140" w:rsidRPr="00540E2C">
          <w:rPr>
            <w:rStyle w:val="Hyperlink"/>
            <w:webHidden/>
          </w:rPr>
          <w:fldChar w:fldCharType="end"/>
        </w:r>
      </w:hyperlink>
    </w:p>
    <w:p w:rsidR="00C96140" w:rsidRPr="00C96140" w:rsidRDefault="00827BA8">
      <w:pPr>
        <w:pStyle w:val="TOC1"/>
        <w:tabs>
          <w:tab w:val="right" w:leader="dot" w:pos="4550"/>
        </w:tabs>
        <w:rPr>
          <w:rFonts w:ascii="Calibri" w:hAnsi="Calibri"/>
          <w:noProof/>
          <w:color w:val="auto"/>
          <w:sz w:val="22"/>
          <w:szCs w:val="22"/>
        </w:rPr>
      </w:pPr>
      <w:hyperlink w:anchor="_Toc40954872" w:history="1">
        <w:r w:rsidR="00C96140" w:rsidRPr="00540E2C">
          <w:rPr>
            <w:b/>
            <w:smallCaps/>
            <w:color w:val="auto"/>
            <w:szCs w:val="20"/>
            <w:lang w:eastAsia="en-US"/>
          </w:rPr>
          <w:t>State Government Instruments</w:t>
        </w:r>
      </w:hyperlink>
    </w:p>
    <w:p w:rsidR="00C96140" w:rsidRPr="00C96140" w:rsidRDefault="00827BA8">
      <w:pPr>
        <w:pStyle w:val="TOC2"/>
        <w:tabs>
          <w:tab w:val="right" w:leader="dot" w:pos="4550"/>
        </w:tabs>
        <w:rPr>
          <w:rFonts w:ascii="Calibri" w:hAnsi="Calibri"/>
          <w:noProof/>
          <w:color w:val="auto"/>
          <w:sz w:val="22"/>
          <w:szCs w:val="22"/>
        </w:rPr>
      </w:pPr>
      <w:hyperlink w:anchor="_Toc40954873" w:history="1">
        <w:r w:rsidR="00C96140" w:rsidRPr="00833B15">
          <w:rPr>
            <w:rStyle w:val="Hyperlink"/>
            <w:noProof/>
          </w:rPr>
          <w:t>Associations Incorporation Act 1985</w:t>
        </w:r>
        <w:r w:rsidR="00C96140">
          <w:rPr>
            <w:noProof/>
            <w:webHidden/>
          </w:rPr>
          <w:tab/>
        </w:r>
        <w:r w:rsidR="00C96140">
          <w:rPr>
            <w:noProof/>
            <w:webHidden/>
          </w:rPr>
          <w:fldChar w:fldCharType="begin"/>
        </w:r>
        <w:r w:rsidR="00C96140">
          <w:rPr>
            <w:noProof/>
            <w:webHidden/>
          </w:rPr>
          <w:instrText xml:space="preserve"> PAGEREF _Toc40954873 \h </w:instrText>
        </w:r>
        <w:r w:rsidR="00C96140">
          <w:rPr>
            <w:noProof/>
            <w:webHidden/>
          </w:rPr>
        </w:r>
        <w:r w:rsidR="00C96140">
          <w:rPr>
            <w:noProof/>
            <w:webHidden/>
          </w:rPr>
          <w:fldChar w:fldCharType="separate"/>
        </w:r>
        <w:r w:rsidR="00C96140">
          <w:rPr>
            <w:noProof/>
            <w:webHidden/>
          </w:rPr>
          <w:t>2478</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74" w:history="1">
        <w:r w:rsidR="00C96140" w:rsidRPr="00833B15">
          <w:rPr>
            <w:rStyle w:val="Hyperlink"/>
            <w:noProof/>
          </w:rPr>
          <w:t>Development Act 1993</w:t>
        </w:r>
        <w:r w:rsidR="00C96140">
          <w:rPr>
            <w:noProof/>
            <w:webHidden/>
          </w:rPr>
          <w:tab/>
        </w:r>
        <w:r w:rsidR="00C96140">
          <w:rPr>
            <w:noProof/>
            <w:webHidden/>
          </w:rPr>
          <w:fldChar w:fldCharType="begin"/>
        </w:r>
        <w:r w:rsidR="00C96140">
          <w:rPr>
            <w:noProof/>
            <w:webHidden/>
          </w:rPr>
          <w:instrText xml:space="preserve"> PAGEREF _Toc40954874 \h </w:instrText>
        </w:r>
        <w:r w:rsidR="00C96140">
          <w:rPr>
            <w:noProof/>
            <w:webHidden/>
          </w:rPr>
        </w:r>
        <w:r w:rsidR="00C96140">
          <w:rPr>
            <w:noProof/>
            <w:webHidden/>
          </w:rPr>
          <w:fldChar w:fldCharType="separate"/>
        </w:r>
        <w:r w:rsidR="00C96140">
          <w:rPr>
            <w:noProof/>
            <w:webHidden/>
          </w:rPr>
          <w:t>2478</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75" w:history="1">
        <w:r w:rsidR="00C96140" w:rsidRPr="00833B15">
          <w:rPr>
            <w:rStyle w:val="Hyperlink"/>
            <w:noProof/>
          </w:rPr>
          <w:t>Gaming Machines Act 1992</w:t>
        </w:r>
        <w:r w:rsidR="00C96140">
          <w:rPr>
            <w:noProof/>
            <w:webHidden/>
          </w:rPr>
          <w:tab/>
        </w:r>
        <w:r w:rsidR="00C96140">
          <w:rPr>
            <w:noProof/>
            <w:webHidden/>
          </w:rPr>
          <w:fldChar w:fldCharType="begin"/>
        </w:r>
        <w:r w:rsidR="00C96140">
          <w:rPr>
            <w:noProof/>
            <w:webHidden/>
          </w:rPr>
          <w:instrText xml:space="preserve"> PAGEREF _Toc40954875 \h </w:instrText>
        </w:r>
        <w:r w:rsidR="00C96140">
          <w:rPr>
            <w:noProof/>
            <w:webHidden/>
          </w:rPr>
        </w:r>
        <w:r w:rsidR="00C96140">
          <w:rPr>
            <w:noProof/>
            <w:webHidden/>
          </w:rPr>
          <w:fldChar w:fldCharType="separate"/>
        </w:r>
        <w:r w:rsidR="00C96140">
          <w:rPr>
            <w:noProof/>
            <w:webHidden/>
          </w:rPr>
          <w:t>2482</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76" w:history="1">
        <w:r w:rsidR="00C96140" w:rsidRPr="00833B15">
          <w:rPr>
            <w:rStyle w:val="Hyperlink"/>
            <w:noProof/>
          </w:rPr>
          <w:t>Housing Improvement Act 2016</w:t>
        </w:r>
        <w:r w:rsidR="00C96140">
          <w:rPr>
            <w:noProof/>
            <w:webHidden/>
          </w:rPr>
          <w:tab/>
        </w:r>
        <w:r w:rsidR="00C96140">
          <w:rPr>
            <w:noProof/>
            <w:webHidden/>
          </w:rPr>
          <w:fldChar w:fldCharType="begin"/>
        </w:r>
        <w:r w:rsidR="00C96140">
          <w:rPr>
            <w:noProof/>
            <w:webHidden/>
          </w:rPr>
          <w:instrText xml:space="preserve"> PAGEREF _Toc40954876 \h </w:instrText>
        </w:r>
        <w:r w:rsidR="00C96140">
          <w:rPr>
            <w:noProof/>
            <w:webHidden/>
          </w:rPr>
        </w:r>
        <w:r w:rsidR="00C96140">
          <w:rPr>
            <w:noProof/>
            <w:webHidden/>
          </w:rPr>
          <w:fldChar w:fldCharType="separate"/>
        </w:r>
        <w:r w:rsidR="00C96140">
          <w:rPr>
            <w:noProof/>
            <w:webHidden/>
          </w:rPr>
          <w:t>2482</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77" w:history="1">
        <w:r w:rsidR="00C96140" w:rsidRPr="00833B15">
          <w:rPr>
            <w:rStyle w:val="Hyperlink"/>
            <w:noProof/>
          </w:rPr>
          <w:t>Land Acquisition Act 1969</w:t>
        </w:r>
        <w:r w:rsidR="00C96140">
          <w:rPr>
            <w:noProof/>
            <w:webHidden/>
          </w:rPr>
          <w:tab/>
        </w:r>
        <w:r w:rsidR="00C96140">
          <w:rPr>
            <w:noProof/>
            <w:webHidden/>
          </w:rPr>
          <w:fldChar w:fldCharType="begin"/>
        </w:r>
        <w:r w:rsidR="00C96140">
          <w:rPr>
            <w:noProof/>
            <w:webHidden/>
          </w:rPr>
          <w:instrText xml:space="preserve"> PAGEREF _Toc40954877 \h </w:instrText>
        </w:r>
        <w:r w:rsidR="00C96140">
          <w:rPr>
            <w:noProof/>
            <w:webHidden/>
          </w:rPr>
        </w:r>
        <w:r w:rsidR="00C96140">
          <w:rPr>
            <w:noProof/>
            <w:webHidden/>
          </w:rPr>
          <w:fldChar w:fldCharType="separate"/>
        </w:r>
        <w:r w:rsidR="00C96140">
          <w:rPr>
            <w:noProof/>
            <w:webHidden/>
          </w:rPr>
          <w:t>2483</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78" w:history="1">
        <w:r w:rsidR="00C96140" w:rsidRPr="00833B15">
          <w:rPr>
            <w:rStyle w:val="Hyperlink"/>
            <w:noProof/>
          </w:rPr>
          <w:t>Livestock Act 1997</w:t>
        </w:r>
        <w:r w:rsidR="00C96140">
          <w:rPr>
            <w:noProof/>
            <w:webHidden/>
          </w:rPr>
          <w:tab/>
        </w:r>
        <w:r w:rsidR="00C96140">
          <w:rPr>
            <w:noProof/>
            <w:webHidden/>
          </w:rPr>
          <w:fldChar w:fldCharType="begin"/>
        </w:r>
        <w:r w:rsidR="00C96140">
          <w:rPr>
            <w:noProof/>
            <w:webHidden/>
          </w:rPr>
          <w:instrText xml:space="preserve"> PAGEREF _Toc40954878 \h </w:instrText>
        </w:r>
        <w:r w:rsidR="00C96140">
          <w:rPr>
            <w:noProof/>
            <w:webHidden/>
          </w:rPr>
        </w:r>
        <w:r w:rsidR="00C96140">
          <w:rPr>
            <w:noProof/>
            <w:webHidden/>
          </w:rPr>
          <w:fldChar w:fldCharType="separate"/>
        </w:r>
        <w:r w:rsidR="00C96140">
          <w:rPr>
            <w:noProof/>
            <w:webHidden/>
          </w:rPr>
          <w:t>2483</w:t>
        </w:r>
        <w:r w:rsidR="00C96140">
          <w:rPr>
            <w:noProof/>
            <w:webHidden/>
          </w:rPr>
          <w:fldChar w:fldCharType="end"/>
        </w:r>
      </w:hyperlink>
    </w:p>
    <w:p w:rsidR="00C96140" w:rsidRPr="00C96140" w:rsidRDefault="00827BA8" w:rsidP="00C96140">
      <w:pPr>
        <w:pStyle w:val="TOC2"/>
        <w:tabs>
          <w:tab w:val="right" w:leader="dot" w:pos="4550"/>
        </w:tabs>
        <w:ind w:left="142" w:hanging="142"/>
        <w:rPr>
          <w:rFonts w:ascii="Calibri" w:hAnsi="Calibri"/>
          <w:noProof/>
          <w:color w:val="auto"/>
          <w:sz w:val="22"/>
          <w:szCs w:val="22"/>
        </w:rPr>
      </w:pPr>
      <w:hyperlink w:anchor="_Toc40954879" w:history="1">
        <w:r w:rsidR="00C96140" w:rsidRPr="00833B15">
          <w:rPr>
            <w:rStyle w:val="Hyperlink"/>
            <w:noProof/>
          </w:rPr>
          <w:t xml:space="preserve">Motor Vehicle Accidents (Lifetime Support Scheme) </w:t>
        </w:r>
        <w:r w:rsidR="00C96140">
          <w:rPr>
            <w:rStyle w:val="Hyperlink"/>
            <w:noProof/>
          </w:rPr>
          <w:br/>
        </w:r>
        <w:r w:rsidR="00C96140" w:rsidRPr="00833B15">
          <w:rPr>
            <w:rStyle w:val="Hyperlink"/>
            <w:noProof/>
          </w:rPr>
          <w:t>Act 2013</w:t>
        </w:r>
        <w:r w:rsidR="00C96140">
          <w:rPr>
            <w:noProof/>
            <w:webHidden/>
          </w:rPr>
          <w:tab/>
        </w:r>
        <w:r w:rsidR="00C96140">
          <w:rPr>
            <w:noProof/>
            <w:webHidden/>
          </w:rPr>
          <w:fldChar w:fldCharType="begin"/>
        </w:r>
        <w:r w:rsidR="00C96140">
          <w:rPr>
            <w:noProof/>
            <w:webHidden/>
          </w:rPr>
          <w:instrText xml:space="preserve"> PAGEREF _Toc40954879 \h </w:instrText>
        </w:r>
        <w:r w:rsidR="00C96140">
          <w:rPr>
            <w:noProof/>
            <w:webHidden/>
          </w:rPr>
        </w:r>
        <w:r w:rsidR="00C96140">
          <w:rPr>
            <w:noProof/>
            <w:webHidden/>
          </w:rPr>
          <w:fldChar w:fldCharType="separate"/>
        </w:r>
        <w:r w:rsidR="00C96140">
          <w:rPr>
            <w:noProof/>
            <w:webHidden/>
          </w:rPr>
          <w:t>2483</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80" w:history="1">
        <w:r w:rsidR="00C96140" w:rsidRPr="00833B15">
          <w:rPr>
            <w:rStyle w:val="Hyperlink"/>
            <w:noProof/>
          </w:rPr>
          <w:t>Petroleum and Geothermal Energy Act 2000</w:t>
        </w:r>
        <w:r w:rsidR="00C96140">
          <w:rPr>
            <w:noProof/>
            <w:webHidden/>
          </w:rPr>
          <w:tab/>
        </w:r>
        <w:r w:rsidR="00C96140">
          <w:rPr>
            <w:noProof/>
            <w:webHidden/>
          </w:rPr>
          <w:fldChar w:fldCharType="begin"/>
        </w:r>
        <w:r w:rsidR="00C96140">
          <w:rPr>
            <w:noProof/>
            <w:webHidden/>
          </w:rPr>
          <w:instrText xml:space="preserve"> PAGEREF _Toc40954880 \h </w:instrText>
        </w:r>
        <w:r w:rsidR="00C96140">
          <w:rPr>
            <w:noProof/>
            <w:webHidden/>
          </w:rPr>
        </w:r>
        <w:r w:rsidR="00C96140">
          <w:rPr>
            <w:noProof/>
            <w:webHidden/>
          </w:rPr>
          <w:fldChar w:fldCharType="separate"/>
        </w:r>
        <w:r w:rsidR="00C96140">
          <w:rPr>
            <w:noProof/>
            <w:webHidden/>
          </w:rPr>
          <w:t>2484</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81" w:history="1">
        <w:r w:rsidR="00C96140" w:rsidRPr="00833B15">
          <w:rPr>
            <w:rStyle w:val="Hyperlink"/>
            <w:noProof/>
          </w:rPr>
          <w:t>Roads (Opening and Closing) Act 1991</w:t>
        </w:r>
        <w:r w:rsidR="00C96140">
          <w:rPr>
            <w:noProof/>
            <w:webHidden/>
          </w:rPr>
          <w:tab/>
        </w:r>
        <w:r w:rsidR="00C96140">
          <w:rPr>
            <w:noProof/>
            <w:webHidden/>
          </w:rPr>
          <w:fldChar w:fldCharType="begin"/>
        </w:r>
        <w:r w:rsidR="00C96140">
          <w:rPr>
            <w:noProof/>
            <w:webHidden/>
          </w:rPr>
          <w:instrText xml:space="preserve"> PAGEREF _Toc40954881 \h </w:instrText>
        </w:r>
        <w:r w:rsidR="00C96140">
          <w:rPr>
            <w:noProof/>
            <w:webHidden/>
          </w:rPr>
        </w:r>
        <w:r w:rsidR="00C96140">
          <w:rPr>
            <w:noProof/>
            <w:webHidden/>
          </w:rPr>
          <w:fldChar w:fldCharType="separate"/>
        </w:r>
        <w:r w:rsidR="00C96140">
          <w:rPr>
            <w:noProof/>
            <w:webHidden/>
          </w:rPr>
          <w:t>2485</w:t>
        </w:r>
        <w:r w:rsidR="00C96140">
          <w:rPr>
            <w:noProof/>
            <w:webHidden/>
          </w:rPr>
          <w:fldChar w:fldCharType="end"/>
        </w:r>
      </w:hyperlink>
    </w:p>
    <w:p w:rsidR="00C96140" w:rsidRPr="00C96140" w:rsidRDefault="00827BA8" w:rsidP="00540E2C">
      <w:pPr>
        <w:pStyle w:val="TOC2"/>
        <w:tabs>
          <w:tab w:val="right" w:leader="dot" w:pos="4550"/>
        </w:tabs>
        <w:spacing w:after="80"/>
        <w:rPr>
          <w:rFonts w:ascii="Calibri" w:hAnsi="Calibri"/>
          <w:noProof/>
          <w:color w:val="auto"/>
          <w:sz w:val="22"/>
          <w:szCs w:val="22"/>
        </w:rPr>
      </w:pPr>
      <w:hyperlink w:anchor="_Toc40954882" w:history="1">
        <w:r w:rsidR="00C96140">
          <w:rPr>
            <w:rStyle w:val="Hyperlink"/>
            <w:noProof/>
          </w:rPr>
          <w:t>The District Court o</w:t>
        </w:r>
        <w:r w:rsidR="00C96140" w:rsidRPr="00833B15">
          <w:rPr>
            <w:rStyle w:val="Hyperlink"/>
            <w:noProof/>
          </w:rPr>
          <w:t>f South Australia</w:t>
        </w:r>
        <w:r w:rsidR="00C96140">
          <w:rPr>
            <w:noProof/>
            <w:webHidden/>
          </w:rPr>
          <w:tab/>
        </w:r>
        <w:r w:rsidR="00C96140">
          <w:rPr>
            <w:noProof/>
            <w:webHidden/>
          </w:rPr>
          <w:fldChar w:fldCharType="begin"/>
        </w:r>
        <w:r w:rsidR="00C96140">
          <w:rPr>
            <w:noProof/>
            <w:webHidden/>
          </w:rPr>
          <w:instrText xml:space="preserve"> PAGEREF _Toc40954882 \h </w:instrText>
        </w:r>
        <w:r w:rsidR="00C96140">
          <w:rPr>
            <w:noProof/>
            <w:webHidden/>
          </w:rPr>
        </w:r>
        <w:r w:rsidR="00C96140">
          <w:rPr>
            <w:noProof/>
            <w:webHidden/>
          </w:rPr>
          <w:fldChar w:fldCharType="separate"/>
        </w:r>
        <w:r w:rsidR="00C96140">
          <w:rPr>
            <w:noProof/>
            <w:webHidden/>
          </w:rPr>
          <w:t>2486</w:t>
        </w:r>
        <w:r w:rsidR="00C96140">
          <w:rPr>
            <w:noProof/>
            <w:webHidden/>
          </w:rPr>
          <w:fldChar w:fldCharType="end"/>
        </w:r>
      </w:hyperlink>
    </w:p>
    <w:p w:rsidR="00C96140" w:rsidRPr="00C96140" w:rsidRDefault="00827BA8">
      <w:pPr>
        <w:pStyle w:val="TOC1"/>
        <w:tabs>
          <w:tab w:val="right" w:leader="dot" w:pos="4550"/>
        </w:tabs>
        <w:rPr>
          <w:rFonts w:ascii="Calibri" w:hAnsi="Calibri"/>
          <w:noProof/>
          <w:color w:val="auto"/>
          <w:sz w:val="22"/>
          <w:szCs w:val="22"/>
        </w:rPr>
      </w:pPr>
      <w:hyperlink w:anchor="_Toc40954883" w:history="1">
        <w:r w:rsidR="00C96140" w:rsidRPr="00540E2C">
          <w:rPr>
            <w:b/>
            <w:smallCaps/>
            <w:color w:val="auto"/>
            <w:szCs w:val="20"/>
            <w:lang w:eastAsia="en-US"/>
          </w:rPr>
          <w:t>Local Government Instruments</w:t>
        </w:r>
      </w:hyperlink>
    </w:p>
    <w:p w:rsidR="00C96140" w:rsidRPr="00C96140" w:rsidRDefault="00827BA8">
      <w:pPr>
        <w:pStyle w:val="TOC2"/>
        <w:tabs>
          <w:tab w:val="right" w:leader="dot" w:pos="4550"/>
        </w:tabs>
        <w:rPr>
          <w:rFonts w:ascii="Calibri" w:hAnsi="Calibri"/>
          <w:noProof/>
          <w:color w:val="auto"/>
          <w:sz w:val="22"/>
          <w:szCs w:val="22"/>
        </w:rPr>
      </w:pPr>
      <w:hyperlink w:anchor="_Toc40954884" w:history="1">
        <w:r w:rsidR="00C96140" w:rsidRPr="00833B15">
          <w:rPr>
            <w:rStyle w:val="Hyperlink"/>
            <w:noProof/>
          </w:rPr>
          <w:t>City of Unley</w:t>
        </w:r>
        <w:r w:rsidR="00C96140">
          <w:rPr>
            <w:noProof/>
            <w:webHidden/>
          </w:rPr>
          <w:tab/>
        </w:r>
        <w:r w:rsidR="00C96140">
          <w:rPr>
            <w:noProof/>
            <w:webHidden/>
          </w:rPr>
          <w:fldChar w:fldCharType="begin"/>
        </w:r>
        <w:r w:rsidR="00C96140">
          <w:rPr>
            <w:noProof/>
            <w:webHidden/>
          </w:rPr>
          <w:instrText xml:space="preserve"> PAGEREF _Toc40954884 \h </w:instrText>
        </w:r>
        <w:r w:rsidR="00C96140">
          <w:rPr>
            <w:noProof/>
            <w:webHidden/>
          </w:rPr>
        </w:r>
        <w:r w:rsidR="00C96140">
          <w:rPr>
            <w:noProof/>
            <w:webHidden/>
          </w:rPr>
          <w:fldChar w:fldCharType="separate"/>
        </w:r>
        <w:r w:rsidR="00C96140">
          <w:rPr>
            <w:noProof/>
            <w:webHidden/>
          </w:rPr>
          <w:t>2487</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85" w:history="1">
        <w:r w:rsidR="00C96140" w:rsidRPr="00833B15">
          <w:rPr>
            <w:rStyle w:val="Hyperlink"/>
            <w:noProof/>
          </w:rPr>
          <w:t>District Council of Grant</w:t>
        </w:r>
        <w:r w:rsidR="00C96140">
          <w:rPr>
            <w:noProof/>
            <w:webHidden/>
          </w:rPr>
          <w:tab/>
        </w:r>
        <w:r w:rsidR="00C96140">
          <w:rPr>
            <w:noProof/>
            <w:webHidden/>
          </w:rPr>
          <w:fldChar w:fldCharType="begin"/>
        </w:r>
        <w:r w:rsidR="00C96140">
          <w:rPr>
            <w:noProof/>
            <w:webHidden/>
          </w:rPr>
          <w:instrText xml:space="preserve"> PAGEREF _Toc40954885 \h </w:instrText>
        </w:r>
        <w:r w:rsidR="00C96140">
          <w:rPr>
            <w:noProof/>
            <w:webHidden/>
          </w:rPr>
        </w:r>
        <w:r w:rsidR="00C96140">
          <w:rPr>
            <w:noProof/>
            <w:webHidden/>
          </w:rPr>
          <w:fldChar w:fldCharType="separate"/>
        </w:r>
        <w:r w:rsidR="00C96140">
          <w:rPr>
            <w:noProof/>
            <w:webHidden/>
          </w:rPr>
          <w:t>2487</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86" w:history="1">
        <w:r w:rsidR="00C96140" w:rsidRPr="00833B15">
          <w:rPr>
            <w:rStyle w:val="Hyperlink"/>
            <w:noProof/>
          </w:rPr>
          <w:t>District Council of Mount Remarkable</w:t>
        </w:r>
        <w:r w:rsidR="00C96140">
          <w:rPr>
            <w:noProof/>
            <w:webHidden/>
          </w:rPr>
          <w:tab/>
        </w:r>
        <w:r w:rsidR="00C96140">
          <w:rPr>
            <w:noProof/>
            <w:webHidden/>
          </w:rPr>
          <w:fldChar w:fldCharType="begin"/>
        </w:r>
        <w:r w:rsidR="00C96140">
          <w:rPr>
            <w:noProof/>
            <w:webHidden/>
          </w:rPr>
          <w:instrText xml:space="preserve"> PAGEREF _Toc40954886 \h </w:instrText>
        </w:r>
        <w:r w:rsidR="00C96140">
          <w:rPr>
            <w:noProof/>
            <w:webHidden/>
          </w:rPr>
        </w:r>
        <w:r w:rsidR="00C96140">
          <w:rPr>
            <w:noProof/>
            <w:webHidden/>
          </w:rPr>
          <w:fldChar w:fldCharType="separate"/>
        </w:r>
        <w:r w:rsidR="00C96140">
          <w:rPr>
            <w:noProof/>
            <w:webHidden/>
          </w:rPr>
          <w:t>2487</w:t>
        </w:r>
        <w:r w:rsidR="00C96140">
          <w:rPr>
            <w:noProof/>
            <w:webHidden/>
          </w:rPr>
          <w:fldChar w:fldCharType="end"/>
        </w:r>
      </w:hyperlink>
    </w:p>
    <w:p w:rsidR="00C96140" w:rsidRPr="00C96140" w:rsidRDefault="00827BA8" w:rsidP="00540E2C">
      <w:pPr>
        <w:pStyle w:val="TOC2"/>
        <w:tabs>
          <w:tab w:val="right" w:leader="dot" w:pos="4550"/>
        </w:tabs>
        <w:spacing w:after="80"/>
        <w:rPr>
          <w:rFonts w:ascii="Calibri" w:hAnsi="Calibri"/>
          <w:noProof/>
          <w:color w:val="auto"/>
          <w:sz w:val="22"/>
          <w:szCs w:val="22"/>
        </w:rPr>
      </w:pPr>
      <w:hyperlink w:anchor="_Toc40954887" w:history="1">
        <w:r w:rsidR="00C96140" w:rsidRPr="00833B15">
          <w:rPr>
            <w:rStyle w:val="Hyperlink"/>
            <w:noProof/>
          </w:rPr>
          <w:t>Yorke Peninsula Council</w:t>
        </w:r>
        <w:r w:rsidR="00C96140">
          <w:rPr>
            <w:noProof/>
            <w:webHidden/>
          </w:rPr>
          <w:tab/>
        </w:r>
        <w:r w:rsidR="00C96140">
          <w:rPr>
            <w:noProof/>
            <w:webHidden/>
          </w:rPr>
          <w:fldChar w:fldCharType="begin"/>
        </w:r>
        <w:r w:rsidR="00C96140">
          <w:rPr>
            <w:noProof/>
            <w:webHidden/>
          </w:rPr>
          <w:instrText xml:space="preserve"> PAGEREF _Toc40954887 \h </w:instrText>
        </w:r>
        <w:r w:rsidR="00C96140">
          <w:rPr>
            <w:noProof/>
            <w:webHidden/>
          </w:rPr>
        </w:r>
        <w:r w:rsidR="00C96140">
          <w:rPr>
            <w:noProof/>
            <w:webHidden/>
          </w:rPr>
          <w:fldChar w:fldCharType="separate"/>
        </w:r>
        <w:r w:rsidR="00C96140">
          <w:rPr>
            <w:noProof/>
            <w:webHidden/>
          </w:rPr>
          <w:t>2487</w:t>
        </w:r>
        <w:r w:rsidR="00C96140">
          <w:rPr>
            <w:noProof/>
            <w:webHidden/>
          </w:rPr>
          <w:fldChar w:fldCharType="end"/>
        </w:r>
      </w:hyperlink>
    </w:p>
    <w:p w:rsidR="00C96140" w:rsidRPr="00C96140" w:rsidRDefault="00827BA8">
      <w:pPr>
        <w:pStyle w:val="TOC1"/>
        <w:tabs>
          <w:tab w:val="right" w:leader="dot" w:pos="4550"/>
        </w:tabs>
        <w:rPr>
          <w:rFonts w:ascii="Calibri" w:hAnsi="Calibri"/>
          <w:noProof/>
          <w:color w:val="auto"/>
          <w:sz w:val="22"/>
          <w:szCs w:val="22"/>
        </w:rPr>
      </w:pPr>
      <w:hyperlink w:anchor="_Toc40954888" w:history="1">
        <w:r w:rsidR="00C96140" w:rsidRPr="00540E2C">
          <w:rPr>
            <w:b/>
            <w:smallCaps/>
            <w:color w:val="auto"/>
            <w:szCs w:val="20"/>
            <w:lang w:eastAsia="en-US"/>
          </w:rPr>
          <w:t>Public Notices</w:t>
        </w:r>
      </w:hyperlink>
    </w:p>
    <w:p w:rsidR="00C96140" w:rsidRPr="00C96140" w:rsidRDefault="00827BA8">
      <w:pPr>
        <w:pStyle w:val="TOC2"/>
        <w:tabs>
          <w:tab w:val="right" w:leader="dot" w:pos="4550"/>
        </w:tabs>
        <w:rPr>
          <w:rFonts w:ascii="Calibri" w:hAnsi="Calibri"/>
          <w:noProof/>
          <w:color w:val="auto"/>
          <w:sz w:val="22"/>
          <w:szCs w:val="22"/>
        </w:rPr>
      </w:pPr>
      <w:hyperlink w:anchor="_Toc40954889" w:history="1">
        <w:r w:rsidR="00C96140" w:rsidRPr="00833B15">
          <w:rPr>
            <w:rStyle w:val="Hyperlink"/>
            <w:noProof/>
          </w:rPr>
          <w:t>National Electricity Law</w:t>
        </w:r>
        <w:r w:rsidR="00C96140">
          <w:rPr>
            <w:noProof/>
            <w:webHidden/>
          </w:rPr>
          <w:tab/>
        </w:r>
        <w:r w:rsidR="00C96140">
          <w:rPr>
            <w:noProof/>
            <w:webHidden/>
          </w:rPr>
          <w:fldChar w:fldCharType="begin"/>
        </w:r>
        <w:r w:rsidR="00C96140">
          <w:rPr>
            <w:noProof/>
            <w:webHidden/>
          </w:rPr>
          <w:instrText xml:space="preserve"> PAGEREF _Toc40954889 \h </w:instrText>
        </w:r>
        <w:r w:rsidR="00C96140">
          <w:rPr>
            <w:noProof/>
            <w:webHidden/>
          </w:rPr>
        </w:r>
        <w:r w:rsidR="00C96140">
          <w:rPr>
            <w:noProof/>
            <w:webHidden/>
          </w:rPr>
          <w:fldChar w:fldCharType="separate"/>
        </w:r>
        <w:r w:rsidR="00C96140">
          <w:rPr>
            <w:noProof/>
            <w:webHidden/>
          </w:rPr>
          <w:t>2488</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90" w:history="1">
        <w:r w:rsidR="00C96140" w:rsidRPr="00833B15">
          <w:rPr>
            <w:rStyle w:val="Hyperlink"/>
            <w:noProof/>
          </w:rPr>
          <w:t>National Energy Retail Law</w:t>
        </w:r>
        <w:r w:rsidR="00C96140">
          <w:rPr>
            <w:noProof/>
            <w:webHidden/>
          </w:rPr>
          <w:tab/>
        </w:r>
        <w:r w:rsidR="00C96140">
          <w:rPr>
            <w:noProof/>
            <w:webHidden/>
          </w:rPr>
          <w:fldChar w:fldCharType="begin"/>
        </w:r>
        <w:r w:rsidR="00C96140">
          <w:rPr>
            <w:noProof/>
            <w:webHidden/>
          </w:rPr>
          <w:instrText xml:space="preserve"> PAGEREF _Toc40954890 \h </w:instrText>
        </w:r>
        <w:r w:rsidR="00C96140">
          <w:rPr>
            <w:noProof/>
            <w:webHidden/>
          </w:rPr>
        </w:r>
        <w:r w:rsidR="00C96140">
          <w:rPr>
            <w:noProof/>
            <w:webHidden/>
          </w:rPr>
          <w:fldChar w:fldCharType="separate"/>
        </w:r>
        <w:r w:rsidR="00C96140">
          <w:rPr>
            <w:noProof/>
            <w:webHidden/>
          </w:rPr>
          <w:t>2488</w:t>
        </w:r>
        <w:r w:rsidR="00C96140">
          <w:rPr>
            <w:noProof/>
            <w:webHidden/>
          </w:rPr>
          <w:fldChar w:fldCharType="end"/>
        </w:r>
      </w:hyperlink>
    </w:p>
    <w:p w:rsidR="00C96140" w:rsidRPr="00C96140" w:rsidRDefault="00827BA8">
      <w:pPr>
        <w:pStyle w:val="TOC2"/>
        <w:tabs>
          <w:tab w:val="right" w:leader="dot" w:pos="4550"/>
        </w:tabs>
        <w:rPr>
          <w:rFonts w:ascii="Calibri" w:hAnsi="Calibri"/>
          <w:noProof/>
          <w:color w:val="auto"/>
          <w:sz w:val="22"/>
          <w:szCs w:val="22"/>
        </w:rPr>
      </w:pPr>
      <w:hyperlink w:anchor="_Toc40954891" w:history="1">
        <w:r w:rsidR="00C96140" w:rsidRPr="00833B15">
          <w:rPr>
            <w:rStyle w:val="Hyperlink"/>
            <w:noProof/>
          </w:rPr>
          <w:t>Trustee Act 1936</w:t>
        </w:r>
        <w:r w:rsidR="00C96140">
          <w:rPr>
            <w:noProof/>
            <w:webHidden/>
          </w:rPr>
          <w:tab/>
        </w:r>
        <w:r w:rsidR="00C96140">
          <w:rPr>
            <w:noProof/>
            <w:webHidden/>
          </w:rPr>
          <w:fldChar w:fldCharType="begin"/>
        </w:r>
        <w:r w:rsidR="00C96140">
          <w:rPr>
            <w:noProof/>
            <w:webHidden/>
          </w:rPr>
          <w:instrText xml:space="preserve"> PAGEREF _Toc40954891 \h </w:instrText>
        </w:r>
        <w:r w:rsidR="00C96140">
          <w:rPr>
            <w:noProof/>
            <w:webHidden/>
          </w:rPr>
        </w:r>
        <w:r w:rsidR="00C96140">
          <w:rPr>
            <w:noProof/>
            <w:webHidden/>
          </w:rPr>
          <w:fldChar w:fldCharType="separate"/>
        </w:r>
        <w:r w:rsidR="00C96140">
          <w:rPr>
            <w:noProof/>
            <w:webHidden/>
          </w:rPr>
          <w:t>2488</w:t>
        </w:r>
        <w:r w:rsidR="00C96140">
          <w:rPr>
            <w:noProof/>
            <w:webHidden/>
          </w:rPr>
          <w:fldChar w:fldCharType="end"/>
        </w:r>
      </w:hyperlink>
    </w:p>
    <w:p w:rsidR="001B7138" w:rsidRDefault="00C96140" w:rsidP="00BA1DBA">
      <w:pPr>
        <w:rPr>
          <w:smallCaps/>
          <w:szCs w:val="17"/>
        </w:rPr>
      </w:pPr>
      <w:r>
        <w:rPr>
          <w:b/>
          <w:bCs/>
          <w:noProof/>
        </w:rPr>
        <w:fldChar w:fldCharType="end"/>
      </w: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0954852"/>
      <w:r w:rsidRPr="009D1E2E">
        <w:lastRenderedPageBreak/>
        <w:t>Governor’s Instruments</w:t>
      </w:r>
      <w:bookmarkEnd w:id="1"/>
      <w:bookmarkEnd w:id="2"/>
      <w:bookmarkEnd w:id="3"/>
      <w:r>
        <w:t xml:space="preserve"> </w:t>
      </w:r>
    </w:p>
    <w:p w:rsidR="00064C75" w:rsidRDefault="009562D8" w:rsidP="009562D8">
      <w:pPr>
        <w:pStyle w:val="Heading2"/>
      </w:pPr>
      <w:bookmarkStart w:id="4" w:name="_Toc33707978"/>
      <w:bookmarkStart w:id="5" w:name="_Toc33708149"/>
      <w:bookmarkStart w:id="6" w:name="_Toc40954853"/>
      <w:r>
        <w:t>Appointments</w:t>
      </w:r>
      <w:bookmarkEnd w:id="4"/>
      <w:bookmarkEnd w:id="5"/>
      <w:bookmarkEnd w:id="6"/>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26AF2">
        <w:rPr>
          <w:szCs w:val="17"/>
        </w:rPr>
        <w:t>Department of the Premier and Cabinet</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26AF2">
        <w:rPr>
          <w:szCs w:val="17"/>
        </w:rPr>
        <w:t>Adelaide, 21 May 2020</w:t>
      </w:r>
    </w:p>
    <w:p w:rsidR="00A26AF2" w:rsidRPr="002E0B9D" w:rsidRDefault="00A26AF2" w:rsidP="00A26AF2">
      <w:pPr>
        <w:rPr>
          <w:szCs w:val="17"/>
        </w:rPr>
      </w:pPr>
      <w:r w:rsidRPr="002E0B9D">
        <w:rPr>
          <w:szCs w:val="17"/>
        </w:rPr>
        <w:t xml:space="preserve">His Excellency the Governor in Executive Council has been pleased to appoint the undermentioned to the </w:t>
      </w:r>
      <w:r>
        <w:rPr>
          <w:rFonts w:eastAsia="Arial" w:cs="Arial"/>
        </w:rPr>
        <w:t>State Procurement Board</w:t>
      </w:r>
      <w:r w:rsidRPr="002E0B9D">
        <w:rPr>
          <w:szCs w:val="17"/>
        </w:rPr>
        <w:t xml:space="preserve">, pursuant to the provisions of the </w:t>
      </w:r>
      <w:r>
        <w:rPr>
          <w:rFonts w:eastAsia="Arial" w:cs="Arial"/>
        </w:rPr>
        <w:t>State Procurement Act 2004</w:t>
      </w:r>
      <w:r w:rsidRPr="002E0B9D">
        <w:rPr>
          <w:szCs w:val="17"/>
        </w:rPr>
        <w:t>:</w:t>
      </w:r>
    </w:p>
    <w:p w:rsidR="00A26AF2" w:rsidRPr="00A26AF2" w:rsidRDefault="00A26AF2" w:rsidP="00A26AF2">
      <w:pPr>
        <w:spacing w:after="0"/>
        <w:rPr>
          <w:szCs w:val="17"/>
        </w:rPr>
      </w:pPr>
      <w:r w:rsidRPr="00A26AF2">
        <w:rPr>
          <w:szCs w:val="17"/>
        </w:rPr>
        <w:tab/>
        <w:t>Member: from 1 July 2020 until 30 June 2021</w:t>
      </w:r>
    </w:p>
    <w:p w:rsidR="00A26AF2" w:rsidRPr="00A26AF2" w:rsidRDefault="00A26AF2" w:rsidP="00A26AF2">
      <w:pPr>
        <w:spacing w:after="0"/>
        <w:rPr>
          <w:szCs w:val="17"/>
        </w:rPr>
      </w:pPr>
      <w:r w:rsidRPr="00A26AF2">
        <w:rPr>
          <w:szCs w:val="17"/>
        </w:rPr>
        <w:tab/>
      </w:r>
      <w:r w:rsidRPr="00A26AF2">
        <w:rPr>
          <w:szCs w:val="17"/>
        </w:rPr>
        <w:tab/>
        <w:t xml:space="preserve">Judith Formston </w:t>
      </w:r>
    </w:p>
    <w:p w:rsidR="00A26AF2" w:rsidRPr="00A26AF2" w:rsidRDefault="00A26AF2" w:rsidP="00A26AF2">
      <w:pPr>
        <w:spacing w:after="0"/>
        <w:rPr>
          <w:szCs w:val="17"/>
        </w:rPr>
      </w:pPr>
      <w:r w:rsidRPr="00A26AF2">
        <w:rPr>
          <w:szCs w:val="17"/>
        </w:rPr>
        <w:tab/>
      </w:r>
      <w:r w:rsidRPr="00A26AF2">
        <w:rPr>
          <w:szCs w:val="17"/>
        </w:rPr>
        <w:tab/>
        <w:t xml:space="preserve">Jamin Woolcock </w:t>
      </w:r>
    </w:p>
    <w:p w:rsidR="00A26AF2" w:rsidRPr="00A26AF2" w:rsidRDefault="00A26AF2" w:rsidP="00A26AF2">
      <w:pPr>
        <w:spacing w:after="0"/>
        <w:rPr>
          <w:szCs w:val="17"/>
        </w:rPr>
      </w:pPr>
      <w:r w:rsidRPr="00A26AF2">
        <w:rPr>
          <w:szCs w:val="17"/>
        </w:rPr>
        <w:tab/>
      </w:r>
      <w:r w:rsidRPr="00A26AF2">
        <w:rPr>
          <w:szCs w:val="17"/>
        </w:rPr>
        <w:tab/>
        <w:t xml:space="preserve">Jacqueline Bray </w:t>
      </w:r>
    </w:p>
    <w:p w:rsidR="00A26AF2" w:rsidRPr="00A26AF2" w:rsidRDefault="00A26AF2" w:rsidP="00A26AF2">
      <w:pPr>
        <w:spacing w:after="0"/>
        <w:rPr>
          <w:szCs w:val="17"/>
        </w:rPr>
      </w:pPr>
      <w:r w:rsidRPr="00A26AF2">
        <w:rPr>
          <w:szCs w:val="17"/>
        </w:rPr>
        <w:tab/>
      </w:r>
      <w:r w:rsidRPr="00A26AF2">
        <w:rPr>
          <w:szCs w:val="17"/>
        </w:rPr>
        <w:tab/>
        <w:t>David Grant Henchliffe</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26AF2">
        <w:rPr>
          <w:szCs w:val="17"/>
        </w:rPr>
        <w:t>By command,</w:t>
      </w:r>
    </w:p>
    <w:p w:rsidR="00A26AF2" w:rsidRPr="002E0B9D" w:rsidRDefault="00A26AF2" w:rsidP="00A26AF2">
      <w:pPr>
        <w:spacing w:after="0"/>
        <w:jc w:val="right"/>
        <w:rPr>
          <w:smallCaps/>
          <w:szCs w:val="17"/>
        </w:rPr>
      </w:pPr>
      <w:r w:rsidRPr="002E0B9D">
        <w:rPr>
          <w:smallCaps/>
          <w:szCs w:val="17"/>
        </w:rPr>
        <w:t>Steven Spence Marshall</w:t>
      </w:r>
    </w:p>
    <w:p w:rsidR="00A26AF2" w:rsidRPr="002E0B9D" w:rsidRDefault="00A26AF2" w:rsidP="00A26AF2">
      <w:pPr>
        <w:spacing w:after="0"/>
        <w:jc w:val="right"/>
        <w:rPr>
          <w:szCs w:val="17"/>
        </w:rPr>
      </w:pPr>
      <w:r w:rsidRPr="002E0B9D">
        <w:rPr>
          <w:szCs w:val="17"/>
        </w:rPr>
        <w:t>Premier</w:t>
      </w:r>
    </w:p>
    <w:p w:rsidR="00A26AF2" w:rsidRDefault="00A26AF2" w:rsidP="00A26AF2">
      <w:pPr>
        <w:spacing w:after="0"/>
        <w:rPr>
          <w:szCs w:val="17"/>
        </w:rPr>
      </w:pPr>
      <w:r>
        <w:rPr>
          <w:rFonts w:eastAsia="Arial" w:cs="Arial"/>
        </w:rPr>
        <w:t>T&amp;F20/037CS</w:t>
      </w:r>
    </w:p>
    <w:p w:rsidR="00A26AF2" w:rsidRDefault="00A26AF2" w:rsidP="00A26AF2">
      <w:pPr>
        <w:pBdr>
          <w:top w:val="single" w:sz="4" w:space="1" w:color="auto"/>
        </w:pBdr>
        <w:spacing w:before="100" w:after="0" w:line="14" w:lineRule="exact"/>
        <w:jc w:val="center"/>
        <w:rPr>
          <w:szCs w:val="17"/>
        </w:rPr>
      </w:pPr>
    </w:p>
    <w:p w:rsidR="00A26AF2" w:rsidRDefault="00A26AF2" w:rsidP="00A26AF2">
      <w:pPr>
        <w:pStyle w:val="GG-body"/>
        <w:spacing w:after="0"/>
      </w:pP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26AF2">
        <w:rPr>
          <w:szCs w:val="17"/>
        </w:rPr>
        <w:t>Department of the Premier and Cabinet</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26AF2">
        <w:rPr>
          <w:szCs w:val="17"/>
        </w:rPr>
        <w:t>Adelaide, 21 May 2020</w:t>
      </w:r>
    </w:p>
    <w:p w:rsidR="00A26AF2" w:rsidRPr="002E0B9D" w:rsidRDefault="00A26AF2" w:rsidP="00A26AF2">
      <w:pPr>
        <w:rPr>
          <w:szCs w:val="17"/>
        </w:rPr>
      </w:pPr>
      <w:r w:rsidRPr="002E0B9D">
        <w:rPr>
          <w:szCs w:val="17"/>
        </w:rPr>
        <w:t xml:space="preserve">His Excellency the Governor in Executive Council has been pleased to appoint the undermentioned to the </w:t>
      </w:r>
      <w:r>
        <w:rPr>
          <w:rFonts w:eastAsia="Arial" w:cs="Arial"/>
        </w:rPr>
        <w:t>State Planning Commission</w:t>
      </w:r>
      <w:r w:rsidRPr="002E0B9D">
        <w:rPr>
          <w:szCs w:val="17"/>
        </w:rPr>
        <w:t xml:space="preserve">, pursuant to the provisions of the </w:t>
      </w:r>
      <w:r>
        <w:rPr>
          <w:rFonts w:eastAsia="Arial" w:cs="Arial"/>
        </w:rPr>
        <w:t>Planning, Development and Infrastructure Act 2016</w:t>
      </w:r>
      <w:r w:rsidRPr="002E0B9D">
        <w:rPr>
          <w:szCs w:val="17"/>
        </w:rPr>
        <w:t>:</w:t>
      </w:r>
    </w:p>
    <w:p w:rsidR="00A26AF2" w:rsidRPr="00A26AF2" w:rsidRDefault="00A26AF2" w:rsidP="00A26AF2">
      <w:pPr>
        <w:spacing w:after="0"/>
        <w:rPr>
          <w:szCs w:val="17"/>
        </w:rPr>
      </w:pPr>
      <w:r w:rsidRPr="00A26AF2">
        <w:rPr>
          <w:szCs w:val="17"/>
        </w:rPr>
        <w:tab/>
        <w:t>Member: from 30 May 2020 until 31 October 2021</w:t>
      </w:r>
    </w:p>
    <w:p w:rsidR="00A26AF2" w:rsidRPr="00A26AF2" w:rsidRDefault="00A26AF2" w:rsidP="00A26AF2">
      <w:pPr>
        <w:spacing w:after="0"/>
        <w:rPr>
          <w:szCs w:val="17"/>
        </w:rPr>
      </w:pPr>
      <w:r w:rsidRPr="00A26AF2">
        <w:rPr>
          <w:szCs w:val="17"/>
        </w:rPr>
        <w:tab/>
      </w:r>
      <w:r w:rsidRPr="00A26AF2">
        <w:rPr>
          <w:szCs w:val="17"/>
        </w:rPr>
        <w:tab/>
        <w:t>Allan Norman Holmes</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26AF2">
        <w:rPr>
          <w:szCs w:val="17"/>
        </w:rPr>
        <w:t>By command,</w:t>
      </w:r>
    </w:p>
    <w:p w:rsidR="00A26AF2" w:rsidRPr="002E0B9D" w:rsidRDefault="00A26AF2" w:rsidP="00A26AF2">
      <w:pPr>
        <w:spacing w:after="0"/>
        <w:jc w:val="right"/>
        <w:rPr>
          <w:smallCaps/>
          <w:szCs w:val="17"/>
        </w:rPr>
      </w:pPr>
      <w:r w:rsidRPr="002E0B9D">
        <w:rPr>
          <w:smallCaps/>
          <w:szCs w:val="17"/>
        </w:rPr>
        <w:t>Steven Spence Marshall</w:t>
      </w:r>
    </w:p>
    <w:p w:rsidR="00A26AF2" w:rsidRPr="002E0B9D" w:rsidRDefault="00A26AF2" w:rsidP="00A26AF2">
      <w:pPr>
        <w:spacing w:after="0"/>
        <w:jc w:val="right"/>
        <w:rPr>
          <w:szCs w:val="17"/>
        </w:rPr>
      </w:pPr>
      <w:r w:rsidRPr="002E0B9D">
        <w:rPr>
          <w:szCs w:val="17"/>
        </w:rPr>
        <w:t>Premier</w:t>
      </w:r>
    </w:p>
    <w:p w:rsidR="00A26AF2" w:rsidRDefault="00A26AF2" w:rsidP="00A26AF2">
      <w:pPr>
        <w:spacing w:after="0"/>
        <w:rPr>
          <w:szCs w:val="17"/>
        </w:rPr>
      </w:pPr>
      <w:r>
        <w:rPr>
          <w:rFonts w:eastAsia="Arial" w:cs="Arial"/>
        </w:rPr>
        <w:t>MPL20/013CS</w:t>
      </w:r>
    </w:p>
    <w:p w:rsidR="00A26AF2" w:rsidRDefault="00A26AF2" w:rsidP="00A26AF2">
      <w:pPr>
        <w:pBdr>
          <w:top w:val="single" w:sz="4" w:space="1" w:color="auto"/>
        </w:pBdr>
        <w:spacing w:before="100" w:after="0" w:line="14" w:lineRule="exact"/>
        <w:jc w:val="center"/>
        <w:rPr>
          <w:szCs w:val="17"/>
        </w:rPr>
      </w:pPr>
    </w:p>
    <w:p w:rsidR="00A26AF2" w:rsidRDefault="00A26AF2" w:rsidP="00A26AF2">
      <w:pPr>
        <w:pStyle w:val="GG-body"/>
        <w:spacing w:after="0"/>
      </w:pP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26AF2">
        <w:rPr>
          <w:szCs w:val="17"/>
        </w:rPr>
        <w:t>Department of the Premier and Cabinet</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26AF2">
        <w:rPr>
          <w:szCs w:val="17"/>
        </w:rPr>
        <w:t>Adelaide, 21 May 2020</w:t>
      </w:r>
    </w:p>
    <w:p w:rsidR="00A26AF2" w:rsidRPr="002E0B9D" w:rsidRDefault="00A26AF2" w:rsidP="00A26AF2">
      <w:pPr>
        <w:rPr>
          <w:szCs w:val="17"/>
        </w:rPr>
      </w:pPr>
      <w:r w:rsidRPr="002E0B9D">
        <w:rPr>
          <w:szCs w:val="17"/>
        </w:rPr>
        <w:t xml:space="preserve">His Excellency the Governor in Executive Council has been pleased to appoint the undermentioned to the </w:t>
      </w:r>
      <w:r>
        <w:rPr>
          <w:rFonts w:eastAsia="Arial" w:cs="Arial"/>
        </w:rPr>
        <w:t>Carrick Hill Trust</w:t>
      </w:r>
      <w:r w:rsidRPr="002E0B9D">
        <w:rPr>
          <w:szCs w:val="17"/>
        </w:rPr>
        <w:t xml:space="preserve">, pursuant to the provisions of the </w:t>
      </w:r>
      <w:r>
        <w:rPr>
          <w:rFonts w:eastAsia="Arial" w:cs="Arial"/>
        </w:rPr>
        <w:t>Carrick Hill Trust Act 1985</w:t>
      </w:r>
      <w:r w:rsidRPr="002E0B9D">
        <w:rPr>
          <w:szCs w:val="17"/>
        </w:rPr>
        <w:t>:</w:t>
      </w:r>
    </w:p>
    <w:p w:rsidR="00A26AF2" w:rsidRPr="00A26AF2" w:rsidRDefault="00A26AF2" w:rsidP="00A26AF2">
      <w:pPr>
        <w:spacing w:after="0"/>
        <w:rPr>
          <w:szCs w:val="17"/>
        </w:rPr>
      </w:pPr>
      <w:r w:rsidRPr="00A26AF2">
        <w:rPr>
          <w:szCs w:val="17"/>
        </w:rPr>
        <w:tab/>
        <w:t>Member: from 21 May 2020 until 20 May 2023</w:t>
      </w:r>
    </w:p>
    <w:p w:rsidR="00A26AF2" w:rsidRPr="00A26AF2" w:rsidRDefault="00A26AF2" w:rsidP="00A26AF2">
      <w:pPr>
        <w:spacing w:after="0"/>
        <w:rPr>
          <w:szCs w:val="17"/>
        </w:rPr>
      </w:pPr>
      <w:r w:rsidRPr="00A26AF2">
        <w:rPr>
          <w:szCs w:val="17"/>
        </w:rPr>
        <w:tab/>
      </w:r>
      <w:r w:rsidRPr="00A26AF2">
        <w:rPr>
          <w:szCs w:val="17"/>
        </w:rPr>
        <w:tab/>
        <w:t xml:space="preserve">Peter Herbert Kennedy </w:t>
      </w:r>
    </w:p>
    <w:p w:rsidR="00A26AF2" w:rsidRPr="00A26AF2" w:rsidRDefault="00A26AF2" w:rsidP="00A26AF2">
      <w:pPr>
        <w:rPr>
          <w:szCs w:val="17"/>
        </w:rPr>
      </w:pPr>
      <w:r w:rsidRPr="00A26AF2">
        <w:rPr>
          <w:szCs w:val="17"/>
        </w:rPr>
        <w:tab/>
      </w:r>
      <w:r w:rsidRPr="00A26AF2">
        <w:rPr>
          <w:szCs w:val="17"/>
        </w:rPr>
        <w:tab/>
        <w:t xml:space="preserve">Deborah Alexandra Schultz </w:t>
      </w:r>
    </w:p>
    <w:p w:rsidR="00A26AF2" w:rsidRPr="00A26AF2" w:rsidRDefault="00A26AF2" w:rsidP="00A26AF2">
      <w:pPr>
        <w:spacing w:after="0"/>
        <w:rPr>
          <w:szCs w:val="17"/>
        </w:rPr>
      </w:pPr>
      <w:r w:rsidRPr="00A26AF2">
        <w:rPr>
          <w:szCs w:val="17"/>
        </w:rPr>
        <w:tab/>
        <w:t>Presiding Member: from 21 May 2020 until 20 May 2023</w:t>
      </w:r>
    </w:p>
    <w:p w:rsidR="00A26AF2" w:rsidRPr="00A26AF2" w:rsidRDefault="00A26AF2" w:rsidP="00A26AF2">
      <w:pPr>
        <w:spacing w:after="0"/>
        <w:rPr>
          <w:szCs w:val="17"/>
        </w:rPr>
      </w:pPr>
      <w:r w:rsidRPr="00A26AF2">
        <w:rPr>
          <w:szCs w:val="17"/>
        </w:rPr>
        <w:tab/>
      </w:r>
      <w:r w:rsidRPr="00A26AF2">
        <w:rPr>
          <w:szCs w:val="17"/>
        </w:rPr>
        <w:tab/>
        <w:t>Peter Herbert Kennedy</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26AF2">
        <w:rPr>
          <w:szCs w:val="17"/>
        </w:rPr>
        <w:t>By command,</w:t>
      </w:r>
    </w:p>
    <w:p w:rsidR="00A26AF2" w:rsidRPr="002E0B9D" w:rsidRDefault="00A26AF2" w:rsidP="00A26AF2">
      <w:pPr>
        <w:spacing w:after="0"/>
        <w:jc w:val="right"/>
        <w:rPr>
          <w:smallCaps/>
          <w:szCs w:val="17"/>
        </w:rPr>
      </w:pPr>
      <w:r w:rsidRPr="002E0B9D">
        <w:rPr>
          <w:smallCaps/>
          <w:szCs w:val="17"/>
        </w:rPr>
        <w:t>Steven Spence Marshall</w:t>
      </w:r>
    </w:p>
    <w:p w:rsidR="00A26AF2" w:rsidRPr="002E0B9D" w:rsidRDefault="00A26AF2" w:rsidP="00A26AF2">
      <w:pPr>
        <w:spacing w:after="0"/>
        <w:jc w:val="right"/>
        <w:rPr>
          <w:szCs w:val="17"/>
        </w:rPr>
      </w:pPr>
      <w:r w:rsidRPr="002E0B9D">
        <w:rPr>
          <w:szCs w:val="17"/>
        </w:rPr>
        <w:t>Premier</w:t>
      </w:r>
    </w:p>
    <w:p w:rsidR="00A26AF2" w:rsidRDefault="00A26AF2" w:rsidP="00A26AF2">
      <w:pPr>
        <w:spacing w:after="0"/>
        <w:rPr>
          <w:szCs w:val="17"/>
        </w:rPr>
      </w:pPr>
      <w:r w:rsidRPr="009B1D72">
        <w:rPr>
          <w:rFonts w:eastAsia="Arial" w:cs="Arial"/>
        </w:rPr>
        <w:t>DPC20/019CS</w:t>
      </w:r>
    </w:p>
    <w:p w:rsidR="00A26AF2" w:rsidRDefault="00A26AF2" w:rsidP="00A26AF2">
      <w:pPr>
        <w:pBdr>
          <w:top w:val="single" w:sz="4" w:space="1" w:color="auto"/>
        </w:pBdr>
        <w:spacing w:before="100" w:after="0" w:line="14" w:lineRule="exact"/>
        <w:jc w:val="center"/>
        <w:rPr>
          <w:szCs w:val="17"/>
        </w:rPr>
      </w:pPr>
    </w:p>
    <w:p w:rsidR="00A26AF2" w:rsidRDefault="00A26AF2" w:rsidP="00A26AF2">
      <w:pPr>
        <w:pStyle w:val="GG-body"/>
        <w:spacing w:after="0"/>
      </w:pP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A26AF2">
        <w:rPr>
          <w:szCs w:val="17"/>
        </w:rPr>
        <w:t>Department of the Premier and Cabinet</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right"/>
        <w:rPr>
          <w:szCs w:val="17"/>
        </w:rPr>
      </w:pPr>
      <w:r w:rsidRPr="00A26AF2">
        <w:rPr>
          <w:szCs w:val="17"/>
        </w:rPr>
        <w:t>Adelaide, 21 May 2020</w:t>
      </w:r>
    </w:p>
    <w:p w:rsidR="00A26AF2" w:rsidRPr="002E0B9D" w:rsidRDefault="00A26AF2" w:rsidP="00A26AF2">
      <w:pPr>
        <w:rPr>
          <w:szCs w:val="17"/>
        </w:rPr>
      </w:pPr>
      <w:r w:rsidRPr="002E0B9D">
        <w:rPr>
          <w:szCs w:val="17"/>
        </w:rPr>
        <w:t xml:space="preserve">His Excellency the Governor in Executive Council has been pleased to appoint the undermentioned to the </w:t>
      </w:r>
      <w:r w:rsidRPr="009B1D72">
        <w:rPr>
          <w:rFonts w:eastAsia="Arial" w:cs="Arial"/>
        </w:rPr>
        <w:t>Veterinary Surgeons Board of South Australia</w:t>
      </w:r>
      <w:r w:rsidRPr="002E0B9D">
        <w:rPr>
          <w:szCs w:val="17"/>
        </w:rPr>
        <w:t xml:space="preserve">, pursuant to the provisions of the </w:t>
      </w:r>
      <w:r>
        <w:rPr>
          <w:rFonts w:eastAsia="Arial" w:cs="Arial"/>
        </w:rPr>
        <w:t>Veterinary Practice Act 2003</w:t>
      </w:r>
      <w:r w:rsidRPr="002E0B9D">
        <w:rPr>
          <w:szCs w:val="17"/>
        </w:rPr>
        <w:t>:</w:t>
      </w:r>
    </w:p>
    <w:p w:rsidR="00A26AF2" w:rsidRPr="00A26AF2" w:rsidRDefault="00A26AF2" w:rsidP="00A26AF2">
      <w:pPr>
        <w:spacing w:after="0"/>
        <w:rPr>
          <w:szCs w:val="17"/>
        </w:rPr>
      </w:pPr>
      <w:r w:rsidRPr="00A26AF2">
        <w:rPr>
          <w:szCs w:val="17"/>
        </w:rPr>
        <w:tab/>
        <w:t>Member: from 1 June 2020 until 31 May 2023</w:t>
      </w:r>
    </w:p>
    <w:p w:rsidR="00A26AF2" w:rsidRPr="00A26AF2" w:rsidRDefault="00A26AF2" w:rsidP="00A26AF2">
      <w:pPr>
        <w:spacing w:after="0"/>
        <w:rPr>
          <w:szCs w:val="17"/>
        </w:rPr>
      </w:pPr>
      <w:r w:rsidRPr="00A26AF2">
        <w:rPr>
          <w:szCs w:val="17"/>
        </w:rPr>
        <w:tab/>
      </w:r>
      <w:r w:rsidRPr="00A26AF2">
        <w:rPr>
          <w:szCs w:val="17"/>
        </w:rPr>
        <w:tab/>
        <w:t>Philip Charles Hutt</w:t>
      </w:r>
    </w:p>
    <w:p w:rsidR="00A26AF2" w:rsidRPr="00A26AF2" w:rsidRDefault="00A26AF2" w:rsidP="00A26A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rPr>
          <w:szCs w:val="17"/>
        </w:rPr>
      </w:pPr>
      <w:r w:rsidRPr="00A26AF2">
        <w:rPr>
          <w:szCs w:val="17"/>
        </w:rPr>
        <w:t>By command,</w:t>
      </w:r>
    </w:p>
    <w:p w:rsidR="00A26AF2" w:rsidRPr="002E0B9D" w:rsidRDefault="00A26AF2" w:rsidP="00A26AF2">
      <w:pPr>
        <w:spacing w:after="0"/>
        <w:jc w:val="right"/>
        <w:rPr>
          <w:smallCaps/>
          <w:szCs w:val="17"/>
        </w:rPr>
      </w:pPr>
      <w:r w:rsidRPr="002E0B9D">
        <w:rPr>
          <w:smallCaps/>
          <w:szCs w:val="17"/>
        </w:rPr>
        <w:t>Steven Spence Marshall</w:t>
      </w:r>
    </w:p>
    <w:p w:rsidR="00A26AF2" w:rsidRPr="002E0B9D" w:rsidRDefault="00A26AF2" w:rsidP="00A26AF2">
      <w:pPr>
        <w:spacing w:after="0"/>
        <w:jc w:val="right"/>
        <w:rPr>
          <w:szCs w:val="17"/>
        </w:rPr>
      </w:pPr>
      <w:r w:rsidRPr="002E0B9D">
        <w:rPr>
          <w:szCs w:val="17"/>
        </w:rPr>
        <w:t>Premier</w:t>
      </w:r>
    </w:p>
    <w:p w:rsidR="00A26AF2" w:rsidRDefault="00A26AF2" w:rsidP="00A26AF2">
      <w:pPr>
        <w:spacing w:after="0"/>
        <w:rPr>
          <w:rFonts w:eastAsia="Arial" w:cs="Arial"/>
        </w:rPr>
      </w:pPr>
      <w:r w:rsidRPr="009B1D72">
        <w:rPr>
          <w:rFonts w:eastAsia="Arial" w:cs="Arial"/>
        </w:rPr>
        <w:t>MPI20/0020CS</w:t>
      </w:r>
    </w:p>
    <w:p w:rsidR="00A26AF2" w:rsidRDefault="00A26AF2" w:rsidP="00A26AF2">
      <w:pPr>
        <w:pBdr>
          <w:bottom w:val="single" w:sz="4" w:space="1" w:color="auto"/>
        </w:pBdr>
        <w:spacing w:after="0" w:line="52" w:lineRule="exact"/>
        <w:jc w:val="center"/>
        <w:rPr>
          <w:szCs w:val="17"/>
        </w:rPr>
      </w:pPr>
    </w:p>
    <w:p w:rsidR="00A26AF2" w:rsidRDefault="00A26AF2" w:rsidP="00A26AF2">
      <w:pPr>
        <w:pBdr>
          <w:top w:val="single" w:sz="4" w:space="1" w:color="auto"/>
        </w:pBdr>
        <w:spacing w:before="34" w:after="0" w:line="14" w:lineRule="exact"/>
        <w:jc w:val="center"/>
        <w:rPr>
          <w:szCs w:val="17"/>
        </w:rPr>
      </w:pPr>
    </w:p>
    <w:p w:rsidR="00694D0A" w:rsidRDefault="00694D0A" w:rsidP="0016463B">
      <w:pPr>
        <w:pStyle w:val="GG-body"/>
        <w:rPr>
          <w:lang w:val="en-US"/>
        </w:rPr>
      </w:pPr>
    </w:p>
    <w:p w:rsidR="00694D0A" w:rsidRDefault="000249AC" w:rsidP="00694D0A">
      <w:pPr>
        <w:pStyle w:val="Heading2"/>
      </w:pPr>
      <w:r>
        <w:br w:type="page"/>
      </w:r>
      <w:bookmarkStart w:id="7" w:name="_Toc33707979"/>
      <w:bookmarkStart w:id="8" w:name="_Toc33708150"/>
      <w:bookmarkStart w:id="9" w:name="_Toc40954854"/>
      <w:r w:rsidR="00694D0A">
        <w:lastRenderedPageBreak/>
        <w:t>Proclamations</w:t>
      </w:r>
      <w:bookmarkEnd w:id="7"/>
      <w:bookmarkEnd w:id="8"/>
      <w:bookmarkEnd w:id="9"/>
    </w:p>
    <w:p w:rsidR="00000399" w:rsidRPr="00000399" w:rsidRDefault="00000399" w:rsidP="00000399">
      <w:pPr>
        <w:keepLines/>
        <w:autoSpaceDE w:val="0"/>
        <w:autoSpaceDN w:val="0"/>
        <w:adjustRightInd w:val="0"/>
        <w:spacing w:before="240" w:after="0" w:line="240" w:lineRule="auto"/>
        <w:jc w:val="left"/>
        <w:rPr>
          <w:rFonts w:eastAsia="Times New Roman"/>
          <w:color w:val="000000"/>
          <w:sz w:val="28"/>
          <w:szCs w:val="28"/>
          <w:lang w:eastAsia="en-AU"/>
        </w:rPr>
      </w:pPr>
      <w:r w:rsidRPr="00000399">
        <w:rPr>
          <w:rFonts w:eastAsia="Times New Roman"/>
          <w:color w:val="000000"/>
          <w:sz w:val="28"/>
          <w:szCs w:val="28"/>
          <w:lang w:eastAsia="en-AU"/>
        </w:rPr>
        <w:t>South Australia</w:t>
      </w:r>
    </w:p>
    <w:p w:rsidR="00000399" w:rsidRPr="00000399" w:rsidRDefault="00000399" w:rsidP="00BB557D">
      <w:pPr>
        <w:pStyle w:val="Heading3"/>
        <w:rPr>
          <w:lang w:eastAsia="en-AU"/>
        </w:rPr>
      </w:pPr>
      <w:bookmarkStart w:id="10" w:name="_Toc40954855"/>
      <w:r w:rsidRPr="00000399">
        <w:rPr>
          <w:lang w:eastAsia="en-AU"/>
        </w:rPr>
        <w:t>Legal Practitioners (Foreign Lawyers and Other Matters) Amendment Act (Commencement) Proclamation 2020</w:t>
      </w:r>
      <w:bookmarkEnd w:id="10"/>
    </w:p>
    <w:p w:rsidR="00000399" w:rsidRPr="00000399" w:rsidRDefault="00000399" w:rsidP="000003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00399">
        <w:rPr>
          <w:rFonts w:eastAsia="Times New Roman"/>
          <w:b/>
          <w:bCs/>
          <w:color w:val="000000"/>
          <w:sz w:val="26"/>
          <w:szCs w:val="26"/>
          <w:lang w:eastAsia="en-AU"/>
        </w:rPr>
        <w:t>1—Short title</w:t>
      </w:r>
    </w:p>
    <w:p w:rsidR="00000399" w:rsidRPr="00000399" w:rsidRDefault="00000399" w:rsidP="0000039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00399">
        <w:rPr>
          <w:rFonts w:eastAsia="Times New Roman"/>
          <w:color w:val="000000"/>
          <w:sz w:val="23"/>
          <w:szCs w:val="23"/>
          <w:lang w:eastAsia="en-AU"/>
        </w:rPr>
        <w:t xml:space="preserve">This proclamation may be cited as the </w:t>
      </w:r>
      <w:r w:rsidRPr="00000399">
        <w:rPr>
          <w:rFonts w:eastAsia="Times New Roman"/>
          <w:i/>
          <w:iCs/>
          <w:color w:val="000000"/>
          <w:sz w:val="23"/>
          <w:szCs w:val="23"/>
          <w:lang w:eastAsia="en-AU"/>
        </w:rPr>
        <w:t>Legal Practitioners (Foreign Lawyers and Other Matters) Amendment Act (Commencement) Proclamation 2020</w:t>
      </w:r>
      <w:r w:rsidRPr="00000399">
        <w:rPr>
          <w:rFonts w:eastAsia="Times New Roman"/>
          <w:color w:val="000000"/>
          <w:sz w:val="23"/>
          <w:szCs w:val="23"/>
          <w:lang w:eastAsia="en-AU"/>
        </w:rPr>
        <w:t>.</w:t>
      </w:r>
    </w:p>
    <w:p w:rsidR="00000399" w:rsidRPr="00000399" w:rsidRDefault="00000399" w:rsidP="000003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00399">
        <w:rPr>
          <w:rFonts w:eastAsia="Times New Roman"/>
          <w:b/>
          <w:bCs/>
          <w:color w:val="000000"/>
          <w:sz w:val="26"/>
          <w:szCs w:val="26"/>
          <w:lang w:eastAsia="en-AU"/>
        </w:rPr>
        <w:t>2—Commencement of Act</w:t>
      </w:r>
    </w:p>
    <w:p w:rsidR="00000399" w:rsidRPr="00000399" w:rsidRDefault="00000399" w:rsidP="0000039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00399">
        <w:rPr>
          <w:rFonts w:eastAsia="Times New Roman"/>
          <w:color w:val="000000"/>
          <w:sz w:val="23"/>
          <w:szCs w:val="23"/>
          <w:lang w:eastAsia="en-AU"/>
        </w:rPr>
        <w:tab/>
        <w:t>(1)</w:t>
      </w:r>
      <w:r w:rsidRPr="00000399">
        <w:rPr>
          <w:rFonts w:eastAsia="Times New Roman"/>
          <w:color w:val="000000"/>
          <w:sz w:val="23"/>
          <w:szCs w:val="23"/>
          <w:lang w:eastAsia="en-AU"/>
        </w:rPr>
        <w:tab/>
        <w:t xml:space="preserve">Subject to </w:t>
      </w:r>
      <w:hyperlink w:anchor="idcae5df7b_0c1c_4630_8159_bb6f3eeb3a" w:history="1">
        <w:r w:rsidRPr="00000399">
          <w:rPr>
            <w:rFonts w:eastAsia="Times New Roman"/>
            <w:color w:val="000000"/>
            <w:sz w:val="23"/>
            <w:szCs w:val="23"/>
            <w:lang w:eastAsia="en-AU"/>
          </w:rPr>
          <w:t>subclause (2)</w:t>
        </w:r>
      </w:hyperlink>
      <w:r w:rsidRPr="00000399">
        <w:rPr>
          <w:rFonts w:eastAsia="Times New Roman"/>
          <w:color w:val="000000"/>
          <w:sz w:val="23"/>
          <w:szCs w:val="23"/>
          <w:lang w:eastAsia="en-AU"/>
        </w:rPr>
        <w:t xml:space="preserve">, the </w:t>
      </w:r>
      <w:hyperlink r:id="rId18" w:history="1">
        <w:r w:rsidRPr="00000399">
          <w:rPr>
            <w:rFonts w:eastAsia="Times New Roman"/>
            <w:i/>
            <w:iCs/>
            <w:color w:val="000000"/>
            <w:sz w:val="23"/>
            <w:szCs w:val="23"/>
            <w:lang w:eastAsia="en-AU"/>
          </w:rPr>
          <w:t>Legal Practitioners (Foreign Lawyers and Other Matters) Amendment Act 2019</w:t>
        </w:r>
      </w:hyperlink>
      <w:r w:rsidRPr="00000399">
        <w:rPr>
          <w:rFonts w:eastAsia="Times New Roman"/>
          <w:color w:val="000000"/>
          <w:sz w:val="23"/>
          <w:szCs w:val="23"/>
          <w:lang w:eastAsia="en-AU"/>
        </w:rPr>
        <w:t xml:space="preserve"> (No 49 of 2019) comes into operation on 21 May 2020.</w:t>
      </w:r>
    </w:p>
    <w:p w:rsidR="00000399" w:rsidRPr="00000399" w:rsidRDefault="00000399" w:rsidP="0000039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1" w:name="idcae5df7b_0c1c_4630_8159_bb6f3eeb3a"/>
      <w:r w:rsidRPr="00000399">
        <w:rPr>
          <w:rFonts w:eastAsia="Times New Roman"/>
          <w:color w:val="000000"/>
          <w:sz w:val="23"/>
          <w:szCs w:val="23"/>
          <w:lang w:eastAsia="en-AU"/>
        </w:rPr>
        <w:tab/>
        <w:t>(2)</w:t>
      </w:r>
      <w:r w:rsidRPr="00000399">
        <w:rPr>
          <w:rFonts w:eastAsia="Times New Roman"/>
          <w:color w:val="000000"/>
          <w:sz w:val="23"/>
          <w:szCs w:val="23"/>
          <w:lang w:eastAsia="en-AU"/>
        </w:rPr>
        <w:tab/>
        <w:t>The following provisions of the Act come into operation on 1 July 2020:</w:t>
      </w:r>
      <w:bookmarkEnd w:id="11"/>
    </w:p>
    <w:p w:rsidR="00000399" w:rsidRPr="00000399" w:rsidRDefault="00000399" w:rsidP="000003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00399">
        <w:rPr>
          <w:rFonts w:eastAsia="Times New Roman"/>
          <w:color w:val="000000"/>
          <w:sz w:val="23"/>
          <w:szCs w:val="23"/>
          <w:lang w:eastAsia="en-AU"/>
        </w:rPr>
        <w:tab/>
        <w:t>(a)</w:t>
      </w:r>
      <w:r w:rsidRPr="00000399">
        <w:rPr>
          <w:rFonts w:eastAsia="Times New Roman"/>
          <w:color w:val="000000"/>
          <w:sz w:val="23"/>
          <w:szCs w:val="23"/>
          <w:lang w:eastAsia="en-AU"/>
        </w:rPr>
        <w:tab/>
        <w:t>sections 4 to 6 (inclusive);</w:t>
      </w:r>
    </w:p>
    <w:p w:rsidR="00000399" w:rsidRPr="00000399" w:rsidRDefault="00000399" w:rsidP="000003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00399">
        <w:rPr>
          <w:rFonts w:eastAsia="Times New Roman"/>
          <w:color w:val="000000"/>
          <w:sz w:val="23"/>
          <w:szCs w:val="23"/>
          <w:lang w:eastAsia="en-AU"/>
        </w:rPr>
        <w:tab/>
        <w:t>(b)</w:t>
      </w:r>
      <w:r w:rsidRPr="00000399">
        <w:rPr>
          <w:rFonts w:eastAsia="Times New Roman"/>
          <w:color w:val="000000"/>
          <w:sz w:val="23"/>
          <w:szCs w:val="23"/>
          <w:lang w:eastAsia="en-AU"/>
        </w:rPr>
        <w:tab/>
        <w:t>sections 8 to 14 (inclusive);</w:t>
      </w:r>
    </w:p>
    <w:p w:rsidR="00000399" w:rsidRPr="00000399" w:rsidRDefault="00000399" w:rsidP="0000039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000399">
        <w:rPr>
          <w:rFonts w:eastAsia="Times New Roman"/>
          <w:color w:val="000000"/>
          <w:sz w:val="23"/>
          <w:szCs w:val="23"/>
          <w:lang w:eastAsia="en-AU"/>
        </w:rPr>
        <w:tab/>
        <w:t>(c)</w:t>
      </w:r>
      <w:r w:rsidRPr="00000399">
        <w:rPr>
          <w:rFonts w:eastAsia="Times New Roman"/>
          <w:color w:val="000000"/>
          <w:sz w:val="23"/>
          <w:szCs w:val="23"/>
          <w:lang w:eastAsia="en-AU"/>
        </w:rPr>
        <w:tab/>
        <w:t>sections 16 to 19 (inclusive).</w:t>
      </w:r>
    </w:p>
    <w:p w:rsidR="00000399" w:rsidRPr="00000399" w:rsidRDefault="00000399" w:rsidP="0000039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00399">
        <w:rPr>
          <w:rFonts w:eastAsia="Times New Roman"/>
          <w:b/>
          <w:bCs/>
          <w:color w:val="000000"/>
          <w:sz w:val="26"/>
          <w:szCs w:val="26"/>
          <w:lang w:eastAsia="en-AU"/>
        </w:rPr>
        <w:t>Made by the Governor</w:t>
      </w:r>
    </w:p>
    <w:p w:rsidR="00000399" w:rsidRPr="00000399" w:rsidRDefault="00000399" w:rsidP="00000399">
      <w:pPr>
        <w:keepNext/>
        <w:keepLines/>
        <w:autoSpaceDE w:val="0"/>
        <w:autoSpaceDN w:val="0"/>
        <w:adjustRightInd w:val="0"/>
        <w:spacing w:before="120" w:after="0" w:line="240" w:lineRule="auto"/>
        <w:jc w:val="left"/>
        <w:rPr>
          <w:rFonts w:eastAsia="Times New Roman"/>
          <w:color w:val="000000"/>
          <w:sz w:val="23"/>
          <w:szCs w:val="23"/>
          <w:lang w:eastAsia="en-AU"/>
        </w:rPr>
      </w:pPr>
      <w:r w:rsidRPr="00000399">
        <w:rPr>
          <w:rFonts w:eastAsia="Times New Roman"/>
          <w:color w:val="000000"/>
          <w:sz w:val="23"/>
          <w:szCs w:val="23"/>
          <w:lang w:eastAsia="en-AU"/>
        </w:rPr>
        <w:t>with the advice and consent of the Executive Council</w:t>
      </w:r>
    </w:p>
    <w:p w:rsidR="00000399" w:rsidRDefault="00000399" w:rsidP="00000399">
      <w:pPr>
        <w:keepNext/>
        <w:keepLines/>
        <w:autoSpaceDE w:val="0"/>
        <w:autoSpaceDN w:val="0"/>
        <w:adjustRightInd w:val="0"/>
        <w:spacing w:after="0" w:line="240" w:lineRule="auto"/>
        <w:jc w:val="left"/>
        <w:rPr>
          <w:rFonts w:eastAsia="Times New Roman"/>
          <w:color w:val="000000"/>
          <w:sz w:val="23"/>
          <w:szCs w:val="23"/>
          <w:lang w:eastAsia="en-AU"/>
        </w:rPr>
      </w:pPr>
      <w:r w:rsidRPr="00000399">
        <w:rPr>
          <w:rFonts w:eastAsia="Times New Roman"/>
          <w:color w:val="000000"/>
          <w:sz w:val="23"/>
          <w:szCs w:val="23"/>
          <w:lang w:eastAsia="en-AU"/>
        </w:rPr>
        <w:t>on 21 May 2020</w:t>
      </w:r>
    </w:p>
    <w:p w:rsidR="00000399" w:rsidRDefault="00000399" w:rsidP="00000399">
      <w:pPr>
        <w:pBdr>
          <w:bottom w:val="single" w:sz="4" w:space="1" w:color="auto"/>
        </w:pBdr>
        <w:spacing w:after="0" w:line="52" w:lineRule="exact"/>
        <w:jc w:val="center"/>
        <w:rPr>
          <w:rFonts w:eastAsia="Times New Roman"/>
          <w:color w:val="000000"/>
          <w:sz w:val="23"/>
          <w:szCs w:val="23"/>
          <w:lang w:eastAsia="en-AU"/>
        </w:rPr>
      </w:pPr>
    </w:p>
    <w:p w:rsidR="00000399" w:rsidRDefault="00000399" w:rsidP="00000399">
      <w:pPr>
        <w:pBdr>
          <w:top w:val="single" w:sz="4" w:space="1" w:color="auto"/>
        </w:pBdr>
        <w:spacing w:before="34"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694D0A" w:rsidRDefault="00694D0A" w:rsidP="00694D0A">
      <w:pPr>
        <w:pStyle w:val="Heading2"/>
      </w:pPr>
      <w:r>
        <w:br w:type="page"/>
      </w:r>
      <w:bookmarkStart w:id="12" w:name="_Toc33707980"/>
      <w:bookmarkStart w:id="13" w:name="_Toc33708151"/>
      <w:bookmarkStart w:id="14" w:name="_Toc40954856"/>
      <w:r>
        <w:lastRenderedPageBreak/>
        <w:t>Regulations</w:t>
      </w:r>
      <w:bookmarkEnd w:id="12"/>
      <w:bookmarkEnd w:id="13"/>
      <w:bookmarkEnd w:id="14"/>
    </w:p>
    <w:p w:rsidR="00000399" w:rsidRPr="00000399" w:rsidRDefault="00000399" w:rsidP="00000399">
      <w:pPr>
        <w:keepLines/>
        <w:autoSpaceDE w:val="0"/>
        <w:autoSpaceDN w:val="0"/>
        <w:adjustRightInd w:val="0"/>
        <w:spacing w:before="240" w:after="0" w:line="240" w:lineRule="auto"/>
        <w:jc w:val="left"/>
        <w:rPr>
          <w:rFonts w:eastAsia="Times New Roman"/>
          <w:color w:val="000000"/>
          <w:sz w:val="28"/>
          <w:szCs w:val="28"/>
          <w:lang w:eastAsia="en-AU"/>
        </w:rPr>
      </w:pPr>
      <w:r w:rsidRPr="00000399">
        <w:rPr>
          <w:rFonts w:eastAsia="Times New Roman"/>
          <w:color w:val="000000"/>
          <w:sz w:val="28"/>
          <w:szCs w:val="28"/>
          <w:lang w:eastAsia="en-AU"/>
        </w:rPr>
        <w:t>South Australia</w:t>
      </w:r>
    </w:p>
    <w:p w:rsidR="00000399" w:rsidRPr="00000399" w:rsidRDefault="00000399" w:rsidP="00BB557D">
      <w:pPr>
        <w:pStyle w:val="Heading3"/>
        <w:rPr>
          <w:lang w:eastAsia="en-AU"/>
        </w:rPr>
      </w:pPr>
      <w:bookmarkStart w:id="15" w:name="_Toc40954857"/>
      <w:r w:rsidRPr="00000399">
        <w:rPr>
          <w:lang w:eastAsia="en-AU"/>
        </w:rPr>
        <w:t>Primary Produce (Food Safety Schemes) (Meat Food Safety Advisory Committee) Revocation Regulations 2020</w:t>
      </w:r>
      <w:bookmarkEnd w:id="15"/>
    </w:p>
    <w:p w:rsidR="00000399" w:rsidRPr="00000399" w:rsidRDefault="00000399" w:rsidP="00000399">
      <w:pPr>
        <w:keepLines/>
        <w:autoSpaceDE w:val="0"/>
        <w:autoSpaceDN w:val="0"/>
        <w:adjustRightInd w:val="0"/>
        <w:spacing w:before="80" w:after="240" w:line="240" w:lineRule="auto"/>
        <w:jc w:val="left"/>
        <w:rPr>
          <w:rFonts w:eastAsia="Times New Roman"/>
          <w:color w:val="000000"/>
          <w:sz w:val="24"/>
          <w:szCs w:val="24"/>
          <w:lang w:eastAsia="en-AU"/>
        </w:rPr>
      </w:pPr>
      <w:r w:rsidRPr="00000399">
        <w:rPr>
          <w:rFonts w:eastAsia="Times New Roman"/>
          <w:color w:val="000000"/>
          <w:sz w:val="24"/>
          <w:szCs w:val="24"/>
          <w:lang w:eastAsia="en-AU"/>
        </w:rPr>
        <w:t xml:space="preserve">under the </w:t>
      </w:r>
      <w:r w:rsidRPr="00000399">
        <w:rPr>
          <w:rFonts w:eastAsia="Times New Roman"/>
          <w:i/>
          <w:iCs/>
          <w:color w:val="000000"/>
          <w:sz w:val="24"/>
          <w:szCs w:val="24"/>
          <w:lang w:eastAsia="en-AU"/>
        </w:rPr>
        <w:t>Primary Produce (Food Safety Schemes) Act 2004</w:t>
      </w:r>
    </w:p>
    <w:p w:rsidR="00000399" w:rsidRPr="00000399" w:rsidRDefault="00000399" w:rsidP="0000039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00399" w:rsidRPr="00000399" w:rsidRDefault="00000399" w:rsidP="00000399">
      <w:pPr>
        <w:keepLines/>
        <w:autoSpaceDE w:val="0"/>
        <w:autoSpaceDN w:val="0"/>
        <w:adjustRightInd w:val="0"/>
        <w:spacing w:before="120" w:after="0" w:line="240" w:lineRule="auto"/>
        <w:jc w:val="left"/>
        <w:rPr>
          <w:rFonts w:eastAsia="Times New Roman"/>
          <w:b/>
          <w:bCs/>
          <w:color w:val="000000"/>
          <w:sz w:val="32"/>
          <w:szCs w:val="32"/>
          <w:lang w:eastAsia="en-AU"/>
        </w:rPr>
      </w:pPr>
      <w:r w:rsidRPr="00000399">
        <w:rPr>
          <w:rFonts w:eastAsia="Times New Roman"/>
          <w:b/>
          <w:bCs/>
          <w:color w:val="000000"/>
          <w:sz w:val="32"/>
          <w:szCs w:val="32"/>
          <w:lang w:eastAsia="en-AU"/>
        </w:rPr>
        <w:t>Contents</w:t>
      </w:r>
    </w:p>
    <w:p w:rsidR="00000399" w:rsidRPr="00000399" w:rsidRDefault="00827BA8" w:rsidP="0000039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00399" w:rsidRPr="00000399">
          <w:rPr>
            <w:rFonts w:eastAsia="Times New Roman"/>
            <w:color w:val="000000"/>
            <w:sz w:val="28"/>
            <w:szCs w:val="28"/>
            <w:lang w:eastAsia="en-AU"/>
          </w:rPr>
          <w:t>Part 1—Preliminary</w:t>
        </w:r>
      </w:hyperlink>
    </w:p>
    <w:p w:rsidR="00000399" w:rsidRPr="00000399" w:rsidRDefault="00827BA8" w:rsidP="0000039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00399" w:rsidRPr="00000399">
          <w:rPr>
            <w:rFonts w:eastAsia="Times New Roman"/>
            <w:color w:val="000000"/>
            <w:sz w:val="22"/>
            <w:lang w:eastAsia="en-AU"/>
          </w:rPr>
          <w:t>1</w:t>
        </w:r>
        <w:r w:rsidR="00000399" w:rsidRPr="00000399">
          <w:rPr>
            <w:rFonts w:eastAsia="Times New Roman"/>
            <w:color w:val="000000"/>
            <w:sz w:val="22"/>
            <w:lang w:eastAsia="en-AU"/>
          </w:rPr>
          <w:tab/>
          <w:t>Short title</w:t>
        </w:r>
      </w:hyperlink>
    </w:p>
    <w:p w:rsidR="00000399" w:rsidRPr="00000399" w:rsidRDefault="00827BA8" w:rsidP="0000039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00399" w:rsidRPr="00000399">
          <w:rPr>
            <w:rFonts w:eastAsia="Times New Roman"/>
            <w:color w:val="000000"/>
            <w:sz w:val="22"/>
            <w:lang w:eastAsia="en-AU"/>
          </w:rPr>
          <w:t>2</w:t>
        </w:r>
        <w:r w:rsidR="00000399" w:rsidRPr="00000399">
          <w:rPr>
            <w:rFonts w:eastAsia="Times New Roman"/>
            <w:color w:val="000000"/>
            <w:sz w:val="22"/>
            <w:lang w:eastAsia="en-AU"/>
          </w:rPr>
          <w:tab/>
          <w:t>Commencement</w:t>
        </w:r>
      </w:hyperlink>
    </w:p>
    <w:p w:rsidR="00000399" w:rsidRPr="00000399" w:rsidRDefault="00827BA8" w:rsidP="0000039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000399" w:rsidRPr="00000399">
          <w:rPr>
            <w:rFonts w:eastAsia="Times New Roman"/>
            <w:color w:val="000000"/>
            <w:sz w:val="28"/>
            <w:szCs w:val="28"/>
            <w:lang w:eastAsia="en-AU"/>
          </w:rPr>
          <w:t xml:space="preserve">Part 2—Revocation of </w:t>
        </w:r>
        <w:r w:rsidR="00000399" w:rsidRPr="00000399">
          <w:rPr>
            <w:rFonts w:eastAsia="Times New Roman"/>
            <w:i/>
            <w:iCs/>
            <w:color w:val="000000"/>
            <w:sz w:val="28"/>
            <w:szCs w:val="28"/>
            <w:lang w:eastAsia="en-AU"/>
          </w:rPr>
          <w:t>Primary Produce (Food Safety Schemes) (Meat Food Safety Advisory Committee) Regulations 2016</w:t>
        </w:r>
      </w:hyperlink>
    </w:p>
    <w:p w:rsidR="00000399" w:rsidRPr="00000399" w:rsidRDefault="00827BA8" w:rsidP="0000039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000399" w:rsidRPr="00000399">
          <w:rPr>
            <w:rFonts w:eastAsia="Times New Roman"/>
            <w:color w:val="000000"/>
            <w:sz w:val="22"/>
            <w:lang w:eastAsia="en-AU"/>
          </w:rPr>
          <w:t>3</w:t>
        </w:r>
        <w:r w:rsidR="00000399" w:rsidRPr="00000399">
          <w:rPr>
            <w:rFonts w:eastAsia="Times New Roman"/>
            <w:color w:val="000000"/>
            <w:sz w:val="22"/>
            <w:lang w:eastAsia="en-AU"/>
          </w:rPr>
          <w:tab/>
          <w:t>Revocation of regulations</w:t>
        </w:r>
      </w:hyperlink>
    </w:p>
    <w:p w:rsidR="00000399" w:rsidRPr="00000399" w:rsidRDefault="00000399" w:rsidP="0000039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00399" w:rsidRPr="00000399" w:rsidRDefault="00000399" w:rsidP="0000039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Elkera_Print_TOC1"/>
      <w:bookmarkStart w:id="17" w:name="Elkera_Print_BK1"/>
      <w:r w:rsidRPr="00000399">
        <w:rPr>
          <w:rFonts w:eastAsia="Times New Roman"/>
          <w:b/>
          <w:bCs/>
          <w:color w:val="000000"/>
          <w:sz w:val="32"/>
          <w:szCs w:val="32"/>
          <w:lang w:eastAsia="en-AU"/>
        </w:rPr>
        <w:t>Part 1—Preliminary</w:t>
      </w:r>
      <w:bookmarkEnd w:id="16"/>
      <w:bookmarkEnd w:id="17"/>
    </w:p>
    <w:p w:rsidR="00000399" w:rsidRPr="00000399" w:rsidRDefault="00000399" w:rsidP="000003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2"/>
      <w:bookmarkStart w:id="19" w:name="Elkera_Print_BK2"/>
      <w:r w:rsidRPr="00000399">
        <w:rPr>
          <w:rFonts w:eastAsia="Times New Roman"/>
          <w:b/>
          <w:bCs/>
          <w:color w:val="000000"/>
          <w:sz w:val="26"/>
          <w:szCs w:val="26"/>
          <w:lang w:eastAsia="en-AU"/>
        </w:rPr>
        <w:t>1—Short title</w:t>
      </w:r>
      <w:bookmarkEnd w:id="18"/>
      <w:bookmarkEnd w:id="19"/>
    </w:p>
    <w:p w:rsidR="00000399" w:rsidRPr="00000399" w:rsidRDefault="00000399" w:rsidP="0000039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00399">
        <w:rPr>
          <w:rFonts w:eastAsia="Times New Roman"/>
          <w:color w:val="000000"/>
          <w:sz w:val="23"/>
          <w:szCs w:val="23"/>
          <w:lang w:eastAsia="en-AU"/>
        </w:rPr>
        <w:t xml:space="preserve">These regulations may be cited as the </w:t>
      </w:r>
      <w:r w:rsidRPr="00000399">
        <w:rPr>
          <w:rFonts w:eastAsia="Times New Roman"/>
          <w:i/>
          <w:iCs/>
          <w:color w:val="000000"/>
          <w:sz w:val="23"/>
          <w:szCs w:val="23"/>
          <w:lang w:eastAsia="en-AU"/>
        </w:rPr>
        <w:t>Primary Produce (Food Safety Schemes) (Meat Food Safety Advisory Committee) Revocation Regulations 2020</w:t>
      </w:r>
      <w:r w:rsidRPr="00000399">
        <w:rPr>
          <w:rFonts w:eastAsia="Times New Roman"/>
          <w:color w:val="000000"/>
          <w:sz w:val="23"/>
          <w:szCs w:val="23"/>
          <w:lang w:eastAsia="en-AU"/>
        </w:rPr>
        <w:t>.</w:t>
      </w:r>
    </w:p>
    <w:p w:rsidR="00000399" w:rsidRPr="00000399" w:rsidRDefault="00000399" w:rsidP="000003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3"/>
      <w:bookmarkStart w:id="21" w:name="Elkera_Print_BK3"/>
      <w:r w:rsidRPr="00000399">
        <w:rPr>
          <w:rFonts w:eastAsia="Times New Roman"/>
          <w:b/>
          <w:bCs/>
          <w:color w:val="000000"/>
          <w:sz w:val="26"/>
          <w:szCs w:val="26"/>
          <w:lang w:eastAsia="en-AU"/>
        </w:rPr>
        <w:t>2—Commencement</w:t>
      </w:r>
      <w:bookmarkEnd w:id="20"/>
      <w:bookmarkEnd w:id="21"/>
    </w:p>
    <w:p w:rsidR="00000399" w:rsidRPr="00000399" w:rsidRDefault="00000399" w:rsidP="0000039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00399">
        <w:rPr>
          <w:rFonts w:eastAsia="Times New Roman"/>
          <w:color w:val="000000"/>
          <w:sz w:val="23"/>
          <w:szCs w:val="23"/>
          <w:lang w:eastAsia="en-AU"/>
        </w:rPr>
        <w:t>These regulations come into operation on 23 May 2020.</w:t>
      </w:r>
    </w:p>
    <w:p w:rsidR="00000399" w:rsidRPr="00000399" w:rsidRDefault="00000399" w:rsidP="0000039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2" w:name="Elkera_Print_TOC4"/>
      <w:bookmarkStart w:id="23" w:name="Elkera_Print_BK4"/>
      <w:r w:rsidRPr="00000399">
        <w:rPr>
          <w:rFonts w:eastAsia="Times New Roman"/>
          <w:b/>
          <w:bCs/>
          <w:color w:val="000000"/>
          <w:sz w:val="32"/>
          <w:szCs w:val="32"/>
          <w:lang w:eastAsia="en-AU"/>
        </w:rPr>
        <w:t xml:space="preserve">Part 2—Revocation of </w:t>
      </w:r>
      <w:r w:rsidRPr="00000399">
        <w:rPr>
          <w:rFonts w:eastAsia="Times New Roman"/>
          <w:b/>
          <w:bCs/>
          <w:i/>
          <w:iCs/>
          <w:color w:val="000000"/>
          <w:sz w:val="32"/>
          <w:szCs w:val="32"/>
          <w:lang w:eastAsia="en-AU"/>
        </w:rPr>
        <w:t>Primary Produce (Food Safety Schemes) (Meat Food Safety Advisory Committee) Regulations 2016</w:t>
      </w:r>
      <w:bookmarkEnd w:id="22"/>
      <w:bookmarkEnd w:id="23"/>
    </w:p>
    <w:p w:rsidR="00000399" w:rsidRPr="00000399" w:rsidRDefault="00000399" w:rsidP="0000039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5"/>
      <w:bookmarkStart w:id="25" w:name="Elkera_Print_BK5"/>
      <w:r w:rsidRPr="00000399">
        <w:rPr>
          <w:rFonts w:eastAsia="Times New Roman"/>
          <w:b/>
          <w:bCs/>
          <w:color w:val="000000"/>
          <w:sz w:val="26"/>
          <w:szCs w:val="26"/>
          <w:lang w:eastAsia="en-AU"/>
        </w:rPr>
        <w:t>3—Revocation of regulations</w:t>
      </w:r>
      <w:bookmarkEnd w:id="24"/>
      <w:bookmarkEnd w:id="25"/>
    </w:p>
    <w:p w:rsidR="00000399" w:rsidRPr="00000399" w:rsidRDefault="00000399" w:rsidP="0000039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00399">
        <w:rPr>
          <w:rFonts w:eastAsia="Times New Roman"/>
          <w:color w:val="000000"/>
          <w:sz w:val="23"/>
          <w:szCs w:val="23"/>
          <w:lang w:eastAsia="en-AU"/>
        </w:rPr>
        <w:t xml:space="preserve">The </w:t>
      </w:r>
      <w:hyperlink r:id="rId19" w:history="1">
        <w:r w:rsidRPr="00000399">
          <w:rPr>
            <w:rFonts w:eastAsia="Times New Roman"/>
            <w:i/>
            <w:iCs/>
            <w:color w:val="000000"/>
            <w:sz w:val="23"/>
            <w:szCs w:val="23"/>
            <w:lang w:eastAsia="en-AU"/>
          </w:rPr>
          <w:t>Primary Produce (Food Safety Schemes) (Meat Food Safety Advisory Committee) Regulations 2016</w:t>
        </w:r>
      </w:hyperlink>
      <w:r w:rsidRPr="00000399">
        <w:rPr>
          <w:rFonts w:eastAsia="Times New Roman"/>
          <w:color w:val="000000"/>
          <w:sz w:val="23"/>
          <w:szCs w:val="23"/>
          <w:lang w:eastAsia="en-AU"/>
        </w:rPr>
        <w:t xml:space="preserve"> are revoked.</w:t>
      </w:r>
    </w:p>
    <w:p w:rsidR="00000399" w:rsidRPr="00000399" w:rsidRDefault="00000399" w:rsidP="0000039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00399">
        <w:rPr>
          <w:rFonts w:eastAsia="Times New Roman"/>
          <w:b/>
          <w:bCs/>
          <w:color w:val="000000"/>
          <w:sz w:val="20"/>
          <w:szCs w:val="20"/>
          <w:lang w:eastAsia="en-AU"/>
        </w:rPr>
        <w:t>Note—</w:t>
      </w:r>
    </w:p>
    <w:p w:rsidR="00000399" w:rsidRPr="00000399" w:rsidRDefault="00000399" w:rsidP="0000039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00399">
        <w:rPr>
          <w:rFonts w:eastAsia="Times New Roman"/>
          <w:color w:val="000000"/>
          <w:sz w:val="20"/>
          <w:szCs w:val="20"/>
          <w:lang w:eastAsia="en-AU"/>
        </w:rPr>
        <w:t xml:space="preserve">As required by section 10AA(2) of the </w:t>
      </w:r>
      <w:hyperlink r:id="rId20" w:history="1">
        <w:r w:rsidRPr="00000399">
          <w:rPr>
            <w:rFonts w:eastAsia="Times New Roman"/>
            <w:i/>
            <w:iCs/>
            <w:color w:val="000000"/>
            <w:sz w:val="20"/>
            <w:szCs w:val="20"/>
            <w:lang w:eastAsia="en-AU"/>
          </w:rPr>
          <w:t>Subordinate Legislation Act 1978</w:t>
        </w:r>
      </w:hyperlink>
      <w:r w:rsidRPr="0000039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000399" w:rsidRPr="00000399" w:rsidRDefault="00000399" w:rsidP="0000039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00399">
        <w:rPr>
          <w:rFonts w:eastAsia="Times New Roman"/>
          <w:b/>
          <w:bCs/>
          <w:color w:val="000000"/>
          <w:sz w:val="26"/>
          <w:szCs w:val="26"/>
          <w:lang w:eastAsia="en-AU"/>
        </w:rPr>
        <w:t>Made by the Governor</w:t>
      </w:r>
    </w:p>
    <w:p w:rsidR="00000399" w:rsidRPr="00000399" w:rsidRDefault="00000399" w:rsidP="00000399">
      <w:pPr>
        <w:keepNext/>
        <w:keepLines/>
        <w:autoSpaceDE w:val="0"/>
        <w:autoSpaceDN w:val="0"/>
        <w:adjustRightInd w:val="0"/>
        <w:spacing w:before="120" w:after="0" w:line="240" w:lineRule="auto"/>
        <w:jc w:val="left"/>
        <w:rPr>
          <w:rFonts w:eastAsia="Times New Roman"/>
          <w:color w:val="000000"/>
          <w:sz w:val="23"/>
          <w:szCs w:val="23"/>
          <w:lang w:eastAsia="en-AU"/>
        </w:rPr>
      </w:pPr>
      <w:r w:rsidRPr="00000399">
        <w:rPr>
          <w:rFonts w:eastAsia="Times New Roman"/>
          <w:color w:val="000000"/>
          <w:sz w:val="23"/>
          <w:szCs w:val="23"/>
          <w:lang w:eastAsia="en-AU"/>
        </w:rPr>
        <w:t>with the advice and consent of the Executive Council</w:t>
      </w:r>
    </w:p>
    <w:p w:rsidR="00000399" w:rsidRPr="00000399" w:rsidRDefault="00000399" w:rsidP="00000399">
      <w:pPr>
        <w:keepNext/>
        <w:keepLines/>
        <w:autoSpaceDE w:val="0"/>
        <w:autoSpaceDN w:val="0"/>
        <w:adjustRightInd w:val="0"/>
        <w:spacing w:after="0" w:line="240" w:lineRule="auto"/>
        <w:jc w:val="left"/>
        <w:rPr>
          <w:rFonts w:eastAsia="Times New Roman"/>
          <w:color w:val="000000"/>
          <w:sz w:val="23"/>
          <w:szCs w:val="23"/>
          <w:lang w:eastAsia="en-AU"/>
        </w:rPr>
      </w:pPr>
      <w:r w:rsidRPr="00000399">
        <w:rPr>
          <w:rFonts w:eastAsia="Times New Roman"/>
          <w:color w:val="000000"/>
          <w:sz w:val="23"/>
          <w:szCs w:val="23"/>
          <w:lang w:eastAsia="en-AU"/>
        </w:rPr>
        <w:t>on 21 May 2020</w:t>
      </w:r>
    </w:p>
    <w:p w:rsidR="00000399" w:rsidRDefault="00000399" w:rsidP="00000399">
      <w:pPr>
        <w:keepNext/>
        <w:keepLines/>
        <w:autoSpaceDE w:val="0"/>
        <w:autoSpaceDN w:val="0"/>
        <w:adjustRightInd w:val="0"/>
        <w:spacing w:before="120" w:after="0" w:line="240" w:lineRule="auto"/>
        <w:jc w:val="left"/>
        <w:rPr>
          <w:rFonts w:eastAsia="Times New Roman"/>
          <w:color w:val="000000"/>
          <w:sz w:val="23"/>
          <w:szCs w:val="23"/>
          <w:lang w:eastAsia="en-AU"/>
        </w:rPr>
      </w:pPr>
      <w:r w:rsidRPr="00000399">
        <w:rPr>
          <w:rFonts w:eastAsia="Times New Roman"/>
          <w:color w:val="000000"/>
          <w:sz w:val="23"/>
          <w:szCs w:val="23"/>
          <w:lang w:eastAsia="en-AU"/>
        </w:rPr>
        <w:t>No 61 of 2020</w:t>
      </w:r>
    </w:p>
    <w:p w:rsidR="00000399" w:rsidRDefault="00000399" w:rsidP="00000399">
      <w:pPr>
        <w:pBdr>
          <w:bottom w:val="single" w:sz="4" w:space="1" w:color="auto"/>
        </w:pBdr>
        <w:spacing w:after="0" w:line="52" w:lineRule="exact"/>
        <w:jc w:val="center"/>
        <w:rPr>
          <w:rFonts w:eastAsia="Times New Roman"/>
          <w:color w:val="000000"/>
          <w:sz w:val="23"/>
          <w:szCs w:val="23"/>
          <w:lang w:eastAsia="en-AU"/>
        </w:rPr>
      </w:pPr>
    </w:p>
    <w:p w:rsidR="00000399" w:rsidRDefault="00000399" w:rsidP="00000399">
      <w:pPr>
        <w:pBdr>
          <w:top w:val="single" w:sz="4" w:space="1" w:color="auto"/>
        </w:pBdr>
        <w:spacing w:before="34" w:after="0" w:line="14" w:lineRule="exact"/>
        <w:jc w:val="center"/>
        <w:rPr>
          <w:rFonts w:eastAsia="Times New Roman"/>
          <w:color w:val="000000"/>
          <w:sz w:val="23"/>
          <w:szCs w:val="23"/>
          <w:lang w:eastAsia="en-AU"/>
        </w:rPr>
      </w:pPr>
    </w:p>
    <w:p w:rsidR="005F70F9" w:rsidRPr="005F70F9" w:rsidRDefault="00000399" w:rsidP="005F70F9">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005F70F9" w:rsidRPr="005F70F9">
        <w:rPr>
          <w:rFonts w:eastAsia="Times New Roman"/>
          <w:color w:val="000000"/>
          <w:sz w:val="28"/>
          <w:szCs w:val="28"/>
          <w:lang w:eastAsia="en-AU"/>
        </w:rPr>
        <w:lastRenderedPageBreak/>
        <w:t>South Australia</w:t>
      </w:r>
    </w:p>
    <w:p w:rsidR="005F70F9" w:rsidRPr="005F70F9" w:rsidRDefault="005F70F9" w:rsidP="00BB557D">
      <w:pPr>
        <w:pStyle w:val="Heading3"/>
        <w:rPr>
          <w:rFonts w:eastAsia="Times New Roman"/>
          <w:b w:val="0"/>
          <w:bCs w:val="0"/>
          <w:lang w:eastAsia="en-AU"/>
        </w:rPr>
      </w:pPr>
      <w:bookmarkStart w:id="26" w:name="_Toc40954858"/>
      <w:r w:rsidRPr="005F70F9">
        <w:rPr>
          <w:rFonts w:eastAsia="Times New Roman"/>
          <w:lang w:eastAsia="en-AU"/>
        </w:rPr>
        <w:t xml:space="preserve">COVID-19 Emergency </w:t>
      </w:r>
      <w:r w:rsidRPr="00BB557D">
        <w:rPr>
          <w:lang w:eastAsia="en-AU"/>
        </w:rPr>
        <w:t>Response</w:t>
      </w:r>
      <w:r w:rsidRPr="005F70F9">
        <w:rPr>
          <w:rFonts w:eastAsia="Times New Roman"/>
          <w:lang w:eastAsia="en-AU"/>
        </w:rPr>
        <w:t xml:space="preserve"> (Section 14) Regulations 2020</w:t>
      </w:r>
      <w:bookmarkEnd w:id="26"/>
    </w:p>
    <w:p w:rsidR="005F70F9" w:rsidRPr="005F70F9" w:rsidRDefault="005F70F9" w:rsidP="005F70F9">
      <w:pPr>
        <w:keepLines/>
        <w:autoSpaceDE w:val="0"/>
        <w:autoSpaceDN w:val="0"/>
        <w:adjustRightInd w:val="0"/>
        <w:spacing w:before="80" w:after="240" w:line="240" w:lineRule="auto"/>
        <w:jc w:val="left"/>
        <w:rPr>
          <w:rFonts w:eastAsia="Times New Roman"/>
          <w:color w:val="000000"/>
          <w:sz w:val="24"/>
          <w:szCs w:val="24"/>
          <w:lang w:eastAsia="en-AU"/>
        </w:rPr>
      </w:pPr>
      <w:r w:rsidRPr="005F70F9">
        <w:rPr>
          <w:rFonts w:eastAsia="Times New Roman"/>
          <w:color w:val="000000"/>
          <w:sz w:val="24"/>
          <w:szCs w:val="24"/>
          <w:lang w:eastAsia="en-AU"/>
        </w:rPr>
        <w:t xml:space="preserve">under the </w:t>
      </w:r>
      <w:r w:rsidRPr="005F70F9">
        <w:rPr>
          <w:rFonts w:eastAsia="Times New Roman"/>
          <w:i/>
          <w:iCs/>
          <w:color w:val="000000"/>
          <w:sz w:val="24"/>
          <w:szCs w:val="24"/>
          <w:lang w:eastAsia="en-AU"/>
        </w:rPr>
        <w:t>COVID-19 Emergency Response Act 2020</w:t>
      </w:r>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Lines/>
        <w:autoSpaceDE w:val="0"/>
        <w:autoSpaceDN w:val="0"/>
        <w:adjustRightInd w:val="0"/>
        <w:spacing w:before="120" w:after="0" w:line="240" w:lineRule="auto"/>
        <w:jc w:val="left"/>
        <w:rPr>
          <w:rFonts w:eastAsia="Times New Roman"/>
          <w:b/>
          <w:bCs/>
          <w:color w:val="000000"/>
          <w:sz w:val="32"/>
          <w:szCs w:val="32"/>
          <w:lang w:eastAsia="en-AU"/>
        </w:rPr>
      </w:pPr>
      <w:r w:rsidRPr="005F70F9">
        <w:rPr>
          <w:rFonts w:eastAsia="Times New Roman"/>
          <w:b/>
          <w:bCs/>
          <w:color w:val="000000"/>
          <w:sz w:val="32"/>
          <w:szCs w:val="32"/>
          <w:lang w:eastAsia="en-AU"/>
        </w:rPr>
        <w:t>Contents</w:t>
      </w:r>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F70F9" w:rsidRPr="005F70F9">
          <w:rPr>
            <w:rFonts w:eastAsia="Times New Roman"/>
            <w:color w:val="000000"/>
            <w:sz w:val="28"/>
            <w:szCs w:val="28"/>
            <w:lang w:eastAsia="en-AU"/>
          </w:rPr>
          <w:t>Part 1—Preliminary</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F70F9" w:rsidRPr="005F70F9">
          <w:rPr>
            <w:rFonts w:eastAsia="Times New Roman"/>
            <w:color w:val="000000"/>
            <w:sz w:val="22"/>
            <w:lang w:eastAsia="en-AU"/>
          </w:rPr>
          <w:t>1</w:t>
        </w:r>
        <w:r w:rsidR="005F70F9" w:rsidRPr="005F70F9">
          <w:rPr>
            <w:rFonts w:eastAsia="Times New Roman"/>
            <w:color w:val="000000"/>
            <w:sz w:val="22"/>
            <w:lang w:eastAsia="en-AU"/>
          </w:rPr>
          <w:tab/>
          <w:t>Short title</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F70F9" w:rsidRPr="005F70F9">
          <w:rPr>
            <w:rFonts w:eastAsia="Times New Roman"/>
            <w:color w:val="000000"/>
            <w:sz w:val="22"/>
            <w:lang w:eastAsia="en-AU"/>
          </w:rPr>
          <w:t>2</w:t>
        </w:r>
        <w:r w:rsidR="005F70F9" w:rsidRPr="005F70F9">
          <w:rPr>
            <w:rFonts w:eastAsia="Times New Roman"/>
            <w:color w:val="000000"/>
            <w:sz w:val="22"/>
            <w:lang w:eastAsia="en-AU"/>
          </w:rPr>
          <w:tab/>
          <w:t>Commencement</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F70F9" w:rsidRPr="005F70F9">
          <w:rPr>
            <w:rFonts w:eastAsia="Times New Roman"/>
            <w:color w:val="000000"/>
            <w:sz w:val="22"/>
            <w:lang w:eastAsia="en-AU"/>
          </w:rPr>
          <w:t>3</w:t>
        </w:r>
        <w:r w:rsidR="005F70F9" w:rsidRPr="005F70F9">
          <w:rPr>
            <w:rFonts w:eastAsia="Times New Roman"/>
            <w:color w:val="000000"/>
            <w:sz w:val="22"/>
            <w:lang w:eastAsia="en-AU"/>
          </w:rPr>
          <w:tab/>
          <w:t>Interpretation</w:t>
        </w:r>
      </w:hyperlink>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F70F9" w:rsidRPr="005F70F9">
          <w:rPr>
            <w:rFonts w:eastAsia="Times New Roman"/>
            <w:color w:val="000000"/>
            <w:sz w:val="28"/>
            <w:szCs w:val="28"/>
            <w:lang w:eastAsia="en-AU"/>
          </w:rPr>
          <w:t>Part 2—Terms of appointment etc</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F70F9" w:rsidRPr="005F70F9">
          <w:rPr>
            <w:rFonts w:eastAsia="Times New Roman"/>
            <w:color w:val="000000"/>
            <w:sz w:val="22"/>
            <w:lang w:eastAsia="en-AU"/>
          </w:rPr>
          <w:t>4</w:t>
        </w:r>
        <w:r w:rsidR="005F70F9" w:rsidRPr="005F70F9">
          <w:rPr>
            <w:rFonts w:eastAsia="Times New Roman"/>
            <w:color w:val="000000"/>
            <w:sz w:val="22"/>
            <w:lang w:eastAsia="en-AU"/>
          </w:rPr>
          <w:tab/>
          <w:t xml:space="preserve">Appointment under </w:t>
        </w:r>
        <w:r w:rsidR="005F70F9" w:rsidRPr="005F70F9">
          <w:rPr>
            <w:rFonts w:eastAsia="Times New Roman"/>
            <w:i/>
            <w:iCs/>
            <w:color w:val="000000"/>
            <w:sz w:val="22"/>
            <w:lang w:eastAsia="en-AU"/>
          </w:rPr>
          <w:t>South Australian Local Government Grants Commission Act 1992</w:t>
        </w:r>
      </w:hyperlink>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1—Preliminary</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1—Short title</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may be cited as the </w:t>
      </w:r>
      <w:r w:rsidRPr="005F70F9">
        <w:rPr>
          <w:rFonts w:eastAsia="Times New Roman"/>
          <w:i/>
          <w:iCs/>
          <w:color w:val="000000"/>
          <w:sz w:val="23"/>
          <w:szCs w:val="23"/>
          <w:lang w:eastAsia="en-AU"/>
        </w:rPr>
        <w:t>COVID-19 Emergency Response (Section 14) Regulations 2020</w:t>
      </w:r>
      <w:r w:rsidRPr="005F70F9">
        <w:rPr>
          <w:rFonts w:eastAsia="Times New Roman"/>
          <w:color w:val="000000"/>
          <w:sz w:val="23"/>
          <w:szCs w:val="23"/>
          <w:lang w:eastAsia="en-AU"/>
        </w:rPr>
        <w:t>.</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2—Commencement</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These regulations come into operation on the day on which they are made.</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3—Interpretation</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In these regulations, unless the contrary intention appears—</w:t>
      </w:r>
    </w:p>
    <w:p w:rsidR="005F70F9" w:rsidRPr="005F70F9" w:rsidRDefault="005F70F9" w:rsidP="005F70F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70F9">
        <w:rPr>
          <w:rFonts w:eastAsia="Times New Roman"/>
          <w:color w:val="000000"/>
          <w:sz w:val="23"/>
          <w:szCs w:val="23"/>
          <w:lang w:eastAsia="en-AU"/>
        </w:rPr>
        <w:tab/>
        <w:t>(a)</w:t>
      </w:r>
      <w:r w:rsidRPr="005F70F9">
        <w:rPr>
          <w:rFonts w:eastAsia="Times New Roman"/>
          <w:color w:val="000000"/>
          <w:sz w:val="23"/>
          <w:szCs w:val="23"/>
          <w:lang w:eastAsia="en-AU"/>
        </w:rPr>
        <w:tab/>
        <w:t xml:space="preserve">a reference to the </w:t>
      </w:r>
      <w:r w:rsidRPr="005F70F9">
        <w:rPr>
          <w:rFonts w:eastAsia="Times New Roman"/>
          <w:b/>
          <w:bCs/>
          <w:i/>
          <w:iCs/>
          <w:color w:val="000000"/>
          <w:sz w:val="23"/>
          <w:szCs w:val="23"/>
          <w:lang w:eastAsia="en-AU"/>
        </w:rPr>
        <w:t>Act</w:t>
      </w:r>
      <w:r w:rsidRPr="005F70F9">
        <w:rPr>
          <w:rFonts w:eastAsia="Times New Roman"/>
          <w:color w:val="000000"/>
          <w:sz w:val="23"/>
          <w:szCs w:val="23"/>
          <w:lang w:eastAsia="en-AU"/>
        </w:rPr>
        <w:t xml:space="preserve"> is a reference to the </w:t>
      </w:r>
      <w:hyperlink r:id="rId21" w:history="1">
        <w:r w:rsidRPr="005F70F9">
          <w:rPr>
            <w:rFonts w:eastAsia="Times New Roman"/>
            <w:i/>
            <w:iCs/>
            <w:color w:val="000000"/>
            <w:sz w:val="23"/>
            <w:szCs w:val="23"/>
            <w:lang w:eastAsia="en-AU"/>
          </w:rPr>
          <w:t>COVID-19 Emergency Response Act 2020</w:t>
        </w:r>
      </w:hyperlink>
      <w:r w:rsidRPr="005F70F9">
        <w:rPr>
          <w:rFonts w:eastAsia="Times New Roman"/>
          <w:color w:val="000000"/>
          <w:sz w:val="23"/>
          <w:szCs w:val="23"/>
          <w:lang w:eastAsia="en-AU"/>
        </w:rPr>
        <w:t>; and</w:t>
      </w:r>
    </w:p>
    <w:p w:rsidR="005F70F9" w:rsidRPr="005F70F9" w:rsidRDefault="005F70F9" w:rsidP="005F70F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F70F9">
        <w:rPr>
          <w:rFonts w:eastAsia="Times New Roman"/>
          <w:color w:val="000000"/>
          <w:sz w:val="23"/>
          <w:szCs w:val="23"/>
          <w:lang w:eastAsia="en-AU"/>
        </w:rPr>
        <w:tab/>
        <w:t>(b)</w:t>
      </w:r>
      <w:r w:rsidRPr="005F70F9">
        <w:rPr>
          <w:rFonts w:eastAsia="Times New Roman"/>
          <w:color w:val="000000"/>
          <w:sz w:val="23"/>
          <w:szCs w:val="23"/>
          <w:lang w:eastAsia="en-AU"/>
        </w:rPr>
        <w:tab/>
        <w:t>all other terms appearing under a heading referring to a specified Act will have the same meaning as in the Act so specified.</w:t>
      </w: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2—Terms of appointment etc</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6"/>
      <w:bookmarkStart w:id="28" w:name="Elkera_Print_BK6"/>
      <w:r w:rsidRPr="005F70F9">
        <w:rPr>
          <w:rFonts w:eastAsia="Times New Roman"/>
          <w:b/>
          <w:bCs/>
          <w:color w:val="000000"/>
          <w:sz w:val="26"/>
          <w:szCs w:val="26"/>
          <w:lang w:eastAsia="en-AU"/>
        </w:rPr>
        <w:t xml:space="preserve">4—Appointment under </w:t>
      </w:r>
      <w:r w:rsidRPr="005F70F9">
        <w:rPr>
          <w:rFonts w:eastAsia="Times New Roman"/>
          <w:b/>
          <w:bCs/>
          <w:i/>
          <w:iCs/>
          <w:color w:val="000000"/>
          <w:sz w:val="26"/>
          <w:szCs w:val="26"/>
          <w:lang w:eastAsia="en-AU"/>
        </w:rPr>
        <w:t>South Australian Local Government Grants Commission Act 1992</w:t>
      </w:r>
      <w:bookmarkEnd w:id="27"/>
      <w:bookmarkEnd w:id="28"/>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In accordance with section 14 of the Act, the term of appointment of David James Burgess under section 9(1) of the </w:t>
      </w:r>
      <w:hyperlink r:id="rId22" w:history="1">
        <w:r w:rsidRPr="005F70F9">
          <w:rPr>
            <w:rFonts w:eastAsia="Times New Roman"/>
            <w:i/>
            <w:iCs/>
            <w:color w:val="000000"/>
            <w:sz w:val="23"/>
            <w:szCs w:val="23"/>
            <w:lang w:eastAsia="en-AU"/>
          </w:rPr>
          <w:t>South Australian Local Government Grants Commission Act 1992</w:t>
        </w:r>
      </w:hyperlink>
      <w:r w:rsidRPr="005F70F9">
        <w:rPr>
          <w:rFonts w:eastAsia="Times New Roman"/>
          <w:color w:val="000000"/>
          <w:sz w:val="23"/>
          <w:szCs w:val="23"/>
          <w:lang w:eastAsia="en-AU"/>
        </w:rPr>
        <w:t xml:space="preserve"> is extended by a period of 6 months (from the time at which that appointment would otherwise have ceased).</w:t>
      </w:r>
    </w:p>
    <w:p w:rsidR="005F70F9" w:rsidRPr="005F70F9" w:rsidRDefault="005F70F9" w:rsidP="005F70F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Pr>
          <w:rFonts w:eastAsia="Times New Roman"/>
          <w:b/>
          <w:bCs/>
          <w:color w:val="000000"/>
          <w:sz w:val="20"/>
          <w:szCs w:val="20"/>
          <w:lang w:eastAsia="en-AU"/>
        </w:rPr>
        <w:br w:type="page"/>
      </w:r>
      <w:r w:rsidRPr="005F70F9">
        <w:rPr>
          <w:rFonts w:eastAsia="Times New Roman"/>
          <w:b/>
          <w:bCs/>
          <w:color w:val="000000"/>
          <w:sz w:val="20"/>
          <w:szCs w:val="20"/>
          <w:lang w:eastAsia="en-AU"/>
        </w:rPr>
        <w:lastRenderedPageBreak/>
        <w:t>Note—</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0"/>
          <w:szCs w:val="20"/>
          <w:lang w:eastAsia="en-AU"/>
        </w:rPr>
      </w:pPr>
      <w:r w:rsidRPr="005F70F9">
        <w:rPr>
          <w:rFonts w:eastAsia="Times New Roman"/>
          <w:color w:val="000000"/>
          <w:sz w:val="20"/>
          <w:szCs w:val="20"/>
          <w:lang w:eastAsia="en-AU"/>
        </w:rPr>
        <w:t xml:space="preserve">As required by section 10AA(2) of the </w:t>
      </w:r>
      <w:hyperlink r:id="rId23" w:history="1">
        <w:r w:rsidRPr="005F70F9">
          <w:rPr>
            <w:rFonts w:eastAsia="Times New Roman"/>
            <w:i/>
            <w:iCs/>
            <w:color w:val="000000"/>
            <w:sz w:val="20"/>
            <w:szCs w:val="20"/>
            <w:lang w:eastAsia="en-AU"/>
          </w:rPr>
          <w:t>Subordinate Legislation Act 1978</w:t>
        </w:r>
      </w:hyperlink>
      <w:r w:rsidRPr="005F70F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F70F9" w:rsidRPr="005F70F9" w:rsidRDefault="005F70F9" w:rsidP="005F70F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70F9">
        <w:rPr>
          <w:rFonts w:eastAsia="Times New Roman"/>
          <w:b/>
          <w:bCs/>
          <w:color w:val="000000"/>
          <w:sz w:val="26"/>
          <w:szCs w:val="26"/>
          <w:lang w:eastAsia="en-AU"/>
        </w:rPr>
        <w:t>Made by the Governor</w:t>
      </w:r>
    </w:p>
    <w:p w:rsidR="005F70F9" w:rsidRP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with the advice and consent of the Executive Council</w:t>
      </w:r>
    </w:p>
    <w:p w:rsidR="005F70F9" w:rsidRPr="005F70F9" w:rsidRDefault="005F70F9" w:rsidP="005F70F9">
      <w:pPr>
        <w:keepNext/>
        <w:keepLines/>
        <w:autoSpaceDE w:val="0"/>
        <w:autoSpaceDN w:val="0"/>
        <w:adjustRightInd w:val="0"/>
        <w:spacing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on 21 May 2020</w:t>
      </w:r>
    </w:p>
    <w:p w:rsid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No 62 of 2020</w:t>
      </w:r>
    </w:p>
    <w:p w:rsidR="005F70F9" w:rsidRDefault="005F70F9" w:rsidP="005F70F9">
      <w:pPr>
        <w:pBdr>
          <w:bottom w:val="single" w:sz="4" w:space="1" w:color="auto"/>
        </w:pBdr>
        <w:spacing w:after="0" w:line="52" w:lineRule="exact"/>
        <w:jc w:val="center"/>
        <w:rPr>
          <w:rFonts w:eastAsia="Times New Roman"/>
          <w:color w:val="000000"/>
          <w:sz w:val="23"/>
          <w:szCs w:val="23"/>
          <w:lang w:eastAsia="en-AU"/>
        </w:rPr>
      </w:pPr>
    </w:p>
    <w:p w:rsidR="005F70F9" w:rsidRDefault="005F70F9" w:rsidP="005F70F9">
      <w:pPr>
        <w:pBdr>
          <w:top w:val="single" w:sz="4" w:space="1" w:color="auto"/>
        </w:pBdr>
        <w:spacing w:before="34" w:after="0" w:line="14" w:lineRule="exact"/>
        <w:jc w:val="center"/>
        <w:rPr>
          <w:rFonts w:eastAsia="Times New Roman"/>
          <w:color w:val="000000"/>
          <w:sz w:val="23"/>
          <w:szCs w:val="23"/>
          <w:lang w:eastAsia="en-AU"/>
        </w:rPr>
      </w:pPr>
    </w:p>
    <w:p w:rsidR="005F70F9" w:rsidRPr="005F70F9" w:rsidRDefault="005F70F9" w:rsidP="005F70F9">
      <w:pPr>
        <w:keepLines/>
        <w:autoSpaceDE w:val="0"/>
        <w:autoSpaceDN w:val="0"/>
        <w:adjustRightInd w:val="0"/>
        <w:spacing w:before="240" w:after="0" w:line="240" w:lineRule="auto"/>
        <w:rPr>
          <w:rFonts w:eastAsia="Times New Roman"/>
          <w:color w:val="000000"/>
          <w:sz w:val="28"/>
          <w:szCs w:val="28"/>
          <w:lang w:eastAsia="en-AU"/>
        </w:rPr>
      </w:pPr>
      <w:r>
        <w:br w:type="page"/>
      </w:r>
      <w:r w:rsidRPr="005F70F9">
        <w:rPr>
          <w:rFonts w:eastAsia="Times New Roman"/>
          <w:color w:val="000000"/>
          <w:sz w:val="28"/>
          <w:szCs w:val="28"/>
          <w:lang w:eastAsia="en-AU"/>
        </w:rPr>
        <w:lastRenderedPageBreak/>
        <w:t>South Australia</w:t>
      </w:r>
    </w:p>
    <w:p w:rsidR="005F70F9" w:rsidRPr="005F70F9" w:rsidRDefault="005F70F9" w:rsidP="00BB557D">
      <w:pPr>
        <w:pStyle w:val="Heading3"/>
        <w:rPr>
          <w:rFonts w:eastAsia="Times New Roman"/>
          <w:b w:val="0"/>
          <w:bCs w:val="0"/>
          <w:lang w:eastAsia="en-AU"/>
        </w:rPr>
      </w:pPr>
      <w:bookmarkStart w:id="29" w:name="_Toc40954859"/>
      <w:r w:rsidRPr="005F70F9">
        <w:rPr>
          <w:rFonts w:eastAsia="Times New Roman"/>
          <w:lang w:eastAsia="en-AU"/>
        </w:rPr>
        <w:t>Southern State Superannuation (Inactive Low Balance and Lost Member Accounts) Variation Regulations 2020</w:t>
      </w:r>
      <w:bookmarkEnd w:id="29"/>
    </w:p>
    <w:p w:rsidR="005F70F9" w:rsidRPr="005F70F9" w:rsidRDefault="005F70F9" w:rsidP="005F70F9">
      <w:pPr>
        <w:keepLines/>
        <w:autoSpaceDE w:val="0"/>
        <w:autoSpaceDN w:val="0"/>
        <w:adjustRightInd w:val="0"/>
        <w:spacing w:before="80" w:after="240" w:line="240" w:lineRule="auto"/>
        <w:jc w:val="left"/>
        <w:rPr>
          <w:rFonts w:eastAsia="Times New Roman"/>
          <w:color w:val="000000"/>
          <w:sz w:val="24"/>
          <w:szCs w:val="24"/>
          <w:lang w:eastAsia="en-AU"/>
        </w:rPr>
      </w:pPr>
      <w:r w:rsidRPr="005F70F9">
        <w:rPr>
          <w:rFonts w:eastAsia="Times New Roman"/>
          <w:color w:val="000000"/>
          <w:sz w:val="24"/>
          <w:szCs w:val="24"/>
          <w:lang w:eastAsia="en-AU"/>
        </w:rPr>
        <w:t xml:space="preserve">under the </w:t>
      </w:r>
      <w:r w:rsidRPr="005F70F9">
        <w:rPr>
          <w:rFonts w:eastAsia="Times New Roman"/>
          <w:i/>
          <w:iCs/>
          <w:color w:val="000000"/>
          <w:sz w:val="24"/>
          <w:szCs w:val="24"/>
          <w:lang w:eastAsia="en-AU"/>
        </w:rPr>
        <w:t>Southern State Superannuation Act 2009</w:t>
      </w:r>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Lines/>
        <w:autoSpaceDE w:val="0"/>
        <w:autoSpaceDN w:val="0"/>
        <w:adjustRightInd w:val="0"/>
        <w:spacing w:before="120" w:after="0" w:line="240" w:lineRule="auto"/>
        <w:jc w:val="left"/>
        <w:rPr>
          <w:rFonts w:eastAsia="Times New Roman"/>
          <w:b/>
          <w:bCs/>
          <w:color w:val="000000"/>
          <w:sz w:val="32"/>
          <w:szCs w:val="32"/>
          <w:lang w:eastAsia="en-AU"/>
        </w:rPr>
      </w:pPr>
      <w:r w:rsidRPr="005F70F9">
        <w:rPr>
          <w:rFonts w:eastAsia="Times New Roman"/>
          <w:b/>
          <w:bCs/>
          <w:color w:val="000000"/>
          <w:sz w:val="32"/>
          <w:szCs w:val="32"/>
          <w:lang w:eastAsia="en-AU"/>
        </w:rPr>
        <w:t>Contents</w:t>
      </w:r>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F70F9" w:rsidRPr="005F70F9">
          <w:rPr>
            <w:rFonts w:eastAsia="Times New Roman"/>
            <w:color w:val="000000"/>
            <w:sz w:val="28"/>
            <w:szCs w:val="28"/>
            <w:lang w:eastAsia="en-AU"/>
          </w:rPr>
          <w:t>Part 1—Preliminary</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F70F9" w:rsidRPr="005F70F9">
          <w:rPr>
            <w:rFonts w:eastAsia="Times New Roman"/>
            <w:color w:val="000000"/>
            <w:sz w:val="22"/>
            <w:lang w:eastAsia="en-AU"/>
          </w:rPr>
          <w:t>1</w:t>
        </w:r>
        <w:r w:rsidR="005F70F9" w:rsidRPr="005F70F9">
          <w:rPr>
            <w:rFonts w:eastAsia="Times New Roman"/>
            <w:color w:val="000000"/>
            <w:sz w:val="22"/>
            <w:lang w:eastAsia="en-AU"/>
          </w:rPr>
          <w:tab/>
          <w:t>Short title</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F70F9" w:rsidRPr="005F70F9">
          <w:rPr>
            <w:rFonts w:eastAsia="Times New Roman"/>
            <w:color w:val="000000"/>
            <w:sz w:val="22"/>
            <w:lang w:eastAsia="en-AU"/>
          </w:rPr>
          <w:t>2</w:t>
        </w:r>
        <w:r w:rsidR="005F70F9" w:rsidRPr="005F70F9">
          <w:rPr>
            <w:rFonts w:eastAsia="Times New Roman"/>
            <w:color w:val="000000"/>
            <w:sz w:val="22"/>
            <w:lang w:eastAsia="en-AU"/>
          </w:rPr>
          <w:tab/>
          <w:t>Commencement</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F70F9" w:rsidRPr="005F70F9">
          <w:rPr>
            <w:rFonts w:eastAsia="Times New Roman"/>
            <w:color w:val="000000"/>
            <w:sz w:val="22"/>
            <w:lang w:eastAsia="en-AU"/>
          </w:rPr>
          <w:t>3</w:t>
        </w:r>
        <w:r w:rsidR="005F70F9" w:rsidRPr="005F70F9">
          <w:rPr>
            <w:rFonts w:eastAsia="Times New Roman"/>
            <w:color w:val="000000"/>
            <w:sz w:val="22"/>
            <w:lang w:eastAsia="en-AU"/>
          </w:rPr>
          <w:tab/>
          <w:t>Variation provisions</w:t>
        </w:r>
      </w:hyperlink>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F70F9" w:rsidRPr="005F70F9">
          <w:rPr>
            <w:rFonts w:eastAsia="Times New Roman"/>
            <w:color w:val="000000"/>
            <w:sz w:val="28"/>
            <w:szCs w:val="28"/>
            <w:lang w:eastAsia="en-AU"/>
          </w:rPr>
          <w:t xml:space="preserve">Part 2—Variation of </w:t>
        </w:r>
        <w:r w:rsidR="005F70F9" w:rsidRPr="005F70F9">
          <w:rPr>
            <w:rFonts w:eastAsia="Times New Roman"/>
            <w:i/>
            <w:iCs/>
            <w:color w:val="000000"/>
            <w:sz w:val="28"/>
            <w:szCs w:val="28"/>
            <w:lang w:eastAsia="en-AU"/>
          </w:rPr>
          <w:t>Southern State Superannuation Regulations 2009</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F70F9" w:rsidRPr="005F70F9">
          <w:rPr>
            <w:rFonts w:eastAsia="Times New Roman"/>
            <w:color w:val="000000"/>
            <w:sz w:val="22"/>
            <w:lang w:eastAsia="en-AU"/>
          </w:rPr>
          <w:t>4</w:t>
        </w:r>
        <w:r w:rsidR="005F70F9" w:rsidRPr="005F70F9">
          <w:rPr>
            <w:rFonts w:eastAsia="Times New Roman"/>
            <w:color w:val="000000"/>
            <w:sz w:val="22"/>
            <w:lang w:eastAsia="en-AU"/>
          </w:rPr>
          <w:tab/>
          <w:t>Insertion of regulation 79</w:t>
        </w:r>
      </w:hyperlink>
    </w:p>
    <w:p w:rsidR="005F70F9" w:rsidRPr="005F70F9" w:rsidRDefault="00827BA8" w:rsidP="005F70F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5F70F9" w:rsidRPr="005F70F9">
          <w:rPr>
            <w:rFonts w:eastAsia="Times New Roman"/>
            <w:color w:val="000000"/>
            <w:sz w:val="18"/>
            <w:szCs w:val="18"/>
            <w:lang w:eastAsia="en-AU"/>
          </w:rPr>
          <w:t>79</w:t>
        </w:r>
        <w:r w:rsidR="005F70F9" w:rsidRPr="005F70F9">
          <w:rPr>
            <w:rFonts w:eastAsia="Times New Roman"/>
            <w:color w:val="000000"/>
            <w:sz w:val="18"/>
            <w:szCs w:val="18"/>
            <w:lang w:eastAsia="en-AU"/>
          </w:rPr>
          <w:tab/>
          <w:t>Inactive low balance and lost member accounts</w:t>
        </w:r>
      </w:hyperlink>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1—Preliminary</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1—Short title</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may be cited as the </w:t>
      </w:r>
      <w:r w:rsidRPr="005F70F9">
        <w:rPr>
          <w:rFonts w:eastAsia="Times New Roman"/>
          <w:i/>
          <w:iCs/>
          <w:color w:val="000000"/>
          <w:sz w:val="23"/>
          <w:szCs w:val="23"/>
          <w:lang w:eastAsia="en-AU"/>
        </w:rPr>
        <w:t>Southern State Superannuation (Inactive Low Balance and Lost Member Accounts) Variation Regulations 2020</w:t>
      </w:r>
      <w:r w:rsidRPr="005F70F9">
        <w:rPr>
          <w:rFonts w:eastAsia="Times New Roman"/>
          <w:color w:val="000000"/>
          <w:sz w:val="23"/>
          <w:szCs w:val="23"/>
          <w:lang w:eastAsia="en-AU"/>
        </w:rPr>
        <w:t>.</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2—Commencement</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come into operation 4 months after the day on which they are made (see section 10AA(1) of the </w:t>
      </w:r>
      <w:hyperlink r:id="rId24" w:history="1">
        <w:r w:rsidRPr="005F70F9">
          <w:rPr>
            <w:rFonts w:eastAsia="Times New Roman"/>
            <w:i/>
            <w:iCs/>
            <w:color w:val="000000"/>
            <w:sz w:val="23"/>
            <w:szCs w:val="23"/>
            <w:lang w:eastAsia="en-AU"/>
          </w:rPr>
          <w:t>Subordinate Legislation Act 1978</w:t>
        </w:r>
      </w:hyperlink>
      <w:r w:rsidRPr="005F70F9">
        <w:rPr>
          <w:rFonts w:eastAsia="Times New Roman"/>
          <w:color w:val="000000"/>
          <w:sz w:val="23"/>
          <w:szCs w:val="23"/>
          <w:lang w:eastAsia="en-AU"/>
        </w:rPr>
        <w:t>).</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3—Variation provisions</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In these regulations, a provision under a heading referring to the variation of specified regulations varies the regulations so specified.</w:t>
      </w: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 xml:space="preserve">Part 2—Variation of </w:t>
      </w:r>
      <w:r w:rsidRPr="005F70F9">
        <w:rPr>
          <w:rFonts w:eastAsia="Times New Roman"/>
          <w:b/>
          <w:bCs/>
          <w:i/>
          <w:iCs/>
          <w:color w:val="000000"/>
          <w:sz w:val="32"/>
          <w:szCs w:val="32"/>
          <w:lang w:eastAsia="en-AU"/>
        </w:rPr>
        <w:t>Southern State Superannuation Regulations 2009</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4—Insertion of regulation 79</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After regulation 78 insert:</w:t>
      </w:r>
    </w:p>
    <w:p w:rsidR="005F70F9" w:rsidRPr="005F70F9" w:rsidRDefault="005F70F9" w:rsidP="005F70F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F70F9">
        <w:rPr>
          <w:rFonts w:eastAsia="Times New Roman"/>
          <w:b/>
          <w:bCs/>
          <w:color w:val="000000"/>
          <w:sz w:val="26"/>
          <w:szCs w:val="26"/>
          <w:lang w:eastAsia="en-AU"/>
        </w:rPr>
        <w:t>79—Inactive low balance and lost member accounts</w:t>
      </w:r>
    </w:p>
    <w:p w:rsidR="005F70F9" w:rsidRPr="005F70F9" w:rsidRDefault="005F70F9" w:rsidP="005F70F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0" w:name="idcc0fec16_97f9_41cc_a2d2_f09ca416ee"/>
      <w:r w:rsidRPr="005F70F9">
        <w:rPr>
          <w:rFonts w:eastAsia="Times New Roman"/>
          <w:color w:val="000000"/>
          <w:sz w:val="23"/>
          <w:szCs w:val="23"/>
          <w:lang w:eastAsia="en-AU"/>
        </w:rPr>
        <w:tab/>
        <w:t>(1)</w:t>
      </w:r>
      <w:r w:rsidRPr="005F70F9">
        <w:rPr>
          <w:rFonts w:eastAsia="Times New Roman"/>
          <w:color w:val="000000"/>
          <w:sz w:val="23"/>
          <w:szCs w:val="23"/>
          <w:lang w:eastAsia="en-AU"/>
        </w:rPr>
        <w:tab/>
        <w:t xml:space="preserve">If an amount of the Fund is attributable to a lost member account or an inactive low balance account of a member or spouse member, the Treasurer may, in accordance with any relevant law of the Commonwealth and subject to </w:t>
      </w:r>
      <w:hyperlink w:anchor="id6812e8fe_5edb_4bd8_9134_4e96e986cc" w:history="1">
        <w:r w:rsidRPr="005F70F9">
          <w:rPr>
            <w:rFonts w:eastAsia="Times New Roman"/>
            <w:color w:val="000000"/>
            <w:sz w:val="23"/>
            <w:szCs w:val="23"/>
            <w:lang w:eastAsia="en-AU"/>
          </w:rPr>
          <w:t>subregulation (2)</w:t>
        </w:r>
      </w:hyperlink>
      <w:r w:rsidRPr="005F70F9">
        <w:rPr>
          <w:rFonts w:eastAsia="Times New Roman"/>
          <w:color w:val="000000"/>
          <w:sz w:val="23"/>
          <w:szCs w:val="23"/>
          <w:lang w:eastAsia="en-AU"/>
        </w:rPr>
        <w:t>, pay an amount equal to the residual balance of the lost member account or inactive low balance account to the Commissioner of Taxation.</w:t>
      </w:r>
      <w:bookmarkEnd w:id="30"/>
    </w:p>
    <w:p w:rsidR="005F70F9" w:rsidRPr="005F70F9" w:rsidRDefault="005F70F9" w:rsidP="005F70F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1" w:name="id6812e8fe_5edb_4bd8_9134_4e96e986cc"/>
      <w:r w:rsidRPr="005F70F9">
        <w:rPr>
          <w:rFonts w:eastAsia="Times New Roman"/>
          <w:color w:val="000000"/>
          <w:sz w:val="23"/>
          <w:szCs w:val="23"/>
          <w:lang w:eastAsia="en-AU"/>
        </w:rPr>
        <w:lastRenderedPageBreak/>
        <w:tab/>
        <w:t>(2)</w:t>
      </w:r>
      <w:r w:rsidRPr="005F70F9">
        <w:rPr>
          <w:rFonts w:eastAsia="Times New Roman"/>
          <w:color w:val="000000"/>
          <w:sz w:val="23"/>
          <w:szCs w:val="23"/>
          <w:lang w:eastAsia="en-AU"/>
        </w:rPr>
        <w:tab/>
        <w:t xml:space="preserve">The Board may determine that an amount of the Fund attributable to a lost member account or an inactive low balance account of a particular class or kind, or in respect of a particular member or class of member, that would be otherwise payable under </w:t>
      </w:r>
      <w:hyperlink w:anchor="idcc0fec16_97f9_41cc_a2d2_f09ca416ee" w:history="1">
        <w:r w:rsidRPr="005F70F9">
          <w:rPr>
            <w:rFonts w:eastAsia="Times New Roman"/>
            <w:color w:val="000000"/>
            <w:sz w:val="23"/>
            <w:szCs w:val="23"/>
            <w:lang w:eastAsia="en-AU"/>
          </w:rPr>
          <w:t>subregulation (1)</w:t>
        </w:r>
      </w:hyperlink>
      <w:r w:rsidRPr="005F70F9">
        <w:rPr>
          <w:rFonts w:eastAsia="Times New Roman"/>
          <w:color w:val="000000"/>
          <w:sz w:val="23"/>
          <w:szCs w:val="23"/>
          <w:lang w:eastAsia="en-AU"/>
        </w:rPr>
        <w:t>, is not to be paid in accordance with that subregulation.</w:t>
      </w:r>
      <w:bookmarkEnd w:id="31"/>
    </w:p>
    <w:p w:rsidR="005F70F9" w:rsidRPr="005F70F9" w:rsidRDefault="005F70F9" w:rsidP="005F70F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(3)</w:t>
      </w:r>
      <w:r w:rsidRPr="005F70F9">
        <w:rPr>
          <w:rFonts w:eastAsia="Times New Roman"/>
          <w:color w:val="000000"/>
          <w:sz w:val="23"/>
          <w:szCs w:val="23"/>
          <w:lang w:eastAsia="en-AU"/>
        </w:rPr>
        <w:tab/>
        <w:t xml:space="preserve">If a payment is made under </w:t>
      </w:r>
      <w:hyperlink w:anchor="idcc0fec16_97f9_41cc_a2d2_f09ca416ee" w:history="1">
        <w:r w:rsidRPr="005F70F9">
          <w:rPr>
            <w:rFonts w:eastAsia="Times New Roman"/>
            <w:color w:val="000000"/>
            <w:sz w:val="23"/>
            <w:szCs w:val="23"/>
            <w:lang w:eastAsia="en-AU"/>
          </w:rPr>
          <w:t>subregulation (1)</w:t>
        </w:r>
      </w:hyperlink>
      <w:r w:rsidRPr="005F70F9">
        <w:rPr>
          <w:rFonts w:eastAsia="Times New Roman"/>
          <w:color w:val="000000"/>
          <w:sz w:val="23"/>
          <w:szCs w:val="23"/>
          <w:lang w:eastAsia="en-AU"/>
        </w:rPr>
        <w:t>, the Treasurer must reimburse the Consolidated Account by charging the Fund with an amount equal to the residual balance of the lost member account or inactive low balance account (as the case requires).</w:t>
      </w:r>
    </w:p>
    <w:p w:rsidR="005F70F9" w:rsidRPr="005F70F9" w:rsidRDefault="005F70F9" w:rsidP="005F70F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(4)</w:t>
      </w:r>
      <w:r w:rsidRPr="005F70F9">
        <w:rPr>
          <w:rFonts w:eastAsia="Times New Roman"/>
          <w:color w:val="000000"/>
          <w:sz w:val="23"/>
          <w:szCs w:val="23"/>
          <w:lang w:eastAsia="en-AU"/>
        </w:rPr>
        <w:tab/>
        <w:t>The Board must then close the inactive low balance or lost member accounts (as the case requires) maintained by the Board in the name of the member or spouse member, after which—</w:t>
      </w:r>
    </w:p>
    <w:p w:rsidR="005F70F9" w:rsidRPr="005F70F9" w:rsidRDefault="005F70F9" w:rsidP="005F70F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(a)</w:t>
      </w:r>
      <w:r w:rsidRPr="005F70F9">
        <w:rPr>
          <w:rFonts w:eastAsia="Times New Roman"/>
          <w:color w:val="000000"/>
          <w:sz w:val="23"/>
          <w:szCs w:val="23"/>
          <w:lang w:eastAsia="en-AU"/>
        </w:rPr>
        <w:tab/>
        <w:t>if the Board maintains no other accounts in the name of the member or spouse member—</w:t>
      </w:r>
    </w:p>
    <w:p w:rsidR="005F70F9" w:rsidRPr="005F70F9" w:rsidRDefault="005F70F9" w:rsidP="005F70F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F70F9">
        <w:rPr>
          <w:rFonts w:eastAsia="Times New Roman"/>
          <w:color w:val="000000"/>
          <w:sz w:val="23"/>
          <w:szCs w:val="23"/>
          <w:lang w:eastAsia="en-AU"/>
        </w:rPr>
        <w:tab/>
        <w:t>(i)</w:t>
      </w:r>
      <w:r w:rsidRPr="005F70F9">
        <w:rPr>
          <w:rFonts w:eastAsia="Times New Roman"/>
          <w:color w:val="000000"/>
          <w:sz w:val="23"/>
          <w:szCs w:val="23"/>
          <w:lang w:eastAsia="en-AU"/>
        </w:rPr>
        <w:tab/>
        <w:t>they will cease to be a member or spouse member; and</w:t>
      </w:r>
    </w:p>
    <w:p w:rsidR="005F70F9" w:rsidRPr="005F70F9" w:rsidRDefault="005F70F9" w:rsidP="005F70F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F70F9">
        <w:rPr>
          <w:rFonts w:eastAsia="Times New Roman"/>
          <w:color w:val="000000"/>
          <w:sz w:val="23"/>
          <w:szCs w:val="23"/>
          <w:lang w:eastAsia="en-AU"/>
        </w:rPr>
        <w:tab/>
        <w:t>(ii)</w:t>
      </w:r>
      <w:r w:rsidRPr="005F70F9">
        <w:rPr>
          <w:rFonts w:eastAsia="Times New Roman"/>
          <w:color w:val="000000"/>
          <w:sz w:val="23"/>
          <w:szCs w:val="23"/>
          <w:lang w:eastAsia="en-AU"/>
        </w:rPr>
        <w:tab/>
        <w:t>any rights in relation to superannuation under the Act will be taken to have been exhausted and no derivative rights will exist in relation to the member or spouse member under the Act; or</w:t>
      </w:r>
    </w:p>
    <w:p w:rsidR="005F70F9" w:rsidRPr="005F70F9" w:rsidRDefault="005F70F9" w:rsidP="005F70F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(b)</w:t>
      </w:r>
      <w:r w:rsidRPr="005F70F9">
        <w:rPr>
          <w:rFonts w:eastAsia="Times New Roman"/>
          <w:color w:val="000000"/>
          <w:sz w:val="23"/>
          <w:szCs w:val="23"/>
          <w:lang w:eastAsia="en-AU"/>
        </w:rPr>
        <w:tab/>
        <w:t>in any other case—any rights in relation to superannuation in respect of an account to which this regulation applies will be taken to have been exhausted.</w:t>
      </w:r>
    </w:p>
    <w:p w:rsidR="005F70F9" w:rsidRPr="005F70F9" w:rsidRDefault="005F70F9" w:rsidP="005F70F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(5)</w:t>
      </w:r>
      <w:r w:rsidRPr="005F70F9">
        <w:rPr>
          <w:rFonts w:eastAsia="Times New Roman"/>
          <w:color w:val="000000"/>
          <w:sz w:val="23"/>
          <w:szCs w:val="23"/>
          <w:lang w:eastAsia="en-AU"/>
        </w:rPr>
        <w:tab/>
        <w:t>In this regulation—</w:t>
      </w:r>
    </w:p>
    <w:p w:rsidR="005F70F9" w:rsidRPr="005F70F9" w:rsidRDefault="005F70F9" w:rsidP="005F70F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5F70F9">
        <w:rPr>
          <w:rFonts w:eastAsia="Times New Roman"/>
          <w:b/>
          <w:bCs/>
          <w:i/>
          <w:iCs/>
          <w:color w:val="000000"/>
          <w:sz w:val="23"/>
          <w:szCs w:val="23"/>
          <w:lang w:eastAsia="en-AU"/>
        </w:rPr>
        <w:t>inactive low balance account</w:t>
      </w:r>
      <w:r w:rsidRPr="005F70F9">
        <w:rPr>
          <w:rFonts w:eastAsia="Times New Roman"/>
          <w:color w:val="000000"/>
          <w:sz w:val="23"/>
          <w:szCs w:val="23"/>
          <w:lang w:eastAsia="en-AU"/>
        </w:rPr>
        <w:t xml:space="preserve"> and </w:t>
      </w:r>
      <w:r w:rsidRPr="005F70F9">
        <w:rPr>
          <w:rFonts w:eastAsia="Times New Roman"/>
          <w:b/>
          <w:bCs/>
          <w:i/>
          <w:iCs/>
          <w:color w:val="000000"/>
          <w:sz w:val="23"/>
          <w:szCs w:val="23"/>
          <w:lang w:eastAsia="en-AU"/>
        </w:rPr>
        <w:t>lost member account</w:t>
      </w:r>
      <w:r w:rsidRPr="005F70F9">
        <w:rPr>
          <w:rFonts w:eastAsia="Times New Roman"/>
          <w:color w:val="000000"/>
          <w:sz w:val="23"/>
          <w:szCs w:val="23"/>
          <w:lang w:eastAsia="en-AU"/>
        </w:rPr>
        <w:t xml:space="preserve"> have the same respective meanings as in the </w:t>
      </w:r>
      <w:r w:rsidRPr="005F70F9">
        <w:rPr>
          <w:rFonts w:eastAsia="Times New Roman"/>
          <w:i/>
          <w:iCs/>
          <w:color w:val="000000"/>
          <w:sz w:val="23"/>
          <w:szCs w:val="23"/>
          <w:lang w:eastAsia="en-AU"/>
        </w:rPr>
        <w:t>Superannuation (Unclaimed Money and Lost Members) Act 1999</w:t>
      </w:r>
      <w:r w:rsidRPr="005F70F9">
        <w:rPr>
          <w:rFonts w:eastAsia="Times New Roman"/>
          <w:color w:val="000000"/>
          <w:sz w:val="23"/>
          <w:szCs w:val="23"/>
          <w:lang w:eastAsia="en-AU"/>
        </w:rPr>
        <w:t xml:space="preserve"> of the Commonwealth.</w:t>
      </w:r>
    </w:p>
    <w:p w:rsidR="005F70F9" w:rsidRPr="005F70F9" w:rsidRDefault="005F70F9" w:rsidP="005F70F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70F9">
        <w:rPr>
          <w:rFonts w:eastAsia="Times New Roman"/>
          <w:b/>
          <w:bCs/>
          <w:color w:val="000000"/>
          <w:sz w:val="26"/>
          <w:szCs w:val="26"/>
          <w:lang w:eastAsia="en-AU"/>
        </w:rPr>
        <w:t>Made by the Governor</w:t>
      </w:r>
    </w:p>
    <w:p w:rsidR="005F70F9" w:rsidRP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on the recommendation of the Treasurer after consultation with the Board and with the advice and consent of the Executive Council</w:t>
      </w:r>
    </w:p>
    <w:p w:rsidR="005F70F9" w:rsidRPr="005F70F9" w:rsidRDefault="005F70F9" w:rsidP="005F70F9">
      <w:pPr>
        <w:keepNext/>
        <w:keepLines/>
        <w:autoSpaceDE w:val="0"/>
        <w:autoSpaceDN w:val="0"/>
        <w:adjustRightInd w:val="0"/>
        <w:spacing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on 21 May 2020</w:t>
      </w:r>
    </w:p>
    <w:p w:rsid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No 63 of 2020</w:t>
      </w:r>
    </w:p>
    <w:p w:rsidR="005F70F9" w:rsidRDefault="005F70F9" w:rsidP="005F70F9">
      <w:pPr>
        <w:pBdr>
          <w:bottom w:val="single" w:sz="4" w:space="1" w:color="auto"/>
        </w:pBdr>
        <w:spacing w:after="0" w:line="52" w:lineRule="exact"/>
        <w:jc w:val="center"/>
        <w:rPr>
          <w:rFonts w:eastAsia="Times New Roman"/>
          <w:color w:val="000000"/>
          <w:sz w:val="23"/>
          <w:szCs w:val="23"/>
          <w:lang w:eastAsia="en-AU"/>
        </w:rPr>
      </w:pPr>
    </w:p>
    <w:p w:rsidR="005F70F9" w:rsidRDefault="005F70F9" w:rsidP="005F70F9">
      <w:pPr>
        <w:pBdr>
          <w:top w:val="single" w:sz="4" w:space="1" w:color="auto"/>
        </w:pBdr>
        <w:spacing w:before="34" w:after="0" w:line="14" w:lineRule="exact"/>
        <w:jc w:val="center"/>
        <w:rPr>
          <w:rFonts w:eastAsia="Times New Roman"/>
          <w:color w:val="000000"/>
          <w:sz w:val="23"/>
          <w:szCs w:val="23"/>
          <w:lang w:eastAsia="en-AU"/>
        </w:rPr>
      </w:pPr>
    </w:p>
    <w:p w:rsidR="005F70F9" w:rsidRPr="005F70F9" w:rsidRDefault="005F70F9" w:rsidP="005F70F9">
      <w:pPr>
        <w:keepLines/>
        <w:autoSpaceDE w:val="0"/>
        <w:autoSpaceDN w:val="0"/>
        <w:adjustRightInd w:val="0"/>
        <w:spacing w:before="240" w:after="0" w:line="240" w:lineRule="auto"/>
        <w:rPr>
          <w:rFonts w:eastAsia="Times New Roman"/>
          <w:color w:val="000000"/>
          <w:sz w:val="28"/>
          <w:szCs w:val="28"/>
          <w:lang w:eastAsia="en-AU"/>
        </w:rPr>
      </w:pPr>
      <w:r>
        <w:br w:type="page"/>
      </w:r>
      <w:r w:rsidRPr="005F70F9">
        <w:rPr>
          <w:rFonts w:eastAsia="Times New Roman"/>
          <w:color w:val="000000"/>
          <w:sz w:val="28"/>
          <w:szCs w:val="28"/>
          <w:lang w:eastAsia="en-AU"/>
        </w:rPr>
        <w:lastRenderedPageBreak/>
        <w:t>South Australia</w:t>
      </w:r>
    </w:p>
    <w:p w:rsidR="005F70F9" w:rsidRPr="005F70F9" w:rsidRDefault="005F70F9" w:rsidP="00BB557D">
      <w:pPr>
        <w:pStyle w:val="Heading3"/>
        <w:rPr>
          <w:rFonts w:eastAsia="Times New Roman"/>
          <w:b w:val="0"/>
          <w:bCs w:val="0"/>
          <w:lang w:eastAsia="en-AU"/>
        </w:rPr>
      </w:pPr>
      <w:bookmarkStart w:id="32" w:name="_Toc40954860"/>
      <w:r w:rsidRPr="005F70F9">
        <w:rPr>
          <w:rFonts w:eastAsia="Times New Roman"/>
          <w:lang w:eastAsia="en-AU"/>
        </w:rPr>
        <w:t>Superannuation (</w:t>
      </w:r>
      <w:r w:rsidRPr="00BB557D">
        <w:rPr>
          <w:lang w:eastAsia="en-AU"/>
        </w:rPr>
        <w:t>Prescribed</w:t>
      </w:r>
      <w:r w:rsidRPr="005F70F9">
        <w:rPr>
          <w:rFonts w:eastAsia="Times New Roman"/>
          <w:lang w:eastAsia="en-AU"/>
        </w:rPr>
        <w:t xml:space="preserve"> Authority) Variation Regulations 2020</w:t>
      </w:r>
      <w:bookmarkEnd w:id="32"/>
    </w:p>
    <w:p w:rsidR="005F70F9" w:rsidRPr="005F70F9" w:rsidRDefault="005F70F9" w:rsidP="005F70F9">
      <w:pPr>
        <w:keepLines/>
        <w:autoSpaceDE w:val="0"/>
        <w:autoSpaceDN w:val="0"/>
        <w:adjustRightInd w:val="0"/>
        <w:spacing w:before="80" w:after="240" w:line="240" w:lineRule="auto"/>
        <w:jc w:val="left"/>
        <w:rPr>
          <w:rFonts w:eastAsia="Times New Roman"/>
          <w:color w:val="000000"/>
          <w:sz w:val="24"/>
          <w:szCs w:val="24"/>
          <w:lang w:eastAsia="en-AU"/>
        </w:rPr>
      </w:pPr>
      <w:r w:rsidRPr="005F70F9">
        <w:rPr>
          <w:rFonts w:eastAsia="Times New Roman"/>
          <w:color w:val="000000"/>
          <w:sz w:val="24"/>
          <w:szCs w:val="24"/>
          <w:lang w:eastAsia="en-AU"/>
        </w:rPr>
        <w:t xml:space="preserve">under the </w:t>
      </w:r>
      <w:r w:rsidRPr="005F70F9">
        <w:rPr>
          <w:rFonts w:eastAsia="Times New Roman"/>
          <w:i/>
          <w:iCs/>
          <w:color w:val="000000"/>
          <w:sz w:val="24"/>
          <w:szCs w:val="24"/>
          <w:lang w:eastAsia="en-AU"/>
        </w:rPr>
        <w:t>Superannuation Act 1988</w:t>
      </w:r>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Lines/>
        <w:autoSpaceDE w:val="0"/>
        <w:autoSpaceDN w:val="0"/>
        <w:adjustRightInd w:val="0"/>
        <w:spacing w:before="120" w:after="0" w:line="240" w:lineRule="auto"/>
        <w:jc w:val="left"/>
        <w:rPr>
          <w:rFonts w:eastAsia="Times New Roman"/>
          <w:b/>
          <w:bCs/>
          <w:color w:val="000000"/>
          <w:sz w:val="32"/>
          <w:szCs w:val="32"/>
          <w:lang w:eastAsia="en-AU"/>
        </w:rPr>
      </w:pPr>
      <w:r w:rsidRPr="005F70F9">
        <w:rPr>
          <w:rFonts w:eastAsia="Times New Roman"/>
          <w:b/>
          <w:bCs/>
          <w:color w:val="000000"/>
          <w:sz w:val="32"/>
          <w:szCs w:val="32"/>
          <w:lang w:eastAsia="en-AU"/>
        </w:rPr>
        <w:t>Contents</w:t>
      </w:r>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F70F9" w:rsidRPr="005F70F9">
          <w:rPr>
            <w:rFonts w:eastAsia="Times New Roman"/>
            <w:color w:val="000000"/>
            <w:sz w:val="28"/>
            <w:szCs w:val="28"/>
            <w:lang w:eastAsia="en-AU"/>
          </w:rPr>
          <w:t>Part 1—Preliminary</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F70F9" w:rsidRPr="005F70F9">
          <w:rPr>
            <w:rFonts w:eastAsia="Times New Roman"/>
            <w:color w:val="000000"/>
            <w:sz w:val="22"/>
            <w:lang w:eastAsia="en-AU"/>
          </w:rPr>
          <w:t>1</w:t>
        </w:r>
        <w:r w:rsidR="005F70F9" w:rsidRPr="005F70F9">
          <w:rPr>
            <w:rFonts w:eastAsia="Times New Roman"/>
            <w:color w:val="000000"/>
            <w:sz w:val="22"/>
            <w:lang w:eastAsia="en-AU"/>
          </w:rPr>
          <w:tab/>
          <w:t>Short title</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F70F9" w:rsidRPr="005F70F9">
          <w:rPr>
            <w:rFonts w:eastAsia="Times New Roman"/>
            <w:color w:val="000000"/>
            <w:sz w:val="22"/>
            <w:lang w:eastAsia="en-AU"/>
          </w:rPr>
          <w:t>2</w:t>
        </w:r>
        <w:r w:rsidR="005F70F9" w:rsidRPr="005F70F9">
          <w:rPr>
            <w:rFonts w:eastAsia="Times New Roman"/>
            <w:color w:val="000000"/>
            <w:sz w:val="22"/>
            <w:lang w:eastAsia="en-AU"/>
          </w:rPr>
          <w:tab/>
          <w:t>Commencement</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F70F9" w:rsidRPr="005F70F9">
          <w:rPr>
            <w:rFonts w:eastAsia="Times New Roman"/>
            <w:color w:val="000000"/>
            <w:sz w:val="22"/>
            <w:lang w:eastAsia="en-AU"/>
          </w:rPr>
          <w:t>3</w:t>
        </w:r>
        <w:r w:rsidR="005F70F9" w:rsidRPr="005F70F9">
          <w:rPr>
            <w:rFonts w:eastAsia="Times New Roman"/>
            <w:color w:val="000000"/>
            <w:sz w:val="22"/>
            <w:lang w:eastAsia="en-AU"/>
          </w:rPr>
          <w:tab/>
          <w:t>Variation provisions</w:t>
        </w:r>
      </w:hyperlink>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F70F9" w:rsidRPr="005F70F9">
          <w:rPr>
            <w:rFonts w:eastAsia="Times New Roman"/>
            <w:color w:val="000000"/>
            <w:sz w:val="28"/>
            <w:szCs w:val="28"/>
            <w:lang w:eastAsia="en-AU"/>
          </w:rPr>
          <w:t xml:space="preserve">Part 2—Variation of </w:t>
        </w:r>
        <w:r w:rsidR="005F70F9" w:rsidRPr="005F70F9">
          <w:rPr>
            <w:rFonts w:eastAsia="Times New Roman"/>
            <w:i/>
            <w:iCs/>
            <w:color w:val="000000"/>
            <w:sz w:val="28"/>
            <w:szCs w:val="28"/>
            <w:lang w:eastAsia="en-AU"/>
          </w:rPr>
          <w:t>Superannuation Regulations 2016</w:t>
        </w:r>
      </w:hyperlink>
    </w:p>
    <w:p w:rsidR="005F70F9" w:rsidRPr="005F70F9" w:rsidRDefault="00827BA8" w:rsidP="005F70F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F70F9" w:rsidRPr="005F70F9">
          <w:rPr>
            <w:rFonts w:eastAsia="Times New Roman"/>
            <w:color w:val="000000"/>
            <w:sz w:val="22"/>
            <w:lang w:eastAsia="en-AU"/>
          </w:rPr>
          <w:t>4</w:t>
        </w:r>
        <w:r w:rsidR="005F70F9" w:rsidRPr="005F70F9">
          <w:rPr>
            <w:rFonts w:eastAsia="Times New Roman"/>
            <w:color w:val="000000"/>
            <w:sz w:val="22"/>
            <w:lang w:eastAsia="en-AU"/>
          </w:rPr>
          <w:tab/>
          <w:t>Variation of regulation 45—Prescribed authorities etc</w:t>
        </w:r>
      </w:hyperlink>
    </w:p>
    <w:p w:rsidR="005F70F9" w:rsidRPr="005F70F9" w:rsidRDefault="005F70F9" w:rsidP="005F70F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1—Preliminary</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1—Short title</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may be cited as the </w:t>
      </w:r>
      <w:r w:rsidRPr="005F70F9">
        <w:rPr>
          <w:rFonts w:eastAsia="Times New Roman"/>
          <w:i/>
          <w:iCs/>
          <w:color w:val="000000"/>
          <w:sz w:val="23"/>
          <w:szCs w:val="23"/>
          <w:lang w:eastAsia="en-AU"/>
        </w:rPr>
        <w:t>Superannuation (Prescribed Authority) Variation Regulations 2020</w:t>
      </w:r>
      <w:r w:rsidRPr="005F70F9">
        <w:rPr>
          <w:rFonts w:eastAsia="Times New Roman"/>
          <w:color w:val="000000"/>
          <w:sz w:val="23"/>
          <w:szCs w:val="23"/>
          <w:lang w:eastAsia="en-AU"/>
        </w:rPr>
        <w:t>.</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2—Commencement</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These regulations come into operation on 1 July 2020.</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3—Variation provisions</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In these regulations, a provision under a heading referring to the variation of specified regulations varies the regulations so specified.</w:t>
      </w: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 xml:space="preserve">Part 2—Variation of </w:t>
      </w:r>
      <w:r w:rsidRPr="005F70F9">
        <w:rPr>
          <w:rFonts w:eastAsia="Times New Roman"/>
          <w:b/>
          <w:bCs/>
          <w:i/>
          <w:iCs/>
          <w:color w:val="000000"/>
          <w:sz w:val="32"/>
          <w:szCs w:val="32"/>
          <w:lang w:eastAsia="en-AU"/>
        </w:rPr>
        <w:t>Superannuation Regulations 2016</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4—Variation of regulation 45—Prescribed authorities etc</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Regulation 45—after paragraph (n) insert:</w:t>
      </w:r>
    </w:p>
    <w:p w:rsidR="005F70F9" w:rsidRPr="005F70F9" w:rsidRDefault="005F70F9" w:rsidP="005F70F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(o)</w:t>
      </w:r>
      <w:r w:rsidRPr="005F70F9">
        <w:rPr>
          <w:rFonts w:eastAsia="Times New Roman"/>
          <w:color w:val="000000"/>
          <w:sz w:val="23"/>
          <w:szCs w:val="23"/>
          <w:lang w:eastAsia="en-AU"/>
        </w:rPr>
        <w:tab/>
        <w:t>Adelaide Metro Operations Pty Ltd.</w:t>
      </w:r>
    </w:p>
    <w:p w:rsidR="005F70F9" w:rsidRPr="005F70F9" w:rsidRDefault="005F70F9" w:rsidP="005F70F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F70F9">
        <w:rPr>
          <w:rFonts w:eastAsia="Times New Roman"/>
          <w:b/>
          <w:bCs/>
          <w:color w:val="000000"/>
          <w:sz w:val="20"/>
          <w:szCs w:val="20"/>
          <w:lang w:eastAsia="en-AU"/>
        </w:rPr>
        <w:t>Note—</w:t>
      </w:r>
    </w:p>
    <w:p w:rsidR="005F70F9" w:rsidRPr="005F70F9" w:rsidRDefault="005F70F9" w:rsidP="005F70F9">
      <w:pPr>
        <w:keepLines/>
        <w:autoSpaceDE w:val="0"/>
        <w:autoSpaceDN w:val="0"/>
        <w:adjustRightInd w:val="0"/>
        <w:spacing w:before="120" w:after="0" w:line="240" w:lineRule="auto"/>
        <w:ind w:left="794"/>
        <w:jc w:val="left"/>
        <w:rPr>
          <w:rFonts w:eastAsia="Times New Roman"/>
          <w:color w:val="000000"/>
          <w:sz w:val="20"/>
          <w:szCs w:val="20"/>
          <w:lang w:eastAsia="en-AU"/>
        </w:rPr>
      </w:pPr>
      <w:r w:rsidRPr="005F70F9">
        <w:rPr>
          <w:rFonts w:eastAsia="Times New Roman"/>
          <w:color w:val="000000"/>
          <w:sz w:val="20"/>
          <w:szCs w:val="20"/>
          <w:lang w:eastAsia="en-AU"/>
        </w:rPr>
        <w:t xml:space="preserve">As required by section 10AA(2) of the </w:t>
      </w:r>
      <w:hyperlink r:id="rId25" w:history="1">
        <w:r w:rsidRPr="005F70F9">
          <w:rPr>
            <w:rFonts w:eastAsia="Times New Roman"/>
            <w:i/>
            <w:iCs/>
            <w:color w:val="000000"/>
            <w:sz w:val="20"/>
            <w:szCs w:val="20"/>
            <w:lang w:eastAsia="en-AU"/>
          </w:rPr>
          <w:t>Subordinate Legislation Act 1978</w:t>
        </w:r>
      </w:hyperlink>
      <w:r w:rsidRPr="005F70F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F70F9" w:rsidRPr="005F70F9" w:rsidRDefault="005F70F9" w:rsidP="005F70F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70F9">
        <w:rPr>
          <w:rFonts w:eastAsia="Times New Roman"/>
          <w:b/>
          <w:bCs/>
          <w:color w:val="000000"/>
          <w:sz w:val="26"/>
          <w:szCs w:val="26"/>
          <w:lang w:eastAsia="en-AU"/>
        </w:rPr>
        <w:t>Made by the Governor</w:t>
      </w:r>
    </w:p>
    <w:p w:rsidR="005F70F9" w:rsidRP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with the advice and consent of the Executive Council</w:t>
      </w:r>
    </w:p>
    <w:p w:rsidR="005F70F9" w:rsidRPr="005F70F9" w:rsidRDefault="005F70F9" w:rsidP="005F70F9">
      <w:pPr>
        <w:keepNext/>
        <w:keepLines/>
        <w:autoSpaceDE w:val="0"/>
        <w:autoSpaceDN w:val="0"/>
        <w:adjustRightInd w:val="0"/>
        <w:spacing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on 21 May 2020</w:t>
      </w:r>
    </w:p>
    <w:p w:rsid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No 64 of 2020</w:t>
      </w:r>
    </w:p>
    <w:p w:rsidR="005F70F9" w:rsidRDefault="005F70F9" w:rsidP="005F70F9">
      <w:pPr>
        <w:pBdr>
          <w:bottom w:val="single" w:sz="4" w:space="1" w:color="auto"/>
        </w:pBdr>
        <w:spacing w:after="0" w:line="52" w:lineRule="exact"/>
        <w:jc w:val="center"/>
        <w:rPr>
          <w:rFonts w:eastAsia="Times New Roman"/>
          <w:color w:val="000000"/>
          <w:sz w:val="23"/>
          <w:szCs w:val="23"/>
          <w:lang w:eastAsia="en-AU"/>
        </w:rPr>
      </w:pPr>
    </w:p>
    <w:p w:rsidR="005F70F9" w:rsidRDefault="005F70F9" w:rsidP="005F70F9">
      <w:pPr>
        <w:pBdr>
          <w:top w:val="single" w:sz="4" w:space="1" w:color="auto"/>
        </w:pBdr>
        <w:spacing w:before="34" w:after="0" w:line="14" w:lineRule="exact"/>
        <w:jc w:val="center"/>
        <w:rPr>
          <w:rFonts w:eastAsia="Times New Roman"/>
          <w:color w:val="000000"/>
          <w:sz w:val="23"/>
          <w:szCs w:val="23"/>
          <w:lang w:eastAsia="en-AU"/>
        </w:rPr>
      </w:pPr>
    </w:p>
    <w:p w:rsidR="005F70F9" w:rsidRPr="005F70F9" w:rsidRDefault="005F70F9" w:rsidP="005F70F9">
      <w:pPr>
        <w:keepNext/>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5F70F9">
        <w:rPr>
          <w:rFonts w:eastAsia="Times New Roman"/>
          <w:color w:val="000000"/>
          <w:sz w:val="28"/>
          <w:szCs w:val="28"/>
          <w:lang w:eastAsia="en-AU"/>
        </w:rPr>
        <w:lastRenderedPageBreak/>
        <w:t>South Australia</w:t>
      </w:r>
    </w:p>
    <w:p w:rsidR="005F70F9" w:rsidRPr="005F70F9" w:rsidRDefault="005F70F9" w:rsidP="00BB557D">
      <w:pPr>
        <w:pStyle w:val="Heading3"/>
        <w:rPr>
          <w:rFonts w:eastAsia="Times New Roman"/>
          <w:b w:val="0"/>
          <w:bCs w:val="0"/>
          <w:lang w:eastAsia="en-AU"/>
        </w:rPr>
      </w:pPr>
      <w:bookmarkStart w:id="33" w:name="_Toc40954861"/>
      <w:r w:rsidRPr="005F70F9">
        <w:rPr>
          <w:rFonts w:eastAsia="Times New Roman"/>
          <w:lang w:eastAsia="en-AU"/>
        </w:rPr>
        <w:t>Legal Practitioners (</w:t>
      </w:r>
      <w:r w:rsidRPr="00BB557D">
        <w:rPr>
          <w:lang w:eastAsia="en-AU"/>
        </w:rPr>
        <w:t>Foreign</w:t>
      </w:r>
      <w:r w:rsidRPr="005F70F9">
        <w:rPr>
          <w:rFonts w:eastAsia="Times New Roman"/>
          <w:lang w:eastAsia="en-AU"/>
        </w:rPr>
        <w:t xml:space="preserve"> Lawyers) Variation Regulations 2020</w:t>
      </w:r>
      <w:bookmarkEnd w:id="33"/>
    </w:p>
    <w:p w:rsidR="005F70F9" w:rsidRPr="005F70F9" w:rsidRDefault="005F70F9" w:rsidP="005F70F9">
      <w:pPr>
        <w:keepNext/>
        <w:keepLines/>
        <w:autoSpaceDE w:val="0"/>
        <w:autoSpaceDN w:val="0"/>
        <w:adjustRightInd w:val="0"/>
        <w:spacing w:before="80" w:after="240" w:line="240" w:lineRule="auto"/>
        <w:jc w:val="left"/>
        <w:rPr>
          <w:rFonts w:eastAsia="Times New Roman"/>
          <w:color w:val="000000"/>
          <w:sz w:val="24"/>
          <w:szCs w:val="24"/>
          <w:lang w:eastAsia="en-AU"/>
        </w:rPr>
      </w:pPr>
      <w:r w:rsidRPr="005F70F9">
        <w:rPr>
          <w:rFonts w:eastAsia="Times New Roman"/>
          <w:color w:val="000000"/>
          <w:sz w:val="24"/>
          <w:szCs w:val="24"/>
          <w:lang w:eastAsia="en-AU"/>
        </w:rPr>
        <w:t xml:space="preserve">under the </w:t>
      </w:r>
      <w:r w:rsidRPr="005F70F9">
        <w:rPr>
          <w:rFonts w:eastAsia="Times New Roman"/>
          <w:i/>
          <w:iCs/>
          <w:color w:val="000000"/>
          <w:sz w:val="24"/>
          <w:szCs w:val="24"/>
          <w:lang w:eastAsia="en-AU"/>
        </w:rPr>
        <w:t>Legal Practitioners Act 1981</w:t>
      </w:r>
    </w:p>
    <w:p w:rsidR="005F70F9" w:rsidRPr="005F70F9" w:rsidRDefault="005F70F9" w:rsidP="005F70F9">
      <w:pPr>
        <w:keepNext/>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5F70F9">
        <w:rPr>
          <w:rFonts w:eastAsia="Times New Roman"/>
          <w:b/>
          <w:bCs/>
          <w:color w:val="000000"/>
          <w:sz w:val="32"/>
          <w:szCs w:val="32"/>
          <w:lang w:eastAsia="en-AU"/>
        </w:rPr>
        <w:t>Contents</w:t>
      </w:r>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F70F9" w:rsidRPr="005F70F9">
          <w:rPr>
            <w:rFonts w:eastAsia="Times New Roman"/>
            <w:color w:val="000000"/>
            <w:sz w:val="28"/>
            <w:szCs w:val="28"/>
            <w:lang w:eastAsia="en-AU"/>
          </w:rPr>
          <w:t>Part 1—Preliminary</w:t>
        </w:r>
      </w:hyperlink>
    </w:p>
    <w:p w:rsidR="005F70F9" w:rsidRPr="005F70F9" w:rsidRDefault="00827BA8" w:rsidP="005F70F9">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F70F9" w:rsidRPr="005F70F9">
          <w:rPr>
            <w:rFonts w:eastAsia="Times New Roman"/>
            <w:color w:val="000000"/>
            <w:sz w:val="22"/>
            <w:lang w:eastAsia="en-AU"/>
          </w:rPr>
          <w:t>1</w:t>
        </w:r>
        <w:r w:rsidR="005F70F9" w:rsidRPr="005F70F9">
          <w:rPr>
            <w:rFonts w:eastAsia="Times New Roman"/>
            <w:color w:val="000000"/>
            <w:sz w:val="22"/>
            <w:lang w:eastAsia="en-AU"/>
          </w:rPr>
          <w:tab/>
          <w:t>Short title</w:t>
        </w:r>
      </w:hyperlink>
    </w:p>
    <w:p w:rsidR="005F70F9" w:rsidRPr="005F70F9" w:rsidRDefault="00827BA8" w:rsidP="005F70F9">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F70F9" w:rsidRPr="005F70F9">
          <w:rPr>
            <w:rFonts w:eastAsia="Times New Roman"/>
            <w:color w:val="000000"/>
            <w:sz w:val="22"/>
            <w:lang w:eastAsia="en-AU"/>
          </w:rPr>
          <w:t>2</w:t>
        </w:r>
        <w:r w:rsidR="005F70F9" w:rsidRPr="005F70F9">
          <w:rPr>
            <w:rFonts w:eastAsia="Times New Roman"/>
            <w:color w:val="000000"/>
            <w:sz w:val="22"/>
            <w:lang w:eastAsia="en-AU"/>
          </w:rPr>
          <w:tab/>
          <w:t>Commencement</w:t>
        </w:r>
      </w:hyperlink>
    </w:p>
    <w:p w:rsidR="005F70F9" w:rsidRPr="005F70F9" w:rsidRDefault="00827BA8" w:rsidP="005F70F9">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F70F9" w:rsidRPr="005F70F9">
          <w:rPr>
            <w:rFonts w:eastAsia="Times New Roman"/>
            <w:color w:val="000000"/>
            <w:sz w:val="22"/>
            <w:lang w:eastAsia="en-AU"/>
          </w:rPr>
          <w:t>3</w:t>
        </w:r>
        <w:r w:rsidR="005F70F9" w:rsidRPr="005F70F9">
          <w:rPr>
            <w:rFonts w:eastAsia="Times New Roman"/>
            <w:color w:val="000000"/>
            <w:sz w:val="22"/>
            <w:lang w:eastAsia="en-AU"/>
          </w:rPr>
          <w:tab/>
          <w:t>Variation provisions</w:t>
        </w:r>
      </w:hyperlink>
    </w:p>
    <w:p w:rsidR="005F70F9" w:rsidRPr="005F70F9" w:rsidRDefault="00827BA8" w:rsidP="005F70F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F70F9" w:rsidRPr="005F70F9">
          <w:rPr>
            <w:rFonts w:eastAsia="Times New Roman"/>
            <w:color w:val="000000"/>
            <w:sz w:val="28"/>
            <w:szCs w:val="28"/>
            <w:lang w:eastAsia="en-AU"/>
          </w:rPr>
          <w:t xml:space="preserve">Part 2—Variation of </w:t>
        </w:r>
        <w:r w:rsidR="005F70F9" w:rsidRPr="005F70F9">
          <w:rPr>
            <w:rFonts w:eastAsia="Times New Roman"/>
            <w:i/>
            <w:iCs/>
            <w:color w:val="000000"/>
            <w:sz w:val="28"/>
            <w:szCs w:val="28"/>
            <w:lang w:eastAsia="en-AU"/>
          </w:rPr>
          <w:t>Legal Practitioners Regulations 2014</w:t>
        </w:r>
      </w:hyperlink>
    </w:p>
    <w:p w:rsidR="005F70F9" w:rsidRPr="005F70F9" w:rsidRDefault="00827BA8" w:rsidP="005F70F9">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F70F9" w:rsidRPr="005F70F9">
          <w:rPr>
            <w:rFonts w:eastAsia="Times New Roman"/>
            <w:color w:val="000000"/>
            <w:sz w:val="22"/>
            <w:lang w:eastAsia="en-AU"/>
          </w:rPr>
          <w:t>4</w:t>
        </w:r>
        <w:r w:rsidR="005F70F9" w:rsidRPr="005F70F9">
          <w:rPr>
            <w:rFonts w:eastAsia="Times New Roman"/>
            <w:color w:val="000000"/>
            <w:sz w:val="22"/>
            <w:lang w:eastAsia="en-AU"/>
          </w:rPr>
          <w:tab/>
          <w:t>Revocation of regulation 11</w:t>
        </w:r>
      </w:hyperlink>
    </w:p>
    <w:p w:rsidR="005F70F9" w:rsidRPr="005F70F9" w:rsidRDefault="00827BA8" w:rsidP="005F70F9">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5F70F9" w:rsidRPr="005F70F9">
          <w:rPr>
            <w:rFonts w:eastAsia="Times New Roman"/>
            <w:color w:val="000000"/>
            <w:sz w:val="22"/>
            <w:lang w:eastAsia="en-AU"/>
          </w:rPr>
          <w:t>5</w:t>
        </w:r>
        <w:r w:rsidR="005F70F9" w:rsidRPr="005F70F9">
          <w:rPr>
            <w:rFonts w:eastAsia="Times New Roman"/>
            <w:color w:val="000000"/>
            <w:sz w:val="22"/>
            <w:lang w:eastAsia="en-AU"/>
          </w:rPr>
          <w:tab/>
          <w:t>Insertion of new Part</w:t>
        </w:r>
      </w:hyperlink>
    </w:p>
    <w:p w:rsidR="005F70F9" w:rsidRPr="005F70F9" w:rsidRDefault="00827BA8" w:rsidP="005F70F9">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8" w:history="1">
        <w:r w:rsidR="005F70F9" w:rsidRPr="005F70F9">
          <w:rPr>
            <w:rFonts w:eastAsia="Times New Roman"/>
            <w:color w:val="000000"/>
            <w:sz w:val="24"/>
            <w:szCs w:val="24"/>
            <w:lang w:eastAsia="en-AU"/>
          </w:rPr>
          <w:t>Part 5A—Practice of foreign law</w:t>
        </w:r>
      </w:hyperlink>
    </w:p>
    <w:p w:rsidR="005F70F9" w:rsidRPr="005F70F9" w:rsidRDefault="00827BA8" w:rsidP="005F70F9">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5F70F9" w:rsidRPr="005F70F9">
          <w:rPr>
            <w:rFonts w:eastAsia="Times New Roman"/>
            <w:color w:val="000000"/>
            <w:sz w:val="18"/>
            <w:szCs w:val="18"/>
            <w:lang w:eastAsia="en-AU"/>
          </w:rPr>
          <w:t>11</w:t>
        </w:r>
        <w:r w:rsidR="005F70F9" w:rsidRPr="005F70F9">
          <w:rPr>
            <w:rFonts w:eastAsia="Times New Roman"/>
            <w:color w:val="000000"/>
            <w:sz w:val="18"/>
            <w:szCs w:val="18"/>
            <w:lang w:eastAsia="en-AU"/>
          </w:rPr>
          <w:tab/>
          <w:t>Prescribed dispute resolution</w:t>
        </w:r>
      </w:hyperlink>
    </w:p>
    <w:p w:rsidR="005F70F9" w:rsidRPr="005F70F9" w:rsidRDefault="00827BA8" w:rsidP="005F70F9">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5F70F9" w:rsidRPr="005F70F9">
          <w:rPr>
            <w:rFonts w:eastAsia="Times New Roman"/>
            <w:color w:val="000000"/>
            <w:sz w:val="18"/>
            <w:szCs w:val="18"/>
            <w:lang w:eastAsia="en-AU"/>
          </w:rPr>
          <w:t>11A</w:t>
        </w:r>
        <w:r w:rsidR="005F70F9" w:rsidRPr="005F70F9">
          <w:rPr>
            <w:rFonts w:eastAsia="Times New Roman"/>
            <w:color w:val="000000"/>
            <w:sz w:val="18"/>
            <w:szCs w:val="18"/>
            <w:lang w:eastAsia="en-AU"/>
          </w:rPr>
          <w:tab/>
          <w:t>Fidelity Fund</w:t>
        </w:r>
      </w:hyperlink>
    </w:p>
    <w:p w:rsidR="005F70F9" w:rsidRPr="005F70F9" w:rsidRDefault="005F70F9" w:rsidP="005F70F9">
      <w:pPr>
        <w:keepNext/>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1—Preliminary</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1—Short title</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may be cited as the </w:t>
      </w:r>
      <w:r w:rsidRPr="005F70F9">
        <w:rPr>
          <w:rFonts w:eastAsia="Times New Roman"/>
          <w:i/>
          <w:iCs/>
          <w:color w:val="000000"/>
          <w:sz w:val="23"/>
          <w:szCs w:val="23"/>
          <w:lang w:eastAsia="en-AU"/>
        </w:rPr>
        <w:t>Legal Practitioners (Foreign Lawyers) Variation Regulations 2020</w:t>
      </w:r>
      <w:r w:rsidRPr="005F70F9">
        <w:rPr>
          <w:rFonts w:eastAsia="Times New Roman"/>
          <w:color w:val="000000"/>
          <w:sz w:val="23"/>
          <w:szCs w:val="23"/>
          <w:lang w:eastAsia="en-AU"/>
        </w:rPr>
        <w:t>.</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2—Commencement</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 xml:space="preserve">These regulations come into operation on the day on which section 16 of the </w:t>
      </w:r>
      <w:hyperlink r:id="rId26" w:history="1">
        <w:r w:rsidRPr="005F70F9">
          <w:rPr>
            <w:rFonts w:eastAsia="Times New Roman"/>
            <w:i/>
            <w:iCs/>
            <w:color w:val="000000"/>
            <w:sz w:val="23"/>
            <w:szCs w:val="23"/>
            <w:lang w:eastAsia="en-AU"/>
          </w:rPr>
          <w:t>Legal Practitioners (Foreign Lawyers and Other Matters) Amendment Act 2019</w:t>
        </w:r>
      </w:hyperlink>
      <w:r w:rsidRPr="005F70F9">
        <w:rPr>
          <w:rFonts w:eastAsia="Times New Roman"/>
          <w:color w:val="000000"/>
          <w:sz w:val="23"/>
          <w:szCs w:val="23"/>
          <w:lang w:eastAsia="en-AU"/>
        </w:rPr>
        <w:t xml:space="preserve"> comes into operation.</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3—Variation provisions</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In these regulations, a provision under a heading referring to the variation of specified regulations varies the regulations so specified.</w:t>
      </w:r>
    </w:p>
    <w:p w:rsidR="005F70F9" w:rsidRPr="005F70F9" w:rsidRDefault="005F70F9" w:rsidP="005F70F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F70F9">
        <w:rPr>
          <w:rFonts w:eastAsia="Times New Roman"/>
          <w:b/>
          <w:bCs/>
          <w:color w:val="000000"/>
          <w:sz w:val="32"/>
          <w:szCs w:val="32"/>
          <w:lang w:eastAsia="en-AU"/>
        </w:rPr>
        <w:t xml:space="preserve">Part 2—Variation of </w:t>
      </w:r>
      <w:r w:rsidRPr="005F70F9">
        <w:rPr>
          <w:rFonts w:eastAsia="Times New Roman"/>
          <w:b/>
          <w:bCs/>
          <w:i/>
          <w:iCs/>
          <w:color w:val="000000"/>
          <w:sz w:val="32"/>
          <w:szCs w:val="32"/>
          <w:lang w:eastAsia="en-AU"/>
        </w:rPr>
        <w:t>Legal Practitioners Regulations 2014</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F70F9">
        <w:rPr>
          <w:rFonts w:eastAsia="Times New Roman"/>
          <w:b/>
          <w:bCs/>
          <w:color w:val="000000"/>
          <w:sz w:val="26"/>
          <w:szCs w:val="26"/>
          <w:lang w:eastAsia="en-AU"/>
        </w:rPr>
        <w:t>4—Revocation of regulation 11</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Regulation 11—delete the regulation</w:t>
      </w:r>
    </w:p>
    <w:p w:rsidR="005F70F9" w:rsidRPr="005F70F9" w:rsidRDefault="005F70F9" w:rsidP="005F70F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4" w:name="Elkera_Print_TOC7"/>
      <w:bookmarkStart w:id="35" w:name="Elkera_Print_BK7"/>
      <w:r w:rsidRPr="005F70F9">
        <w:rPr>
          <w:rFonts w:eastAsia="Times New Roman"/>
          <w:b/>
          <w:bCs/>
          <w:color w:val="000000"/>
          <w:sz w:val="26"/>
          <w:szCs w:val="26"/>
          <w:lang w:eastAsia="en-AU"/>
        </w:rPr>
        <w:t>5—Insertion of new Part</w:t>
      </w:r>
      <w:bookmarkEnd w:id="34"/>
      <w:bookmarkEnd w:id="35"/>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F70F9">
        <w:rPr>
          <w:rFonts w:eastAsia="Times New Roman"/>
          <w:color w:val="000000"/>
          <w:sz w:val="23"/>
          <w:szCs w:val="23"/>
          <w:lang w:eastAsia="en-AU"/>
        </w:rPr>
        <w:t>After Part 5 insert:</w:t>
      </w:r>
    </w:p>
    <w:p w:rsidR="005F70F9" w:rsidRPr="005F70F9" w:rsidRDefault="005F70F9" w:rsidP="005F70F9">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5F70F9">
        <w:rPr>
          <w:rFonts w:eastAsia="Times New Roman"/>
          <w:b/>
          <w:bCs/>
          <w:color w:val="000000"/>
          <w:sz w:val="32"/>
          <w:szCs w:val="32"/>
          <w:lang w:eastAsia="en-AU"/>
        </w:rPr>
        <w:t>Part 5A—Practice of foreign law</w:t>
      </w:r>
    </w:p>
    <w:p w:rsidR="005F70F9" w:rsidRPr="005F70F9" w:rsidRDefault="00B13846" w:rsidP="005F70F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Pr>
          <w:rFonts w:eastAsia="Times New Roman"/>
          <w:b/>
          <w:bCs/>
          <w:color w:val="000000"/>
          <w:sz w:val="26"/>
          <w:szCs w:val="26"/>
          <w:lang w:eastAsia="en-AU"/>
        </w:rPr>
        <w:br w:type="page"/>
      </w:r>
      <w:r w:rsidR="005F70F9" w:rsidRPr="005F70F9">
        <w:rPr>
          <w:rFonts w:eastAsia="Times New Roman"/>
          <w:b/>
          <w:bCs/>
          <w:color w:val="000000"/>
          <w:sz w:val="26"/>
          <w:szCs w:val="26"/>
          <w:lang w:eastAsia="en-AU"/>
        </w:rPr>
        <w:lastRenderedPageBreak/>
        <w:t>11—Prescribed dispute resolution</w:t>
      </w:r>
    </w:p>
    <w:p w:rsidR="005F70F9" w:rsidRPr="005F70F9" w:rsidRDefault="005F70F9" w:rsidP="005F70F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(1)</w:t>
      </w:r>
      <w:r w:rsidRPr="005F70F9">
        <w:rPr>
          <w:rFonts w:eastAsia="Times New Roman"/>
          <w:color w:val="000000"/>
          <w:sz w:val="23"/>
          <w:szCs w:val="23"/>
          <w:lang w:eastAsia="en-AU"/>
        </w:rPr>
        <w:tab/>
        <w:t>For the purposes of Schedule 1A clause 6(1)(b) of the Act, an arbitration proceeding is prescribed if, in the proceeding—</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(a)</w:t>
      </w:r>
      <w:r w:rsidRPr="005F70F9">
        <w:rPr>
          <w:rFonts w:eastAsia="Times New Roman"/>
          <w:color w:val="000000"/>
          <w:sz w:val="23"/>
          <w:szCs w:val="23"/>
          <w:lang w:eastAsia="en-AU"/>
        </w:rPr>
        <w:tab/>
        <w:t>the arbitrator is not required to apply the rules of evidence; and</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(b)</w:t>
      </w:r>
      <w:r w:rsidRPr="005F70F9">
        <w:rPr>
          <w:rFonts w:eastAsia="Times New Roman"/>
          <w:color w:val="000000"/>
          <w:sz w:val="23"/>
          <w:szCs w:val="23"/>
          <w:lang w:eastAsia="en-AU"/>
        </w:rPr>
        <w:tab/>
        <w:t>knowledge of Australian law is not essential.</w:t>
      </w:r>
    </w:p>
    <w:p w:rsidR="005F70F9" w:rsidRPr="005F70F9" w:rsidRDefault="005F70F9" w:rsidP="005F70F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(2)</w:t>
      </w:r>
      <w:r w:rsidRPr="005F70F9">
        <w:rPr>
          <w:rFonts w:eastAsia="Times New Roman"/>
          <w:color w:val="000000"/>
          <w:sz w:val="23"/>
          <w:szCs w:val="23"/>
          <w:lang w:eastAsia="en-AU"/>
        </w:rPr>
        <w:tab/>
        <w:t>For the purposes of Schedule 1A clause 6(1)(d) of the Act, all forms of dispute resolution, other than restricted dispute resolution, are prescribed.</w:t>
      </w:r>
    </w:p>
    <w:p w:rsidR="005F70F9" w:rsidRPr="005F70F9" w:rsidRDefault="005F70F9" w:rsidP="005F70F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F70F9">
        <w:rPr>
          <w:rFonts w:eastAsia="Times New Roman"/>
          <w:color w:val="000000"/>
          <w:sz w:val="23"/>
          <w:szCs w:val="23"/>
          <w:lang w:eastAsia="en-AU"/>
        </w:rPr>
        <w:tab/>
        <w:t>(3)</w:t>
      </w:r>
      <w:r w:rsidRPr="005F70F9">
        <w:rPr>
          <w:rFonts w:eastAsia="Times New Roman"/>
          <w:color w:val="000000"/>
          <w:sz w:val="23"/>
          <w:szCs w:val="23"/>
          <w:lang w:eastAsia="en-AU"/>
        </w:rPr>
        <w:tab/>
        <w:t>In this regulation—</w:t>
      </w:r>
    </w:p>
    <w:p w:rsidR="005F70F9" w:rsidRPr="005F70F9" w:rsidRDefault="005F70F9" w:rsidP="005F70F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F70F9">
        <w:rPr>
          <w:rFonts w:eastAsia="Times New Roman"/>
          <w:b/>
          <w:bCs/>
          <w:i/>
          <w:iCs/>
          <w:color w:val="000000"/>
          <w:sz w:val="23"/>
          <w:szCs w:val="23"/>
          <w:lang w:eastAsia="en-AU"/>
        </w:rPr>
        <w:t>restricted dispute resolution</w:t>
      </w:r>
      <w:r w:rsidRPr="005F70F9">
        <w:rPr>
          <w:rFonts w:eastAsia="Times New Roman"/>
          <w:color w:val="000000"/>
          <w:sz w:val="23"/>
          <w:szCs w:val="23"/>
          <w:lang w:eastAsia="en-AU"/>
        </w:rPr>
        <w:t xml:space="preserve"> means dispute resolution in which participation is restricted to a stated class of persons, that does not include Australian-registered foreign lawyers, under—</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(a)</w:t>
      </w:r>
      <w:r w:rsidRPr="005F70F9">
        <w:rPr>
          <w:rFonts w:eastAsia="Times New Roman"/>
          <w:color w:val="000000"/>
          <w:sz w:val="23"/>
          <w:szCs w:val="23"/>
          <w:lang w:eastAsia="en-AU"/>
        </w:rPr>
        <w:tab/>
        <w:t>the provisions of other legislation applying to the dispute resolution; or</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(b)</w:t>
      </w:r>
      <w:r w:rsidRPr="005F70F9">
        <w:rPr>
          <w:rFonts w:eastAsia="Times New Roman"/>
          <w:color w:val="000000"/>
          <w:sz w:val="23"/>
          <w:szCs w:val="23"/>
          <w:lang w:eastAsia="en-AU"/>
        </w:rPr>
        <w:tab/>
        <w:t>the requirements of a body responsible for the dispute resolution; or</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(c)</w:t>
      </w:r>
      <w:r w:rsidRPr="005F70F9">
        <w:rPr>
          <w:rFonts w:eastAsia="Times New Roman"/>
          <w:color w:val="000000"/>
          <w:sz w:val="23"/>
          <w:szCs w:val="23"/>
          <w:lang w:eastAsia="en-AU"/>
        </w:rPr>
        <w:tab/>
        <w:t>the provisions of a contract that provides for the dispute resolution.</w:t>
      </w:r>
    </w:p>
    <w:p w:rsidR="005F70F9" w:rsidRPr="005F70F9" w:rsidRDefault="005F70F9" w:rsidP="005F70F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F70F9">
        <w:rPr>
          <w:rFonts w:eastAsia="Times New Roman"/>
          <w:b/>
          <w:bCs/>
          <w:color w:val="000000"/>
          <w:sz w:val="26"/>
          <w:szCs w:val="26"/>
          <w:lang w:eastAsia="en-AU"/>
        </w:rPr>
        <w:t>11A—Fidelity Fund</w:t>
      </w:r>
    </w:p>
    <w:p w:rsidR="005F70F9" w:rsidRPr="005F70F9" w:rsidRDefault="005F70F9" w:rsidP="005F70F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5F70F9">
        <w:rPr>
          <w:rFonts w:eastAsia="Times New Roman"/>
          <w:color w:val="000000"/>
          <w:sz w:val="23"/>
          <w:szCs w:val="23"/>
          <w:lang w:eastAsia="en-AU"/>
        </w:rPr>
        <w:t>Pursuant to Schedule 1A clause 15 of the Act, Part 4 Division 3 and Part 5 of the Act apply to Australian-registered foreign lawyers, and in so applying, apply with the following prescribed modifications:</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(a)</w:t>
      </w:r>
      <w:r w:rsidRPr="005F70F9">
        <w:rPr>
          <w:rFonts w:eastAsia="Times New Roman"/>
          <w:color w:val="000000"/>
          <w:sz w:val="23"/>
          <w:szCs w:val="23"/>
          <w:lang w:eastAsia="en-AU"/>
        </w:rPr>
        <w:tab/>
        <w:t>section 57(3) applies as if the following were inserted after paragraph (f):</w:t>
      </w:r>
    </w:p>
    <w:p w:rsidR="005F70F9" w:rsidRPr="005F70F9" w:rsidRDefault="005F70F9" w:rsidP="005F70F9">
      <w:pPr>
        <w:keepNext/>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5F70F9">
        <w:rPr>
          <w:rFonts w:eastAsia="Times New Roman"/>
          <w:color w:val="000000"/>
          <w:sz w:val="23"/>
          <w:szCs w:val="23"/>
          <w:lang w:eastAsia="en-AU"/>
        </w:rPr>
        <w:tab/>
      </w:r>
      <w:r w:rsidRPr="005F70F9">
        <w:rPr>
          <w:rFonts w:eastAsia="Times New Roman"/>
          <w:color w:val="000000"/>
          <w:sz w:val="23"/>
          <w:szCs w:val="23"/>
          <w:lang w:eastAsia="en-AU"/>
        </w:rPr>
        <w:tab/>
        <w:t>and</w:t>
      </w:r>
    </w:p>
    <w:p w:rsidR="005F70F9" w:rsidRPr="005F70F9" w:rsidRDefault="005F70F9" w:rsidP="005F70F9">
      <w:pPr>
        <w:keepNext/>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5F70F9">
        <w:rPr>
          <w:rFonts w:eastAsia="Times New Roman"/>
          <w:color w:val="000000"/>
          <w:sz w:val="23"/>
          <w:szCs w:val="23"/>
          <w:lang w:eastAsia="en-AU"/>
        </w:rPr>
        <w:tab/>
        <w:t>(g)</w:t>
      </w:r>
      <w:r w:rsidRPr="005F70F9">
        <w:rPr>
          <w:rFonts w:eastAsia="Times New Roman"/>
          <w:color w:val="000000"/>
          <w:sz w:val="23"/>
          <w:szCs w:val="23"/>
          <w:lang w:eastAsia="en-AU"/>
        </w:rPr>
        <w:tab/>
        <w:t>90% of the fee for the grant or renewal of registration of an Australian-registered foreign lawyer.</w:t>
      </w:r>
    </w:p>
    <w:p w:rsidR="005F70F9" w:rsidRPr="005F70F9" w:rsidRDefault="005F70F9" w:rsidP="005F70F9">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F70F9">
        <w:rPr>
          <w:rFonts w:eastAsia="Times New Roman"/>
          <w:color w:val="000000"/>
          <w:sz w:val="23"/>
          <w:szCs w:val="23"/>
          <w:lang w:eastAsia="en-AU"/>
        </w:rPr>
        <w:tab/>
        <w:t>(b)</w:t>
      </w:r>
      <w:r w:rsidRPr="005F70F9">
        <w:rPr>
          <w:rFonts w:eastAsia="Times New Roman"/>
          <w:color w:val="000000"/>
          <w:sz w:val="23"/>
          <w:szCs w:val="23"/>
          <w:lang w:eastAsia="en-AU"/>
        </w:rPr>
        <w:tab/>
        <w:t>section 60(4) applies as if the following were inserted after paragraph (b):</w:t>
      </w:r>
    </w:p>
    <w:p w:rsidR="005F70F9" w:rsidRPr="005F70F9" w:rsidRDefault="005F70F9" w:rsidP="005F70F9">
      <w:pPr>
        <w:keepNext/>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5F70F9">
        <w:rPr>
          <w:rFonts w:eastAsia="Times New Roman"/>
          <w:color w:val="000000"/>
          <w:sz w:val="23"/>
          <w:szCs w:val="23"/>
          <w:lang w:eastAsia="en-AU"/>
        </w:rPr>
        <w:tab/>
      </w:r>
      <w:r w:rsidRPr="005F70F9">
        <w:rPr>
          <w:rFonts w:eastAsia="Times New Roman"/>
          <w:color w:val="000000"/>
          <w:sz w:val="23"/>
          <w:szCs w:val="23"/>
          <w:lang w:eastAsia="en-AU"/>
        </w:rPr>
        <w:tab/>
        <w:t>or</w:t>
      </w:r>
    </w:p>
    <w:p w:rsidR="005F70F9" w:rsidRPr="005F70F9" w:rsidRDefault="005F70F9" w:rsidP="005F70F9">
      <w:pPr>
        <w:keepNext/>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rPr>
      </w:pPr>
      <w:r w:rsidRPr="005F70F9">
        <w:rPr>
          <w:rFonts w:eastAsia="Times New Roman"/>
          <w:color w:val="000000"/>
          <w:sz w:val="23"/>
          <w:szCs w:val="23"/>
          <w:lang w:eastAsia="en-AU"/>
        </w:rPr>
        <w:tab/>
        <w:t>(c)</w:t>
      </w:r>
      <w:r w:rsidRPr="005F70F9">
        <w:rPr>
          <w:rFonts w:eastAsia="Times New Roman"/>
          <w:color w:val="000000"/>
          <w:sz w:val="23"/>
          <w:szCs w:val="23"/>
          <w:lang w:eastAsia="en-AU"/>
        </w:rPr>
        <w:tab/>
        <w:t>in respect of a fiduciary or professional default by an Australian-registered foreign lawyer.</w:t>
      </w:r>
    </w:p>
    <w:p w:rsidR="005F70F9" w:rsidRPr="005F70F9" w:rsidRDefault="005F70F9" w:rsidP="005F70F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F70F9">
        <w:rPr>
          <w:rFonts w:eastAsia="Times New Roman"/>
          <w:b/>
          <w:bCs/>
          <w:color w:val="000000"/>
          <w:sz w:val="20"/>
          <w:szCs w:val="20"/>
          <w:lang w:eastAsia="en-AU"/>
        </w:rPr>
        <w:t>Note—</w:t>
      </w:r>
    </w:p>
    <w:p w:rsidR="005F70F9" w:rsidRPr="005F70F9" w:rsidRDefault="005F70F9" w:rsidP="005F70F9">
      <w:pPr>
        <w:keepNext/>
        <w:keepLines/>
        <w:autoSpaceDE w:val="0"/>
        <w:autoSpaceDN w:val="0"/>
        <w:adjustRightInd w:val="0"/>
        <w:spacing w:before="120" w:after="0" w:line="240" w:lineRule="auto"/>
        <w:ind w:left="794"/>
        <w:jc w:val="left"/>
        <w:rPr>
          <w:rFonts w:eastAsia="Times New Roman"/>
          <w:color w:val="000000"/>
          <w:sz w:val="20"/>
          <w:szCs w:val="20"/>
          <w:lang w:eastAsia="en-AU"/>
        </w:rPr>
      </w:pPr>
      <w:r w:rsidRPr="005F70F9">
        <w:rPr>
          <w:rFonts w:eastAsia="Times New Roman"/>
          <w:color w:val="000000"/>
          <w:sz w:val="20"/>
          <w:szCs w:val="20"/>
          <w:lang w:eastAsia="en-AU"/>
        </w:rPr>
        <w:t xml:space="preserve">As required by section 10AA(2) of the </w:t>
      </w:r>
      <w:hyperlink r:id="rId27" w:history="1">
        <w:r w:rsidRPr="005F70F9">
          <w:rPr>
            <w:rFonts w:eastAsia="Times New Roman"/>
            <w:i/>
            <w:iCs/>
            <w:color w:val="000000"/>
            <w:sz w:val="20"/>
            <w:szCs w:val="20"/>
            <w:lang w:eastAsia="en-AU"/>
          </w:rPr>
          <w:t>Subordinate Legislation Act 1978</w:t>
        </w:r>
      </w:hyperlink>
      <w:r w:rsidRPr="005F70F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F70F9" w:rsidRPr="005F70F9" w:rsidRDefault="005F70F9" w:rsidP="005F70F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F70F9">
        <w:rPr>
          <w:rFonts w:eastAsia="Times New Roman"/>
          <w:b/>
          <w:bCs/>
          <w:color w:val="000000"/>
          <w:sz w:val="26"/>
          <w:szCs w:val="26"/>
          <w:lang w:eastAsia="en-AU"/>
        </w:rPr>
        <w:t>Made by the Governor</w:t>
      </w:r>
    </w:p>
    <w:p w:rsidR="005F70F9" w:rsidRP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with the advice and consent of the Executive Council</w:t>
      </w:r>
    </w:p>
    <w:p w:rsidR="005F70F9" w:rsidRPr="005F70F9" w:rsidRDefault="005F70F9" w:rsidP="005F70F9">
      <w:pPr>
        <w:keepNext/>
        <w:keepLines/>
        <w:autoSpaceDE w:val="0"/>
        <w:autoSpaceDN w:val="0"/>
        <w:adjustRightInd w:val="0"/>
        <w:spacing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on 21 May 2020</w:t>
      </w:r>
    </w:p>
    <w:p w:rsidR="005F70F9" w:rsidRDefault="005F70F9" w:rsidP="005F70F9">
      <w:pPr>
        <w:keepNext/>
        <w:keepLines/>
        <w:autoSpaceDE w:val="0"/>
        <w:autoSpaceDN w:val="0"/>
        <w:adjustRightInd w:val="0"/>
        <w:spacing w:before="120" w:after="0" w:line="240" w:lineRule="auto"/>
        <w:jc w:val="left"/>
        <w:rPr>
          <w:rFonts w:eastAsia="Times New Roman"/>
          <w:color w:val="000000"/>
          <w:sz w:val="23"/>
          <w:szCs w:val="23"/>
          <w:lang w:eastAsia="en-AU"/>
        </w:rPr>
      </w:pPr>
      <w:r w:rsidRPr="005F70F9">
        <w:rPr>
          <w:rFonts w:eastAsia="Times New Roman"/>
          <w:color w:val="000000"/>
          <w:sz w:val="23"/>
          <w:szCs w:val="23"/>
          <w:lang w:eastAsia="en-AU"/>
        </w:rPr>
        <w:t>No 65 of 2020</w:t>
      </w:r>
    </w:p>
    <w:p w:rsidR="005F70F9" w:rsidRDefault="005F70F9" w:rsidP="005F70F9">
      <w:pPr>
        <w:pBdr>
          <w:bottom w:val="single" w:sz="4" w:space="1" w:color="auto"/>
        </w:pBdr>
        <w:spacing w:after="0" w:line="52" w:lineRule="exact"/>
        <w:jc w:val="center"/>
        <w:rPr>
          <w:rFonts w:eastAsia="Times New Roman"/>
          <w:color w:val="000000"/>
          <w:sz w:val="23"/>
          <w:szCs w:val="23"/>
          <w:lang w:eastAsia="en-AU"/>
        </w:rPr>
      </w:pPr>
    </w:p>
    <w:p w:rsidR="005F70F9" w:rsidRDefault="005F70F9" w:rsidP="005F70F9">
      <w:pPr>
        <w:pBdr>
          <w:top w:val="single" w:sz="4" w:space="1" w:color="auto"/>
        </w:pBdr>
        <w:spacing w:before="34" w:after="0" w:line="14" w:lineRule="exact"/>
        <w:jc w:val="center"/>
        <w:rPr>
          <w:rFonts w:eastAsia="Times New Roman"/>
          <w:color w:val="000000"/>
          <w:sz w:val="23"/>
          <w:szCs w:val="23"/>
          <w:lang w:eastAsia="en-AU"/>
        </w:rPr>
      </w:pPr>
    </w:p>
    <w:p w:rsidR="00B13846" w:rsidRPr="00B13846" w:rsidRDefault="005F70F9" w:rsidP="00B13846">
      <w:pPr>
        <w:keepLines/>
        <w:autoSpaceDE w:val="0"/>
        <w:autoSpaceDN w:val="0"/>
        <w:adjustRightInd w:val="0"/>
        <w:spacing w:before="240" w:after="0" w:line="240" w:lineRule="auto"/>
        <w:rPr>
          <w:rFonts w:eastAsia="Times New Roman"/>
          <w:color w:val="000000"/>
          <w:sz w:val="28"/>
          <w:szCs w:val="28"/>
          <w:lang w:eastAsia="en-AU"/>
        </w:rPr>
      </w:pPr>
      <w:r>
        <w:br w:type="page"/>
      </w:r>
      <w:r w:rsidR="00B13846" w:rsidRPr="00B13846">
        <w:rPr>
          <w:rFonts w:eastAsia="Times New Roman"/>
          <w:color w:val="000000"/>
          <w:sz w:val="28"/>
          <w:szCs w:val="28"/>
          <w:lang w:eastAsia="en-AU"/>
        </w:rPr>
        <w:lastRenderedPageBreak/>
        <w:t>South Australia</w:t>
      </w:r>
    </w:p>
    <w:p w:rsidR="00B13846" w:rsidRPr="00B13846" w:rsidRDefault="00B13846" w:rsidP="00BB557D">
      <w:pPr>
        <w:pStyle w:val="Heading3"/>
        <w:rPr>
          <w:rFonts w:eastAsia="Times New Roman"/>
          <w:b w:val="0"/>
          <w:bCs w:val="0"/>
          <w:lang w:eastAsia="en-AU"/>
        </w:rPr>
      </w:pPr>
      <w:bookmarkStart w:id="36" w:name="_Toc40954862"/>
      <w:r w:rsidRPr="00B13846">
        <w:rPr>
          <w:rFonts w:eastAsia="Times New Roman"/>
          <w:lang w:eastAsia="en-AU"/>
        </w:rPr>
        <w:t>Summary Offences (</w:t>
      </w:r>
      <w:r w:rsidRPr="00BB557D">
        <w:rPr>
          <w:lang w:eastAsia="en-AU"/>
        </w:rPr>
        <w:t>Variation</w:t>
      </w:r>
      <w:r w:rsidRPr="00B13846">
        <w:rPr>
          <w:rFonts w:eastAsia="Times New Roman"/>
          <w:lang w:eastAsia="en-AU"/>
        </w:rPr>
        <w:t xml:space="preserve"> of Schedule 2) Regulations 2020</w:t>
      </w:r>
      <w:bookmarkEnd w:id="36"/>
    </w:p>
    <w:p w:rsidR="00B13846" w:rsidRPr="00B13846" w:rsidRDefault="00B13846" w:rsidP="00B13846">
      <w:pPr>
        <w:keepLines/>
        <w:autoSpaceDE w:val="0"/>
        <w:autoSpaceDN w:val="0"/>
        <w:adjustRightInd w:val="0"/>
        <w:spacing w:before="80" w:after="240" w:line="240" w:lineRule="auto"/>
        <w:jc w:val="left"/>
        <w:rPr>
          <w:rFonts w:eastAsia="Times New Roman"/>
          <w:color w:val="000000"/>
          <w:sz w:val="24"/>
          <w:szCs w:val="24"/>
          <w:lang w:eastAsia="en-AU"/>
        </w:rPr>
      </w:pPr>
      <w:r w:rsidRPr="00B13846">
        <w:rPr>
          <w:rFonts w:eastAsia="Times New Roman"/>
          <w:color w:val="000000"/>
          <w:sz w:val="24"/>
          <w:szCs w:val="24"/>
          <w:lang w:eastAsia="en-AU"/>
        </w:rPr>
        <w:t xml:space="preserve">under the </w:t>
      </w:r>
      <w:r w:rsidRPr="00B13846">
        <w:rPr>
          <w:rFonts w:eastAsia="Times New Roman"/>
          <w:i/>
          <w:iCs/>
          <w:color w:val="000000"/>
          <w:sz w:val="24"/>
          <w:szCs w:val="24"/>
          <w:lang w:eastAsia="en-AU"/>
        </w:rPr>
        <w:t>Summary Offences Act 1953</w:t>
      </w:r>
    </w:p>
    <w:p w:rsidR="00B13846" w:rsidRPr="00B13846" w:rsidRDefault="00B13846" w:rsidP="00B1384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13846" w:rsidRPr="00B13846" w:rsidRDefault="00B13846" w:rsidP="00B13846">
      <w:pPr>
        <w:keepLines/>
        <w:autoSpaceDE w:val="0"/>
        <w:autoSpaceDN w:val="0"/>
        <w:adjustRightInd w:val="0"/>
        <w:spacing w:before="120" w:after="0" w:line="240" w:lineRule="auto"/>
        <w:jc w:val="left"/>
        <w:rPr>
          <w:rFonts w:eastAsia="Times New Roman"/>
          <w:b/>
          <w:bCs/>
          <w:color w:val="000000"/>
          <w:sz w:val="32"/>
          <w:szCs w:val="32"/>
          <w:lang w:eastAsia="en-AU"/>
        </w:rPr>
      </w:pPr>
      <w:r w:rsidRPr="00B13846">
        <w:rPr>
          <w:rFonts w:eastAsia="Times New Roman"/>
          <w:b/>
          <w:bCs/>
          <w:color w:val="000000"/>
          <w:sz w:val="32"/>
          <w:szCs w:val="32"/>
          <w:lang w:eastAsia="en-AU"/>
        </w:rPr>
        <w:t>Contents</w:t>
      </w:r>
    </w:p>
    <w:p w:rsidR="00B13846" w:rsidRPr="00B13846" w:rsidRDefault="00827BA8" w:rsidP="00B1384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B13846" w:rsidRPr="00B13846">
          <w:rPr>
            <w:rFonts w:eastAsia="Times New Roman"/>
            <w:color w:val="000000"/>
            <w:sz w:val="22"/>
            <w:lang w:eastAsia="en-AU"/>
          </w:rPr>
          <w:t>1</w:t>
        </w:r>
        <w:r w:rsidR="00B13846" w:rsidRPr="00B13846">
          <w:rPr>
            <w:rFonts w:eastAsia="Times New Roman"/>
            <w:color w:val="000000"/>
            <w:sz w:val="22"/>
            <w:lang w:eastAsia="en-AU"/>
          </w:rPr>
          <w:tab/>
          <w:t>Short title</w:t>
        </w:r>
      </w:hyperlink>
    </w:p>
    <w:p w:rsidR="00B13846" w:rsidRPr="00B13846" w:rsidRDefault="00827BA8" w:rsidP="00B1384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13846" w:rsidRPr="00B13846">
          <w:rPr>
            <w:rFonts w:eastAsia="Times New Roman"/>
            <w:color w:val="000000"/>
            <w:sz w:val="22"/>
            <w:lang w:eastAsia="en-AU"/>
          </w:rPr>
          <w:t>2</w:t>
        </w:r>
        <w:r w:rsidR="00B13846" w:rsidRPr="00B13846">
          <w:rPr>
            <w:rFonts w:eastAsia="Times New Roman"/>
            <w:color w:val="000000"/>
            <w:sz w:val="22"/>
            <w:lang w:eastAsia="en-AU"/>
          </w:rPr>
          <w:tab/>
          <w:t>Commencement</w:t>
        </w:r>
      </w:hyperlink>
    </w:p>
    <w:p w:rsidR="00B13846" w:rsidRPr="00B13846" w:rsidRDefault="00827BA8" w:rsidP="00B1384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13846" w:rsidRPr="00B13846">
          <w:rPr>
            <w:rFonts w:eastAsia="Times New Roman"/>
            <w:color w:val="000000"/>
            <w:sz w:val="22"/>
            <w:lang w:eastAsia="en-AU"/>
          </w:rPr>
          <w:t>3</w:t>
        </w:r>
        <w:r w:rsidR="00B13846" w:rsidRPr="00B13846">
          <w:rPr>
            <w:rFonts w:eastAsia="Times New Roman"/>
            <w:color w:val="000000"/>
            <w:sz w:val="22"/>
            <w:lang w:eastAsia="en-AU"/>
          </w:rPr>
          <w:tab/>
          <w:t>Interpretation</w:t>
        </w:r>
      </w:hyperlink>
    </w:p>
    <w:p w:rsidR="00B13846" w:rsidRPr="00B13846" w:rsidRDefault="00827BA8" w:rsidP="00B1384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13846" w:rsidRPr="00B13846">
          <w:rPr>
            <w:rFonts w:eastAsia="Times New Roman"/>
            <w:color w:val="000000"/>
            <w:sz w:val="22"/>
            <w:lang w:eastAsia="en-AU"/>
          </w:rPr>
          <w:t>4</w:t>
        </w:r>
        <w:r w:rsidR="00B13846" w:rsidRPr="00B13846">
          <w:rPr>
            <w:rFonts w:eastAsia="Times New Roman"/>
            <w:color w:val="000000"/>
            <w:sz w:val="22"/>
            <w:lang w:eastAsia="en-AU"/>
          </w:rPr>
          <w:tab/>
          <w:t>Variation of Schedule 2 of Act</w:t>
        </w:r>
      </w:hyperlink>
    </w:p>
    <w:p w:rsidR="00B13846" w:rsidRPr="00B13846" w:rsidRDefault="00827BA8" w:rsidP="00B1384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5" w:history="1">
        <w:r w:rsidR="00B13846" w:rsidRPr="00B13846">
          <w:rPr>
            <w:rFonts w:eastAsia="Times New Roman"/>
            <w:color w:val="000000"/>
            <w:sz w:val="18"/>
            <w:szCs w:val="18"/>
            <w:lang w:eastAsia="en-AU"/>
          </w:rPr>
          <w:t>24</w:t>
        </w:r>
        <w:r w:rsidR="00B13846" w:rsidRPr="00B13846">
          <w:rPr>
            <w:rFonts w:eastAsia="Times New Roman"/>
            <w:color w:val="000000"/>
            <w:sz w:val="18"/>
            <w:szCs w:val="18"/>
            <w:lang w:eastAsia="en-AU"/>
          </w:rPr>
          <w:tab/>
          <w:t>Prescribed weapons—NSW fisheries officers</w:t>
        </w:r>
      </w:hyperlink>
    </w:p>
    <w:p w:rsidR="00B13846" w:rsidRPr="00B13846" w:rsidRDefault="00B13846" w:rsidP="00B1384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13846" w:rsidRPr="00B13846" w:rsidRDefault="00B13846" w:rsidP="00B138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3846">
        <w:rPr>
          <w:rFonts w:eastAsia="Times New Roman"/>
          <w:b/>
          <w:bCs/>
          <w:color w:val="000000"/>
          <w:sz w:val="26"/>
          <w:szCs w:val="26"/>
          <w:lang w:eastAsia="en-AU"/>
        </w:rPr>
        <w:t>1—Short title</w:t>
      </w:r>
    </w:p>
    <w:p w:rsidR="00B13846" w:rsidRPr="00B13846" w:rsidRDefault="00B13846" w:rsidP="00B138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3846">
        <w:rPr>
          <w:rFonts w:eastAsia="Times New Roman"/>
          <w:color w:val="000000"/>
          <w:sz w:val="23"/>
          <w:szCs w:val="23"/>
          <w:lang w:eastAsia="en-AU"/>
        </w:rPr>
        <w:t xml:space="preserve">These regulations may be cited as the </w:t>
      </w:r>
      <w:r w:rsidRPr="00B13846">
        <w:rPr>
          <w:rFonts w:eastAsia="Times New Roman"/>
          <w:i/>
          <w:iCs/>
          <w:color w:val="000000"/>
          <w:sz w:val="23"/>
          <w:szCs w:val="23"/>
          <w:lang w:eastAsia="en-AU"/>
        </w:rPr>
        <w:t>Summary Offences (Variation of Schedule 2) Regulations 2020</w:t>
      </w:r>
      <w:r w:rsidRPr="00B13846">
        <w:rPr>
          <w:rFonts w:eastAsia="Times New Roman"/>
          <w:color w:val="000000"/>
          <w:sz w:val="23"/>
          <w:szCs w:val="23"/>
          <w:lang w:eastAsia="en-AU"/>
        </w:rPr>
        <w:t>.</w:t>
      </w:r>
    </w:p>
    <w:p w:rsidR="00B13846" w:rsidRPr="00B13846" w:rsidRDefault="00B13846" w:rsidP="00B138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3846">
        <w:rPr>
          <w:rFonts w:eastAsia="Times New Roman"/>
          <w:b/>
          <w:bCs/>
          <w:color w:val="000000"/>
          <w:sz w:val="26"/>
          <w:szCs w:val="26"/>
          <w:lang w:eastAsia="en-AU"/>
        </w:rPr>
        <w:t>2—Commencement</w:t>
      </w:r>
    </w:p>
    <w:p w:rsidR="00B13846" w:rsidRPr="00B13846" w:rsidRDefault="00B13846" w:rsidP="00B138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3846">
        <w:rPr>
          <w:rFonts w:eastAsia="Times New Roman"/>
          <w:color w:val="000000"/>
          <w:sz w:val="23"/>
          <w:szCs w:val="23"/>
          <w:lang w:eastAsia="en-AU"/>
        </w:rPr>
        <w:t>These regulations come into operation on the day on which they are made.</w:t>
      </w:r>
    </w:p>
    <w:p w:rsidR="00B13846" w:rsidRPr="00B13846" w:rsidRDefault="00B13846" w:rsidP="00B138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3846">
        <w:rPr>
          <w:rFonts w:eastAsia="Times New Roman"/>
          <w:b/>
          <w:bCs/>
          <w:color w:val="000000"/>
          <w:sz w:val="26"/>
          <w:szCs w:val="26"/>
          <w:lang w:eastAsia="en-AU"/>
        </w:rPr>
        <w:t>3—Interpretation</w:t>
      </w:r>
    </w:p>
    <w:p w:rsidR="00B13846" w:rsidRPr="00B13846" w:rsidRDefault="00B13846" w:rsidP="00B1384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3846">
        <w:rPr>
          <w:rFonts w:eastAsia="Times New Roman"/>
          <w:color w:val="000000"/>
          <w:sz w:val="23"/>
          <w:szCs w:val="23"/>
          <w:lang w:eastAsia="en-AU"/>
        </w:rPr>
        <w:t>In these regulations, unless the contrary intention appears—</w:t>
      </w:r>
    </w:p>
    <w:p w:rsidR="00B13846" w:rsidRPr="00B13846" w:rsidRDefault="00B13846" w:rsidP="00B1384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13846">
        <w:rPr>
          <w:rFonts w:eastAsia="Times New Roman"/>
          <w:b/>
          <w:bCs/>
          <w:i/>
          <w:iCs/>
          <w:color w:val="000000"/>
          <w:sz w:val="23"/>
          <w:szCs w:val="23"/>
          <w:lang w:eastAsia="en-AU"/>
        </w:rPr>
        <w:t>Act</w:t>
      </w:r>
      <w:r w:rsidRPr="00B13846">
        <w:rPr>
          <w:rFonts w:eastAsia="Times New Roman"/>
          <w:color w:val="000000"/>
          <w:sz w:val="23"/>
          <w:szCs w:val="23"/>
          <w:lang w:eastAsia="en-AU"/>
        </w:rPr>
        <w:t xml:space="preserve"> means the </w:t>
      </w:r>
      <w:hyperlink r:id="rId28" w:history="1">
        <w:r w:rsidRPr="00B13846">
          <w:rPr>
            <w:rFonts w:eastAsia="Times New Roman"/>
            <w:i/>
            <w:iCs/>
            <w:color w:val="000000"/>
            <w:sz w:val="23"/>
            <w:szCs w:val="23"/>
            <w:lang w:eastAsia="en-AU"/>
          </w:rPr>
          <w:t>Summary Offences Act 1953</w:t>
        </w:r>
      </w:hyperlink>
      <w:r w:rsidRPr="00B13846">
        <w:rPr>
          <w:rFonts w:eastAsia="Times New Roman"/>
          <w:color w:val="000000"/>
          <w:sz w:val="23"/>
          <w:szCs w:val="23"/>
          <w:lang w:eastAsia="en-AU"/>
        </w:rPr>
        <w:t>.</w:t>
      </w:r>
    </w:p>
    <w:p w:rsidR="00B13846" w:rsidRPr="00B13846" w:rsidRDefault="00B13846" w:rsidP="00B1384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13846">
        <w:rPr>
          <w:rFonts w:eastAsia="Times New Roman"/>
          <w:b/>
          <w:bCs/>
          <w:color w:val="000000"/>
          <w:sz w:val="26"/>
          <w:szCs w:val="26"/>
          <w:lang w:eastAsia="en-AU"/>
        </w:rPr>
        <w:t>4—Variation of Schedule 2 of Act</w:t>
      </w:r>
    </w:p>
    <w:p w:rsidR="00B13846" w:rsidRPr="00B13846" w:rsidRDefault="00B13846" w:rsidP="00B1384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13846">
        <w:rPr>
          <w:rFonts w:eastAsia="Times New Roman"/>
          <w:color w:val="000000"/>
          <w:sz w:val="23"/>
          <w:szCs w:val="23"/>
          <w:lang w:eastAsia="en-AU"/>
        </w:rPr>
        <w:t>Pursuant to section 85(2)(a) of the Act, Schedule 2 of the Act is varied by inserting the following clause after clause 23:</w:t>
      </w:r>
    </w:p>
    <w:p w:rsidR="00B13846" w:rsidRPr="00B13846" w:rsidRDefault="00B13846" w:rsidP="00B1384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13846">
        <w:rPr>
          <w:rFonts w:eastAsia="Times New Roman"/>
          <w:b/>
          <w:bCs/>
          <w:color w:val="000000"/>
          <w:sz w:val="26"/>
          <w:szCs w:val="26"/>
          <w:lang w:eastAsia="en-AU"/>
        </w:rPr>
        <w:t>24—Prescribed weapons—NSW fisheries officers</w:t>
      </w:r>
    </w:p>
    <w:p w:rsidR="00B13846" w:rsidRPr="00B13846" w:rsidRDefault="00B13846" w:rsidP="00B1384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13846">
        <w:rPr>
          <w:rFonts w:eastAsia="Times New Roman"/>
          <w:color w:val="000000"/>
          <w:sz w:val="23"/>
          <w:szCs w:val="23"/>
          <w:lang w:eastAsia="en-AU"/>
        </w:rPr>
        <w:t xml:space="preserve">A person is an exempt person for the purposes of an offence of use or possession of a prohibited weapon under section 21F(1)(b) of this Act in relation to an extendable baton that can only be extended by means of gravity or centrifugal force if the person is a fisheries officer (within the meaning of the </w:t>
      </w:r>
      <w:hyperlink r:id="rId29" w:history="1">
        <w:r w:rsidRPr="00B13846">
          <w:rPr>
            <w:rFonts w:eastAsia="Times New Roman"/>
            <w:i/>
            <w:iCs/>
            <w:color w:val="000000"/>
            <w:sz w:val="23"/>
            <w:szCs w:val="23"/>
            <w:lang w:eastAsia="en-AU"/>
          </w:rPr>
          <w:t>Fisheries Management Act 1994</w:t>
        </w:r>
      </w:hyperlink>
      <w:r w:rsidRPr="00B13846">
        <w:rPr>
          <w:rFonts w:eastAsia="Times New Roman"/>
          <w:color w:val="000000"/>
          <w:sz w:val="23"/>
          <w:szCs w:val="23"/>
          <w:lang w:eastAsia="en-AU"/>
        </w:rPr>
        <w:t xml:space="preserve"> of New South Wales) who uses or possesses the weapon in the course of official duties or functions under that Act.</w:t>
      </w:r>
    </w:p>
    <w:p w:rsidR="00B13846" w:rsidRPr="00B13846" w:rsidRDefault="00B13846" w:rsidP="00B1384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13846">
        <w:rPr>
          <w:rFonts w:eastAsia="Times New Roman"/>
          <w:b/>
          <w:bCs/>
          <w:color w:val="000000"/>
          <w:sz w:val="20"/>
          <w:szCs w:val="20"/>
          <w:lang w:eastAsia="en-AU"/>
        </w:rPr>
        <w:t>Note—</w:t>
      </w:r>
    </w:p>
    <w:p w:rsidR="00B13846" w:rsidRPr="00B13846" w:rsidRDefault="00B13846" w:rsidP="00B13846">
      <w:pPr>
        <w:keepLines/>
        <w:autoSpaceDE w:val="0"/>
        <w:autoSpaceDN w:val="0"/>
        <w:adjustRightInd w:val="0"/>
        <w:spacing w:before="120" w:after="0" w:line="240" w:lineRule="auto"/>
        <w:ind w:left="794"/>
        <w:jc w:val="left"/>
        <w:rPr>
          <w:rFonts w:eastAsia="Times New Roman"/>
          <w:color w:val="000000"/>
          <w:sz w:val="20"/>
          <w:szCs w:val="20"/>
          <w:lang w:eastAsia="en-AU"/>
        </w:rPr>
      </w:pPr>
      <w:r w:rsidRPr="00B13846">
        <w:rPr>
          <w:rFonts w:eastAsia="Times New Roman"/>
          <w:color w:val="000000"/>
          <w:sz w:val="20"/>
          <w:szCs w:val="20"/>
          <w:lang w:eastAsia="en-AU"/>
        </w:rPr>
        <w:t xml:space="preserve">As required by section 10AA(2) of the </w:t>
      </w:r>
      <w:hyperlink r:id="rId30" w:history="1">
        <w:r w:rsidRPr="00B13846">
          <w:rPr>
            <w:rFonts w:eastAsia="Times New Roman"/>
            <w:i/>
            <w:iCs/>
            <w:color w:val="000000"/>
            <w:sz w:val="20"/>
            <w:szCs w:val="20"/>
            <w:lang w:eastAsia="en-AU"/>
          </w:rPr>
          <w:t>Subordinate Legislation Act 1978</w:t>
        </w:r>
      </w:hyperlink>
      <w:r w:rsidRPr="00B1384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13846" w:rsidRPr="00B13846" w:rsidRDefault="00B13846" w:rsidP="00B1384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13846">
        <w:rPr>
          <w:rFonts w:eastAsia="Times New Roman"/>
          <w:b/>
          <w:bCs/>
          <w:color w:val="000000"/>
          <w:sz w:val="26"/>
          <w:szCs w:val="26"/>
          <w:lang w:eastAsia="en-AU"/>
        </w:rPr>
        <w:t>Made by the Governor</w:t>
      </w:r>
    </w:p>
    <w:p w:rsidR="00B13846" w:rsidRPr="00B13846" w:rsidRDefault="00B13846" w:rsidP="00B13846">
      <w:pPr>
        <w:keepNext/>
        <w:keepLines/>
        <w:autoSpaceDE w:val="0"/>
        <w:autoSpaceDN w:val="0"/>
        <w:adjustRightInd w:val="0"/>
        <w:spacing w:before="120" w:after="0" w:line="240" w:lineRule="auto"/>
        <w:jc w:val="left"/>
        <w:rPr>
          <w:rFonts w:eastAsia="Times New Roman"/>
          <w:color w:val="000000"/>
          <w:sz w:val="23"/>
          <w:szCs w:val="23"/>
          <w:lang w:eastAsia="en-AU"/>
        </w:rPr>
      </w:pPr>
      <w:r w:rsidRPr="00B13846">
        <w:rPr>
          <w:rFonts w:eastAsia="Times New Roman"/>
          <w:color w:val="000000"/>
          <w:sz w:val="23"/>
          <w:szCs w:val="23"/>
          <w:lang w:eastAsia="en-AU"/>
        </w:rPr>
        <w:t>with the advice and consent of the Executive Council</w:t>
      </w:r>
    </w:p>
    <w:p w:rsidR="00B13846" w:rsidRPr="00B13846" w:rsidRDefault="00B13846" w:rsidP="00B13846">
      <w:pPr>
        <w:keepNext/>
        <w:keepLines/>
        <w:autoSpaceDE w:val="0"/>
        <w:autoSpaceDN w:val="0"/>
        <w:adjustRightInd w:val="0"/>
        <w:spacing w:after="0" w:line="240" w:lineRule="auto"/>
        <w:jc w:val="left"/>
        <w:rPr>
          <w:rFonts w:eastAsia="Times New Roman"/>
          <w:color w:val="000000"/>
          <w:sz w:val="23"/>
          <w:szCs w:val="23"/>
          <w:lang w:eastAsia="en-AU"/>
        </w:rPr>
      </w:pPr>
      <w:r w:rsidRPr="00B13846">
        <w:rPr>
          <w:rFonts w:eastAsia="Times New Roman"/>
          <w:color w:val="000000"/>
          <w:sz w:val="23"/>
          <w:szCs w:val="23"/>
          <w:lang w:eastAsia="en-AU"/>
        </w:rPr>
        <w:t>on 21 May 2020</w:t>
      </w:r>
    </w:p>
    <w:p w:rsidR="00B13846" w:rsidRDefault="00B13846" w:rsidP="00B13846">
      <w:pPr>
        <w:keepNext/>
        <w:keepLines/>
        <w:autoSpaceDE w:val="0"/>
        <w:autoSpaceDN w:val="0"/>
        <w:adjustRightInd w:val="0"/>
        <w:spacing w:before="120" w:after="0" w:line="240" w:lineRule="auto"/>
        <w:jc w:val="left"/>
        <w:rPr>
          <w:rFonts w:eastAsia="Times New Roman"/>
          <w:color w:val="000000"/>
          <w:sz w:val="23"/>
          <w:szCs w:val="23"/>
          <w:lang w:eastAsia="en-AU"/>
        </w:rPr>
      </w:pPr>
      <w:r w:rsidRPr="00B13846">
        <w:rPr>
          <w:rFonts w:eastAsia="Times New Roman"/>
          <w:color w:val="000000"/>
          <w:sz w:val="23"/>
          <w:szCs w:val="23"/>
          <w:lang w:eastAsia="en-AU"/>
        </w:rPr>
        <w:t>No 66 of 2020</w:t>
      </w:r>
    </w:p>
    <w:p w:rsidR="00B13846" w:rsidRDefault="00B13846" w:rsidP="00B13846">
      <w:pPr>
        <w:pBdr>
          <w:bottom w:val="single" w:sz="4" w:space="1" w:color="auto"/>
        </w:pBdr>
        <w:spacing w:after="0" w:line="52" w:lineRule="exact"/>
        <w:jc w:val="center"/>
        <w:rPr>
          <w:rFonts w:eastAsia="Times New Roman"/>
          <w:color w:val="000000"/>
          <w:sz w:val="23"/>
          <w:szCs w:val="23"/>
          <w:lang w:eastAsia="en-AU"/>
        </w:rPr>
      </w:pPr>
    </w:p>
    <w:p w:rsidR="00B13846" w:rsidRDefault="00B13846" w:rsidP="00B13846">
      <w:pPr>
        <w:pBdr>
          <w:top w:val="single" w:sz="4" w:space="1" w:color="auto"/>
        </w:pBdr>
        <w:spacing w:before="34" w:after="0" w:line="14" w:lineRule="exact"/>
        <w:jc w:val="center"/>
        <w:rPr>
          <w:rFonts w:eastAsia="Times New Roman"/>
          <w:color w:val="000000"/>
          <w:sz w:val="23"/>
          <w:szCs w:val="23"/>
          <w:lang w:eastAsia="en-AU"/>
        </w:rPr>
      </w:pPr>
    </w:p>
    <w:p w:rsidR="009E101D" w:rsidRPr="009E101D" w:rsidRDefault="00B13846" w:rsidP="009E101D">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009E101D" w:rsidRPr="009E101D">
        <w:rPr>
          <w:rFonts w:eastAsia="Times New Roman"/>
          <w:color w:val="000000"/>
          <w:sz w:val="28"/>
          <w:szCs w:val="28"/>
          <w:lang w:eastAsia="en-AU"/>
        </w:rPr>
        <w:lastRenderedPageBreak/>
        <w:t>South Australia</w:t>
      </w:r>
    </w:p>
    <w:p w:rsidR="009E101D" w:rsidRPr="009E101D" w:rsidRDefault="009E101D" w:rsidP="00BB557D">
      <w:pPr>
        <w:pStyle w:val="Heading3"/>
        <w:rPr>
          <w:rFonts w:eastAsia="Times New Roman"/>
          <w:b w:val="0"/>
          <w:bCs w:val="0"/>
          <w:lang w:eastAsia="en-AU"/>
        </w:rPr>
      </w:pPr>
      <w:bookmarkStart w:id="37" w:name="_Toc40954863"/>
      <w:r w:rsidRPr="009E101D">
        <w:rPr>
          <w:rFonts w:eastAsia="Times New Roman"/>
          <w:lang w:eastAsia="en-AU"/>
        </w:rPr>
        <w:t>Fisheries Management (</w:t>
      </w:r>
      <w:r w:rsidRPr="00BB557D">
        <w:rPr>
          <w:lang w:eastAsia="en-AU"/>
        </w:rPr>
        <w:t>Rock</w:t>
      </w:r>
      <w:r w:rsidRPr="009E101D">
        <w:rPr>
          <w:rFonts w:eastAsia="Times New Roman"/>
          <w:lang w:eastAsia="en-AU"/>
        </w:rPr>
        <w:t xml:space="preserve"> Lobster Fisheries) (Quota) Variation Regulations 2020</w:t>
      </w:r>
      <w:bookmarkEnd w:id="37"/>
    </w:p>
    <w:p w:rsidR="009E101D" w:rsidRPr="009E101D" w:rsidRDefault="009E101D" w:rsidP="009E101D">
      <w:pPr>
        <w:keepLines/>
        <w:autoSpaceDE w:val="0"/>
        <w:autoSpaceDN w:val="0"/>
        <w:adjustRightInd w:val="0"/>
        <w:spacing w:before="80" w:after="240" w:line="240" w:lineRule="auto"/>
        <w:jc w:val="left"/>
        <w:rPr>
          <w:rFonts w:eastAsia="Times New Roman"/>
          <w:color w:val="000000"/>
          <w:sz w:val="24"/>
          <w:szCs w:val="24"/>
          <w:lang w:eastAsia="en-AU"/>
        </w:rPr>
      </w:pPr>
      <w:r w:rsidRPr="009E101D">
        <w:rPr>
          <w:rFonts w:eastAsia="Times New Roman"/>
          <w:color w:val="000000"/>
          <w:sz w:val="24"/>
          <w:szCs w:val="24"/>
          <w:lang w:eastAsia="en-AU"/>
        </w:rPr>
        <w:t xml:space="preserve">under the </w:t>
      </w:r>
      <w:r w:rsidRPr="009E101D">
        <w:rPr>
          <w:rFonts w:eastAsia="Times New Roman"/>
          <w:i/>
          <w:iCs/>
          <w:color w:val="000000"/>
          <w:sz w:val="24"/>
          <w:szCs w:val="24"/>
          <w:lang w:eastAsia="en-AU"/>
        </w:rPr>
        <w:t>Fisheries Management Act 2007</w:t>
      </w:r>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Lines/>
        <w:autoSpaceDE w:val="0"/>
        <w:autoSpaceDN w:val="0"/>
        <w:adjustRightInd w:val="0"/>
        <w:spacing w:before="120" w:after="0" w:line="240" w:lineRule="auto"/>
        <w:jc w:val="left"/>
        <w:rPr>
          <w:rFonts w:eastAsia="Times New Roman"/>
          <w:b/>
          <w:bCs/>
          <w:color w:val="000000"/>
          <w:sz w:val="32"/>
          <w:szCs w:val="32"/>
          <w:lang w:eastAsia="en-AU"/>
        </w:rPr>
      </w:pPr>
      <w:r w:rsidRPr="009E101D">
        <w:rPr>
          <w:rFonts w:eastAsia="Times New Roman"/>
          <w:b/>
          <w:bCs/>
          <w:color w:val="000000"/>
          <w:sz w:val="32"/>
          <w:szCs w:val="32"/>
          <w:lang w:eastAsia="en-AU"/>
        </w:rPr>
        <w:t>Contents</w:t>
      </w:r>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E101D" w:rsidRPr="009E101D">
          <w:rPr>
            <w:rFonts w:eastAsia="Times New Roman"/>
            <w:color w:val="000000"/>
            <w:sz w:val="28"/>
            <w:szCs w:val="28"/>
            <w:lang w:eastAsia="en-AU"/>
          </w:rPr>
          <w:t>Part 1—Preliminary</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E101D" w:rsidRPr="009E101D">
          <w:rPr>
            <w:rFonts w:eastAsia="Times New Roman"/>
            <w:color w:val="000000"/>
            <w:sz w:val="22"/>
            <w:lang w:eastAsia="en-AU"/>
          </w:rPr>
          <w:t>1</w:t>
        </w:r>
        <w:r w:rsidR="009E101D" w:rsidRPr="009E101D">
          <w:rPr>
            <w:rFonts w:eastAsia="Times New Roman"/>
            <w:color w:val="000000"/>
            <w:sz w:val="22"/>
            <w:lang w:eastAsia="en-AU"/>
          </w:rPr>
          <w:tab/>
          <w:t>Short title</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E101D" w:rsidRPr="009E101D">
          <w:rPr>
            <w:rFonts w:eastAsia="Times New Roman"/>
            <w:color w:val="000000"/>
            <w:sz w:val="22"/>
            <w:lang w:eastAsia="en-AU"/>
          </w:rPr>
          <w:t>2</w:t>
        </w:r>
        <w:r w:rsidR="009E101D" w:rsidRPr="009E101D">
          <w:rPr>
            <w:rFonts w:eastAsia="Times New Roman"/>
            <w:color w:val="000000"/>
            <w:sz w:val="22"/>
            <w:lang w:eastAsia="en-AU"/>
          </w:rPr>
          <w:tab/>
          <w:t>Commencement</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E101D" w:rsidRPr="009E101D">
          <w:rPr>
            <w:rFonts w:eastAsia="Times New Roman"/>
            <w:color w:val="000000"/>
            <w:sz w:val="22"/>
            <w:lang w:eastAsia="en-AU"/>
          </w:rPr>
          <w:t>3</w:t>
        </w:r>
        <w:r w:rsidR="009E101D" w:rsidRPr="009E101D">
          <w:rPr>
            <w:rFonts w:eastAsia="Times New Roman"/>
            <w:color w:val="000000"/>
            <w:sz w:val="22"/>
            <w:lang w:eastAsia="en-AU"/>
          </w:rPr>
          <w:tab/>
          <w:t>Variation provisions</w:t>
        </w:r>
      </w:hyperlink>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E101D" w:rsidRPr="009E101D">
          <w:rPr>
            <w:rFonts w:eastAsia="Times New Roman"/>
            <w:color w:val="000000"/>
            <w:sz w:val="28"/>
            <w:szCs w:val="28"/>
            <w:lang w:eastAsia="en-AU"/>
          </w:rPr>
          <w:t xml:space="preserve">Part 2—Variation of </w:t>
        </w:r>
        <w:r w:rsidR="009E101D" w:rsidRPr="009E101D">
          <w:rPr>
            <w:rFonts w:eastAsia="Times New Roman"/>
            <w:i/>
            <w:iCs/>
            <w:color w:val="000000"/>
            <w:sz w:val="28"/>
            <w:szCs w:val="28"/>
            <w:lang w:eastAsia="en-AU"/>
          </w:rPr>
          <w:t>Fisheries Management (Rock Lobster Fisheries) Regulations 2017</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E101D" w:rsidRPr="009E101D">
          <w:rPr>
            <w:rFonts w:eastAsia="Times New Roman"/>
            <w:color w:val="000000"/>
            <w:sz w:val="22"/>
            <w:lang w:eastAsia="en-AU"/>
          </w:rPr>
          <w:t>4</w:t>
        </w:r>
        <w:r w:rsidR="009E101D" w:rsidRPr="009E101D">
          <w:rPr>
            <w:rFonts w:eastAsia="Times New Roman"/>
            <w:color w:val="000000"/>
            <w:sz w:val="22"/>
            <w:lang w:eastAsia="en-AU"/>
          </w:rPr>
          <w:tab/>
          <w:t>Variation of regulation 12—Restrictions on fishing activities during closed season</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786f5b11_4506_42ff_94d4_54261357d4" w:history="1">
        <w:r w:rsidR="009E101D" w:rsidRPr="009E101D">
          <w:rPr>
            <w:rFonts w:eastAsia="Times New Roman"/>
            <w:color w:val="000000"/>
            <w:sz w:val="22"/>
            <w:lang w:eastAsia="en-AU"/>
          </w:rPr>
          <w:t>5</w:t>
        </w:r>
        <w:r w:rsidR="009E101D" w:rsidRPr="009E101D">
          <w:rPr>
            <w:rFonts w:eastAsia="Times New Roman"/>
            <w:color w:val="000000"/>
            <w:sz w:val="22"/>
            <w:lang w:eastAsia="en-AU"/>
          </w:rPr>
          <w:tab/>
          <w:t>Variation of regulation 15—Individual rock lobster catch quota system—Northern Zone</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9E101D" w:rsidRPr="009E101D">
          <w:rPr>
            <w:rFonts w:eastAsia="Times New Roman"/>
            <w:color w:val="000000"/>
            <w:sz w:val="22"/>
            <w:lang w:eastAsia="en-AU"/>
          </w:rPr>
          <w:t>6</w:t>
        </w:r>
        <w:r w:rsidR="009E101D" w:rsidRPr="009E101D">
          <w:rPr>
            <w:rFonts w:eastAsia="Times New Roman"/>
            <w:color w:val="000000"/>
            <w:sz w:val="22"/>
            <w:lang w:eastAsia="en-AU"/>
          </w:rPr>
          <w:tab/>
          <w:t>Variation of regulation 16—Individual rock lobster catch quota system—Southern Zone</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9E101D" w:rsidRPr="009E101D">
          <w:rPr>
            <w:rFonts w:eastAsia="Times New Roman"/>
            <w:color w:val="000000"/>
            <w:sz w:val="22"/>
            <w:lang w:eastAsia="en-AU"/>
          </w:rPr>
          <w:t>7</w:t>
        </w:r>
        <w:r w:rsidR="009E101D" w:rsidRPr="009E101D">
          <w:rPr>
            <w:rFonts w:eastAsia="Times New Roman"/>
            <w:color w:val="000000"/>
            <w:sz w:val="22"/>
            <w:lang w:eastAsia="en-AU"/>
          </w:rPr>
          <w:tab/>
          <w:t>Variation of regulation 29—Sale of rock lobster during closed season</w:t>
        </w:r>
      </w:hyperlink>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Part 1—Preliminary</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1—Short title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may be cited as the </w:t>
      </w:r>
      <w:r w:rsidRPr="009E101D">
        <w:rPr>
          <w:rFonts w:eastAsia="Times New Roman"/>
          <w:i/>
          <w:iCs/>
          <w:color w:val="000000"/>
          <w:sz w:val="23"/>
          <w:szCs w:val="23"/>
          <w:lang w:eastAsia="en-AU"/>
        </w:rPr>
        <w:t>Fisheries Management (Rock Lobster Fisheries) (Quota) Variation Regulations 2020</w:t>
      </w:r>
      <w:r w:rsidRPr="009E101D">
        <w:rPr>
          <w:rFonts w:eastAsia="Times New Roman"/>
          <w:color w:val="000000"/>
          <w:sz w:val="23"/>
          <w:szCs w:val="23"/>
          <w:lang w:eastAsia="en-AU"/>
        </w:rPr>
        <w:t>.</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2—Commencement</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These regulations come into operation on the day on which they are made.</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3—Variation provisions</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In these regulations, a provision under a heading referring to the variation of specified regulations varies the regulations so specified.</w:t>
      </w: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 xml:space="preserve">Part 2—Variation of </w:t>
      </w:r>
      <w:r w:rsidRPr="009E101D">
        <w:rPr>
          <w:rFonts w:eastAsia="Times New Roman"/>
          <w:b/>
          <w:bCs/>
          <w:i/>
          <w:iCs/>
          <w:color w:val="000000"/>
          <w:sz w:val="32"/>
          <w:szCs w:val="32"/>
          <w:lang w:eastAsia="en-AU"/>
        </w:rPr>
        <w:t>Fisheries Management (Rock Lobster Fisheries) Regulations 2017</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4—Variation of regulation 12—Restrictions on fishing activities during closed season</w:t>
      </w:r>
    </w:p>
    <w:p w:rsidR="009E101D" w:rsidRPr="009E101D" w:rsidRDefault="009E101D" w:rsidP="009E101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Regulation 12(3)—delete subregulation (3) and substitute:</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(3)</w:t>
      </w:r>
      <w:r w:rsidRPr="009E101D">
        <w:rPr>
          <w:rFonts w:eastAsia="Times New Roman"/>
          <w:color w:val="000000"/>
          <w:sz w:val="23"/>
          <w:szCs w:val="23"/>
          <w:lang w:eastAsia="en-AU"/>
        </w:rPr>
        <w:tab/>
        <w:t>Unless the Minister has, by notice in the Gazette, made a determination to the contrary, the holder of a licence in respect of the Southern Zone Rock Lobster Fishery must not take rock lobster in the Southern Zone during a closed season.</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Maximum penalty: </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for a first offence—$10 000;</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lastRenderedPageBreak/>
        <w:tab/>
        <w:t>(b)</w:t>
      </w:r>
      <w:r w:rsidRPr="009E101D">
        <w:rPr>
          <w:rFonts w:eastAsia="Times New Roman"/>
          <w:color w:val="000000"/>
          <w:sz w:val="23"/>
          <w:szCs w:val="23"/>
          <w:lang w:eastAsia="en-AU"/>
        </w:rPr>
        <w:tab/>
        <w:t>for a second offence—$20 000;</w:t>
      </w:r>
    </w:p>
    <w:p w:rsidR="009E101D" w:rsidRPr="009E101D" w:rsidRDefault="009E101D" w:rsidP="009E101D">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(c)</w:t>
      </w:r>
      <w:r w:rsidRPr="009E101D">
        <w:rPr>
          <w:rFonts w:eastAsia="Times New Roman"/>
          <w:color w:val="000000"/>
          <w:sz w:val="23"/>
          <w:szCs w:val="23"/>
          <w:lang w:eastAsia="en-AU"/>
        </w:rPr>
        <w:tab/>
        <w:t>for a third or subsequent offence—$35 000.</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Expiation fee: $315.</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(4)</w:t>
      </w:r>
      <w:r w:rsidRPr="009E101D">
        <w:rPr>
          <w:rFonts w:eastAsia="Times New Roman"/>
          <w:color w:val="000000"/>
          <w:sz w:val="23"/>
          <w:szCs w:val="23"/>
          <w:lang w:eastAsia="en-AU"/>
        </w:rPr>
        <w:tab/>
        <w:t>Unless the Minister has, by notice in the Gazette, made a determination to the contrary, the holder of a licence in respect of the Southern Zone Rock Lobster Fishery must not set a rock lobster pot in the Southern Zone during a closed season.</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Maximum penalty: </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for a first offence—$10 000;</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(b)</w:t>
      </w:r>
      <w:r w:rsidRPr="009E101D">
        <w:rPr>
          <w:rFonts w:eastAsia="Times New Roman"/>
          <w:color w:val="000000"/>
          <w:sz w:val="23"/>
          <w:szCs w:val="23"/>
          <w:lang w:eastAsia="en-AU"/>
        </w:rPr>
        <w:tab/>
        <w:t>for a second offence—$20 000;</w:t>
      </w:r>
    </w:p>
    <w:p w:rsidR="009E101D" w:rsidRPr="009E101D" w:rsidRDefault="009E101D" w:rsidP="009E101D">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(c)</w:t>
      </w:r>
      <w:r w:rsidRPr="009E101D">
        <w:rPr>
          <w:rFonts w:eastAsia="Times New Roman"/>
          <w:color w:val="000000"/>
          <w:sz w:val="23"/>
          <w:szCs w:val="23"/>
          <w:lang w:eastAsia="en-AU"/>
        </w:rPr>
        <w:tab/>
        <w:t>for a third or subsequent offence—$35 000.</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Expiation fee: $315.</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(5)</w:t>
      </w:r>
      <w:r w:rsidRPr="009E101D">
        <w:rPr>
          <w:rFonts w:eastAsia="Times New Roman"/>
          <w:color w:val="000000"/>
          <w:sz w:val="23"/>
          <w:szCs w:val="23"/>
          <w:lang w:eastAsia="en-AU"/>
        </w:rPr>
        <w:tab/>
        <w:t>In this regulation—</w:t>
      </w:r>
    </w:p>
    <w:p w:rsidR="009E101D" w:rsidRPr="009E101D" w:rsidRDefault="009E101D" w:rsidP="009E101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b/>
          <w:bCs/>
          <w:i/>
          <w:iCs/>
          <w:color w:val="000000"/>
          <w:sz w:val="23"/>
          <w:szCs w:val="23"/>
          <w:lang w:eastAsia="en-AU"/>
        </w:rPr>
        <w:t>closed season</w:t>
      </w:r>
      <w:r w:rsidRPr="009E101D">
        <w:rPr>
          <w:rFonts w:eastAsia="Times New Roman"/>
          <w:color w:val="000000"/>
          <w:sz w:val="23"/>
          <w:szCs w:val="23"/>
          <w:lang w:eastAsia="en-AU"/>
        </w:rPr>
        <w:t xml:space="preserve"> means—</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in relation to the Northern Zone Inner Region—the period commencing at 1800 hours on 31 May in any year and ending at 1200 hours on the following 1 November;</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(b)</w:t>
      </w:r>
      <w:r w:rsidRPr="009E101D">
        <w:rPr>
          <w:rFonts w:eastAsia="Times New Roman"/>
          <w:color w:val="000000"/>
          <w:sz w:val="23"/>
          <w:szCs w:val="23"/>
          <w:lang w:eastAsia="en-AU"/>
        </w:rPr>
        <w:tab/>
        <w:t>in relation to the Southern Zone—the period commencing at 1800 hours on 31 May in any year and ending at 0600 hours on the following 1 October.</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8"/>
      <w:bookmarkStart w:id="39" w:name="id786f5b11_4506_42ff_94d4_54261357d4"/>
      <w:r w:rsidRPr="009E101D">
        <w:rPr>
          <w:rFonts w:eastAsia="Times New Roman"/>
          <w:b/>
          <w:bCs/>
          <w:color w:val="000000"/>
          <w:sz w:val="26"/>
          <w:szCs w:val="26"/>
          <w:lang w:eastAsia="en-AU"/>
        </w:rPr>
        <w:t>5—Variation of regulation 15—Individual rock lobster catch quota system—Northern Zone</w:t>
      </w:r>
      <w:bookmarkEnd w:id="38"/>
      <w:bookmarkEnd w:id="39"/>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(1)</w:t>
      </w:r>
      <w:r w:rsidRPr="009E101D">
        <w:rPr>
          <w:rFonts w:eastAsia="Times New Roman"/>
          <w:color w:val="000000"/>
          <w:sz w:val="23"/>
          <w:szCs w:val="23"/>
          <w:lang w:eastAsia="en-AU"/>
        </w:rPr>
        <w:tab/>
        <w:t xml:space="preserve">Regulation 15(1)—after the definition of </w:t>
      </w:r>
      <w:r w:rsidRPr="009E101D">
        <w:rPr>
          <w:rFonts w:eastAsia="Times New Roman"/>
          <w:b/>
          <w:bCs/>
          <w:i/>
          <w:iCs/>
          <w:color w:val="000000"/>
          <w:sz w:val="23"/>
          <w:szCs w:val="23"/>
          <w:lang w:eastAsia="en-AU"/>
        </w:rPr>
        <w:t>quota period</w:t>
      </w:r>
      <w:r w:rsidRPr="009E101D">
        <w:rPr>
          <w:rFonts w:eastAsia="Times New Roman"/>
          <w:color w:val="000000"/>
          <w:sz w:val="23"/>
          <w:szCs w:val="23"/>
          <w:lang w:eastAsia="en-AU"/>
        </w:rPr>
        <w:t xml:space="preserve"> insert:</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b/>
          <w:bCs/>
          <w:i/>
          <w:iCs/>
          <w:color w:val="000000"/>
          <w:sz w:val="23"/>
          <w:szCs w:val="23"/>
          <w:lang w:eastAsia="en-AU"/>
        </w:rPr>
        <w:t>quota period 2019</w:t>
      </w:r>
      <w:r w:rsidRPr="009E101D">
        <w:rPr>
          <w:rFonts w:eastAsia="Times New Roman"/>
          <w:b/>
          <w:bCs/>
          <w:i/>
          <w:iCs/>
          <w:color w:val="000000"/>
          <w:sz w:val="23"/>
          <w:szCs w:val="23"/>
          <w:lang w:eastAsia="en-AU"/>
        </w:rPr>
        <w:noBreakHyphen/>
        <w:t>2020</w:t>
      </w:r>
      <w:r w:rsidRPr="009E101D">
        <w:rPr>
          <w:rFonts w:eastAsia="Times New Roman"/>
          <w:color w:val="000000"/>
          <w:sz w:val="23"/>
          <w:szCs w:val="23"/>
          <w:lang w:eastAsia="en-AU"/>
        </w:rPr>
        <w:t xml:space="preserve"> means the quota period ending on 31 October 2020;</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b/>
          <w:bCs/>
          <w:i/>
          <w:iCs/>
          <w:color w:val="000000"/>
          <w:sz w:val="23"/>
          <w:szCs w:val="23"/>
          <w:lang w:eastAsia="en-AU"/>
        </w:rPr>
        <w:t>quota period 2020</w:t>
      </w:r>
      <w:r w:rsidRPr="009E101D">
        <w:rPr>
          <w:rFonts w:eastAsia="Times New Roman"/>
          <w:b/>
          <w:bCs/>
          <w:i/>
          <w:iCs/>
          <w:color w:val="000000"/>
          <w:sz w:val="23"/>
          <w:szCs w:val="23"/>
          <w:lang w:eastAsia="en-AU"/>
        </w:rPr>
        <w:noBreakHyphen/>
        <w:t>2021</w:t>
      </w:r>
      <w:r w:rsidRPr="009E101D">
        <w:rPr>
          <w:rFonts w:eastAsia="Times New Roman"/>
          <w:color w:val="000000"/>
          <w:sz w:val="23"/>
          <w:szCs w:val="23"/>
          <w:lang w:eastAsia="en-AU"/>
        </w:rPr>
        <w:t xml:space="preserve"> means the quota period ending on 31 October 2021;</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b/>
          <w:bCs/>
          <w:i/>
          <w:iCs/>
          <w:color w:val="000000"/>
          <w:sz w:val="23"/>
          <w:szCs w:val="23"/>
          <w:lang w:eastAsia="en-AU"/>
        </w:rPr>
        <w:t>quota period 2021</w:t>
      </w:r>
      <w:r w:rsidRPr="009E101D">
        <w:rPr>
          <w:rFonts w:eastAsia="Times New Roman"/>
          <w:b/>
          <w:bCs/>
          <w:i/>
          <w:iCs/>
          <w:color w:val="000000"/>
          <w:sz w:val="23"/>
          <w:szCs w:val="23"/>
          <w:lang w:eastAsia="en-AU"/>
        </w:rPr>
        <w:noBreakHyphen/>
        <w:t>2022</w:t>
      </w:r>
      <w:r w:rsidRPr="009E101D">
        <w:rPr>
          <w:rFonts w:eastAsia="Times New Roman"/>
          <w:color w:val="000000"/>
          <w:sz w:val="23"/>
          <w:szCs w:val="23"/>
          <w:lang w:eastAsia="en-AU"/>
        </w:rPr>
        <w:t xml:space="preserve"> means the quota period ending on 31 October 2022;</w:t>
      </w:r>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Regulation 15(3)—after paragraph (a) insert:</w:t>
      </w:r>
    </w:p>
    <w:p w:rsidR="009E101D" w:rsidRPr="009E101D" w:rsidRDefault="009E101D" w:rsidP="009E101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(ab)</w:t>
      </w:r>
      <w:r w:rsidRPr="009E101D">
        <w:rPr>
          <w:rFonts w:eastAsia="Times New Roman"/>
          <w:color w:val="000000"/>
          <w:sz w:val="23"/>
          <w:szCs w:val="23"/>
          <w:lang w:eastAsia="en-AU"/>
        </w:rPr>
        <w:tab/>
        <w:t>if the total catch of rock lobster taken by the holder of a licence in a particular Northern Zone Region during the 2019</w:t>
      </w:r>
      <w:r w:rsidRPr="009E101D">
        <w:rPr>
          <w:rFonts w:eastAsia="Times New Roman"/>
          <w:color w:val="000000"/>
          <w:sz w:val="23"/>
          <w:szCs w:val="23"/>
          <w:lang w:eastAsia="en-AU"/>
        </w:rPr>
        <w:noBreakHyphen/>
        <w:t>2020 quota period is less than the rock lobster quota entitlement under the licence for that Region and that quota period, the Minister may vary the conditions of the licence so as to increase the quota entitlement in respect of that Region for the quota periods 2020</w:t>
      </w:r>
      <w:r w:rsidRPr="009E101D">
        <w:rPr>
          <w:rFonts w:eastAsia="Times New Roman"/>
          <w:color w:val="000000"/>
          <w:sz w:val="23"/>
          <w:szCs w:val="23"/>
          <w:lang w:eastAsia="en-AU"/>
        </w:rPr>
        <w:noBreakHyphen/>
        <w:t>2021 and 2021</w:t>
      </w:r>
      <w:r w:rsidRPr="009E101D">
        <w:rPr>
          <w:rFonts w:eastAsia="Times New Roman"/>
          <w:color w:val="000000"/>
          <w:sz w:val="23"/>
          <w:szCs w:val="23"/>
          <w:lang w:eastAsia="en-AU"/>
        </w:rPr>
        <w:noBreakHyphen/>
        <w:t>2022 by up to 1 kilogram of rock lobster for each kilogram by which the catch fell short of the rock lobster entitlement under the licence for the 2019</w:t>
      </w:r>
      <w:r w:rsidRPr="009E101D">
        <w:rPr>
          <w:rFonts w:eastAsia="Times New Roman"/>
          <w:color w:val="000000"/>
          <w:sz w:val="23"/>
          <w:szCs w:val="23"/>
          <w:lang w:eastAsia="en-AU"/>
        </w:rPr>
        <w:noBreakHyphen/>
        <w:t>2020 quota period;</w:t>
      </w:r>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(3)</w:t>
      </w:r>
      <w:r w:rsidRPr="009E101D">
        <w:rPr>
          <w:rFonts w:eastAsia="Times New Roman"/>
          <w:color w:val="000000"/>
          <w:sz w:val="23"/>
          <w:szCs w:val="23"/>
          <w:lang w:eastAsia="en-AU"/>
        </w:rPr>
        <w:tab/>
        <w:t>Regulation 15—after subregulation (3) insert:</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(3a)</w:t>
      </w:r>
      <w:r w:rsidRPr="009E101D">
        <w:rPr>
          <w:rFonts w:eastAsia="Times New Roman"/>
          <w:color w:val="000000"/>
          <w:sz w:val="23"/>
          <w:szCs w:val="23"/>
          <w:lang w:eastAsia="en-AU"/>
        </w:rPr>
        <w:tab/>
        <w:t>In determining whether to vary the conditions of a licence under subregulation (3)(ab) so as to increase the rock lobster entitlement under the licence for a particular Northern Zone Region and the 2021</w:t>
      </w:r>
      <w:r w:rsidRPr="009E101D">
        <w:rPr>
          <w:rFonts w:eastAsia="Times New Roman"/>
          <w:color w:val="000000"/>
          <w:sz w:val="23"/>
          <w:szCs w:val="23"/>
          <w:lang w:eastAsia="en-AU"/>
        </w:rPr>
        <w:noBreakHyphen/>
        <w:t>2022 quota period, the Minister must take into account—</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the total catch of rock lobster taken by the holder of the licence in that Region during the 2020</w:t>
      </w:r>
      <w:r w:rsidRPr="009E101D">
        <w:rPr>
          <w:rFonts w:eastAsia="Times New Roman"/>
          <w:color w:val="000000"/>
          <w:sz w:val="23"/>
          <w:szCs w:val="23"/>
          <w:lang w:eastAsia="en-AU"/>
        </w:rPr>
        <w:noBreakHyphen/>
        <w:t>2021 quota period; and</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lastRenderedPageBreak/>
        <w:tab/>
        <w:t>(b)</w:t>
      </w:r>
      <w:r w:rsidRPr="009E101D">
        <w:rPr>
          <w:rFonts w:eastAsia="Times New Roman"/>
          <w:color w:val="000000"/>
          <w:sz w:val="23"/>
          <w:szCs w:val="23"/>
          <w:lang w:eastAsia="en-AU"/>
        </w:rPr>
        <w:tab/>
        <w:t>any increase in the rock lobster quota entitlement under that licence in respect of that Region for the 2020</w:t>
      </w:r>
      <w:r w:rsidRPr="009E101D">
        <w:rPr>
          <w:rFonts w:eastAsia="Times New Roman"/>
          <w:color w:val="000000"/>
          <w:sz w:val="23"/>
          <w:szCs w:val="23"/>
          <w:lang w:eastAsia="en-AU"/>
        </w:rPr>
        <w:noBreakHyphen/>
        <w:t>2021 quota period.</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0" w:name="Elkera_Print_TOC9"/>
      <w:bookmarkStart w:id="41" w:name="Elkera_Print_BK9"/>
      <w:r w:rsidRPr="009E101D">
        <w:rPr>
          <w:rFonts w:eastAsia="Times New Roman"/>
          <w:b/>
          <w:bCs/>
          <w:color w:val="000000"/>
          <w:sz w:val="26"/>
          <w:szCs w:val="26"/>
          <w:lang w:eastAsia="en-AU"/>
        </w:rPr>
        <w:t>6—Variation of regulation 16—Individual rock lobster catch quota system—Southern Zone</w:t>
      </w:r>
      <w:bookmarkEnd w:id="40"/>
      <w:bookmarkEnd w:id="41"/>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(1)</w:t>
      </w:r>
      <w:r w:rsidRPr="009E101D">
        <w:rPr>
          <w:rFonts w:eastAsia="Times New Roman"/>
          <w:color w:val="000000"/>
          <w:sz w:val="23"/>
          <w:szCs w:val="23"/>
          <w:lang w:eastAsia="en-AU"/>
        </w:rPr>
        <w:tab/>
        <w:t xml:space="preserve">Regulation 16(1)—after the definition of </w:t>
      </w:r>
      <w:r w:rsidRPr="009E101D">
        <w:rPr>
          <w:rFonts w:eastAsia="Times New Roman"/>
          <w:b/>
          <w:bCs/>
          <w:i/>
          <w:iCs/>
          <w:color w:val="000000"/>
          <w:sz w:val="23"/>
          <w:szCs w:val="23"/>
          <w:lang w:eastAsia="en-AU"/>
        </w:rPr>
        <w:t>quota period</w:t>
      </w:r>
      <w:r w:rsidRPr="009E101D">
        <w:rPr>
          <w:rFonts w:eastAsia="Times New Roman"/>
          <w:color w:val="000000"/>
          <w:sz w:val="23"/>
          <w:szCs w:val="23"/>
          <w:lang w:eastAsia="en-AU"/>
        </w:rPr>
        <w:t xml:space="preserve"> insert:</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b/>
          <w:bCs/>
          <w:i/>
          <w:iCs/>
          <w:color w:val="000000"/>
          <w:sz w:val="23"/>
          <w:szCs w:val="23"/>
          <w:lang w:eastAsia="en-AU"/>
        </w:rPr>
        <w:t>quota period 2019</w:t>
      </w:r>
      <w:r w:rsidRPr="009E101D">
        <w:rPr>
          <w:rFonts w:eastAsia="Times New Roman"/>
          <w:b/>
          <w:bCs/>
          <w:i/>
          <w:iCs/>
          <w:color w:val="000000"/>
          <w:sz w:val="23"/>
          <w:szCs w:val="23"/>
          <w:lang w:eastAsia="en-AU"/>
        </w:rPr>
        <w:noBreakHyphen/>
        <w:t>2020</w:t>
      </w:r>
      <w:r w:rsidRPr="009E101D">
        <w:rPr>
          <w:rFonts w:eastAsia="Times New Roman"/>
          <w:color w:val="000000"/>
          <w:sz w:val="23"/>
          <w:szCs w:val="23"/>
          <w:lang w:eastAsia="en-AU"/>
        </w:rPr>
        <w:t xml:space="preserve"> means the quota period ending on 30 September 2020;</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b/>
          <w:bCs/>
          <w:i/>
          <w:iCs/>
          <w:color w:val="000000"/>
          <w:sz w:val="23"/>
          <w:szCs w:val="23"/>
          <w:lang w:eastAsia="en-AU"/>
        </w:rPr>
        <w:t>quota period 2020</w:t>
      </w:r>
      <w:r w:rsidRPr="009E101D">
        <w:rPr>
          <w:rFonts w:eastAsia="Times New Roman"/>
          <w:b/>
          <w:bCs/>
          <w:i/>
          <w:iCs/>
          <w:color w:val="000000"/>
          <w:sz w:val="23"/>
          <w:szCs w:val="23"/>
          <w:lang w:eastAsia="en-AU"/>
        </w:rPr>
        <w:noBreakHyphen/>
        <w:t>2021</w:t>
      </w:r>
      <w:r w:rsidRPr="009E101D">
        <w:rPr>
          <w:rFonts w:eastAsia="Times New Roman"/>
          <w:color w:val="000000"/>
          <w:sz w:val="23"/>
          <w:szCs w:val="23"/>
          <w:lang w:eastAsia="en-AU"/>
        </w:rPr>
        <w:t xml:space="preserve"> means the quota period ending on 30 September 2021;</w:t>
      </w:r>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Regulation 16(3)—after paragraph (a) insert:</w:t>
      </w:r>
    </w:p>
    <w:p w:rsidR="009E101D" w:rsidRPr="009E101D" w:rsidRDefault="009E101D" w:rsidP="009E101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(ab)</w:t>
      </w:r>
      <w:r w:rsidRPr="009E101D">
        <w:rPr>
          <w:rFonts w:eastAsia="Times New Roman"/>
          <w:color w:val="000000"/>
          <w:sz w:val="23"/>
          <w:szCs w:val="23"/>
          <w:lang w:eastAsia="en-AU"/>
        </w:rPr>
        <w:tab/>
        <w:t>if the total catch of rock lobster taken by the holder of a licence during the 2019</w:t>
      </w:r>
      <w:r w:rsidRPr="009E101D">
        <w:rPr>
          <w:rFonts w:eastAsia="Times New Roman"/>
          <w:color w:val="000000"/>
          <w:sz w:val="23"/>
          <w:szCs w:val="23"/>
          <w:lang w:eastAsia="en-AU"/>
        </w:rPr>
        <w:noBreakHyphen/>
        <w:t>2020 quota period is less than the rock lobster quota entitlement under the licence for that quota period, the Minister may vary the conditions of the licence so as to increase the quota entitlement for the 2020</w:t>
      </w:r>
      <w:r w:rsidRPr="009E101D">
        <w:rPr>
          <w:rFonts w:eastAsia="Times New Roman"/>
          <w:color w:val="000000"/>
          <w:sz w:val="23"/>
          <w:szCs w:val="23"/>
          <w:lang w:eastAsia="en-AU"/>
        </w:rPr>
        <w:noBreakHyphen/>
        <w:t>2021 quota period by 1 kilogram of rock lobster for each kilogram by which the catch fell short of the rock lobster entitlement under the licence for the 2019</w:t>
      </w:r>
      <w:r w:rsidRPr="009E101D">
        <w:rPr>
          <w:rFonts w:eastAsia="Times New Roman"/>
          <w:color w:val="000000"/>
          <w:sz w:val="23"/>
          <w:szCs w:val="23"/>
          <w:lang w:eastAsia="en-AU"/>
        </w:rPr>
        <w:noBreakHyphen/>
        <w:t>2020 quota period;</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2" w:name="Elkera_Print_TOC10"/>
      <w:bookmarkStart w:id="43" w:name="Elkera_Print_BK10"/>
      <w:r w:rsidRPr="009E101D">
        <w:rPr>
          <w:rFonts w:eastAsia="Times New Roman"/>
          <w:b/>
          <w:bCs/>
          <w:color w:val="000000"/>
          <w:sz w:val="26"/>
          <w:szCs w:val="26"/>
          <w:lang w:eastAsia="en-AU"/>
        </w:rPr>
        <w:t>7—Variation of regulation 29—Sale of rock lobster during closed season</w:t>
      </w:r>
      <w:bookmarkEnd w:id="42"/>
      <w:bookmarkEnd w:id="43"/>
    </w:p>
    <w:p w:rsidR="009E101D" w:rsidRPr="009E101D" w:rsidRDefault="009E101D" w:rsidP="009E101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Regulation 29(1)—delete "The" and substitute:</w:t>
      </w:r>
    </w:p>
    <w:p w:rsidR="009E101D" w:rsidRPr="009E101D" w:rsidRDefault="009E101D" w:rsidP="009E101D">
      <w:pPr>
        <w:keepLines/>
        <w:autoSpaceDE w:val="0"/>
        <w:autoSpaceDN w:val="0"/>
        <w:adjustRightInd w:val="0"/>
        <w:spacing w:before="120" w:after="0" w:line="240" w:lineRule="auto"/>
        <w:ind w:left="1588"/>
        <w:jc w:val="left"/>
        <w:rPr>
          <w:rFonts w:eastAsia="Times New Roman"/>
          <w:color w:val="000000"/>
          <w:sz w:val="23"/>
          <w:szCs w:val="23"/>
          <w:lang w:eastAsia="en-AU"/>
        </w:rPr>
      </w:pPr>
      <w:r w:rsidRPr="009E101D">
        <w:rPr>
          <w:rFonts w:eastAsia="Times New Roman"/>
          <w:color w:val="000000"/>
          <w:sz w:val="23"/>
          <w:szCs w:val="23"/>
          <w:lang w:eastAsia="en-AU"/>
        </w:rPr>
        <w:t>Unless the Minister has, by notice in the Gazette, made a determination to the contrary, the</w:t>
      </w:r>
    </w:p>
    <w:p w:rsidR="009E101D" w:rsidRPr="009E101D" w:rsidRDefault="009E101D" w:rsidP="009E101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E101D">
        <w:rPr>
          <w:rFonts w:eastAsia="Times New Roman"/>
          <w:b/>
          <w:bCs/>
          <w:color w:val="000000"/>
          <w:sz w:val="20"/>
          <w:szCs w:val="20"/>
          <w:lang w:eastAsia="en-AU"/>
        </w:rPr>
        <w:t>Note—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0"/>
          <w:szCs w:val="20"/>
          <w:lang w:eastAsia="en-AU"/>
        </w:rPr>
      </w:pPr>
      <w:r w:rsidRPr="009E101D">
        <w:rPr>
          <w:rFonts w:eastAsia="Times New Roman"/>
          <w:color w:val="000000"/>
          <w:sz w:val="20"/>
          <w:szCs w:val="20"/>
          <w:lang w:eastAsia="en-AU"/>
        </w:rPr>
        <w:t xml:space="preserve">As required by section 10AA(2) of the </w:t>
      </w:r>
      <w:hyperlink r:id="rId31" w:history="1">
        <w:r w:rsidRPr="009E101D">
          <w:rPr>
            <w:rFonts w:eastAsia="Times New Roman"/>
            <w:i/>
            <w:iCs/>
            <w:color w:val="000000"/>
            <w:sz w:val="20"/>
            <w:szCs w:val="20"/>
            <w:lang w:eastAsia="en-AU"/>
          </w:rPr>
          <w:t>Subordinate Legislation Act 1978</w:t>
        </w:r>
      </w:hyperlink>
      <w:r w:rsidRPr="009E101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E101D" w:rsidRPr="009E101D" w:rsidRDefault="009E101D" w:rsidP="009E101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E101D">
        <w:rPr>
          <w:rFonts w:eastAsia="Times New Roman"/>
          <w:b/>
          <w:bCs/>
          <w:color w:val="000000"/>
          <w:sz w:val="26"/>
          <w:szCs w:val="26"/>
          <w:lang w:eastAsia="en-AU"/>
        </w:rPr>
        <w:t>Made by the Governor</w:t>
      </w:r>
    </w:p>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with the advice and consent of the Executive Council</w:t>
      </w:r>
    </w:p>
    <w:p w:rsidR="009E101D" w:rsidRPr="009E101D" w:rsidRDefault="009E101D" w:rsidP="009E101D">
      <w:pPr>
        <w:keepNext/>
        <w:keepLines/>
        <w:autoSpaceDE w:val="0"/>
        <w:autoSpaceDN w:val="0"/>
        <w:adjustRightInd w:val="0"/>
        <w:spacing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on 21 May 2020</w:t>
      </w:r>
    </w:p>
    <w:p w:rsid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No 67 of 2020</w:t>
      </w:r>
    </w:p>
    <w:p w:rsidR="009E101D" w:rsidRDefault="009E101D" w:rsidP="009E101D">
      <w:pPr>
        <w:pBdr>
          <w:bottom w:val="single" w:sz="4" w:space="1" w:color="auto"/>
        </w:pBdr>
        <w:spacing w:after="0" w:line="52" w:lineRule="exact"/>
        <w:jc w:val="center"/>
        <w:rPr>
          <w:rFonts w:eastAsia="Times New Roman"/>
          <w:color w:val="000000"/>
          <w:sz w:val="23"/>
          <w:szCs w:val="23"/>
          <w:lang w:eastAsia="en-AU"/>
        </w:rPr>
      </w:pPr>
    </w:p>
    <w:p w:rsidR="009E101D" w:rsidRDefault="009E101D" w:rsidP="009E101D">
      <w:pPr>
        <w:pBdr>
          <w:top w:val="single" w:sz="4" w:space="1" w:color="auto"/>
        </w:pBdr>
        <w:spacing w:before="34" w:after="0" w:line="14" w:lineRule="exact"/>
        <w:jc w:val="center"/>
        <w:rPr>
          <w:rFonts w:eastAsia="Times New Roman"/>
          <w:color w:val="000000"/>
          <w:sz w:val="23"/>
          <w:szCs w:val="23"/>
          <w:lang w:eastAsia="en-AU"/>
        </w:rPr>
      </w:pPr>
    </w:p>
    <w:p w:rsidR="009E101D" w:rsidRPr="009E101D" w:rsidRDefault="009E101D" w:rsidP="009E101D">
      <w:pPr>
        <w:keepLines/>
        <w:autoSpaceDE w:val="0"/>
        <w:autoSpaceDN w:val="0"/>
        <w:adjustRightInd w:val="0"/>
        <w:spacing w:before="240" w:after="0" w:line="240" w:lineRule="auto"/>
        <w:rPr>
          <w:rFonts w:eastAsia="Times New Roman"/>
          <w:color w:val="000000"/>
          <w:sz w:val="28"/>
          <w:szCs w:val="28"/>
          <w:lang w:eastAsia="en-AU"/>
        </w:rPr>
      </w:pPr>
      <w:r>
        <w:br w:type="page"/>
      </w:r>
      <w:r w:rsidRPr="009E101D">
        <w:rPr>
          <w:rFonts w:eastAsia="Times New Roman"/>
          <w:color w:val="000000"/>
          <w:sz w:val="28"/>
          <w:szCs w:val="28"/>
          <w:lang w:eastAsia="en-AU"/>
        </w:rPr>
        <w:lastRenderedPageBreak/>
        <w:t>South Australia</w:t>
      </w:r>
    </w:p>
    <w:p w:rsidR="009E101D" w:rsidRPr="009E101D" w:rsidRDefault="009E101D" w:rsidP="00BB557D">
      <w:pPr>
        <w:pStyle w:val="Heading3"/>
        <w:rPr>
          <w:rFonts w:eastAsia="Times New Roman"/>
          <w:b w:val="0"/>
          <w:bCs w:val="0"/>
          <w:lang w:eastAsia="en-AU"/>
        </w:rPr>
      </w:pPr>
      <w:bookmarkStart w:id="44" w:name="_Toc40954864"/>
      <w:r w:rsidRPr="009E101D">
        <w:rPr>
          <w:rFonts w:eastAsia="Times New Roman"/>
          <w:lang w:eastAsia="en-AU"/>
        </w:rPr>
        <w:t>Fisheries Management (General) (Section 70—Prescribed Fishing Activities) Variation Regulations 2020</w:t>
      </w:r>
      <w:bookmarkEnd w:id="44"/>
    </w:p>
    <w:p w:rsidR="009E101D" w:rsidRPr="009E101D" w:rsidRDefault="009E101D" w:rsidP="009E101D">
      <w:pPr>
        <w:keepLines/>
        <w:autoSpaceDE w:val="0"/>
        <w:autoSpaceDN w:val="0"/>
        <w:adjustRightInd w:val="0"/>
        <w:spacing w:before="80" w:after="240" w:line="240" w:lineRule="auto"/>
        <w:jc w:val="left"/>
        <w:rPr>
          <w:rFonts w:eastAsia="Times New Roman"/>
          <w:color w:val="000000"/>
          <w:sz w:val="24"/>
          <w:szCs w:val="24"/>
          <w:lang w:eastAsia="en-AU"/>
        </w:rPr>
      </w:pPr>
      <w:r w:rsidRPr="009E101D">
        <w:rPr>
          <w:rFonts w:eastAsia="Times New Roman"/>
          <w:color w:val="000000"/>
          <w:sz w:val="24"/>
          <w:szCs w:val="24"/>
          <w:lang w:eastAsia="en-AU"/>
        </w:rPr>
        <w:t xml:space="preserve">under the </w:t>
      </w:r>
      <w:r w:rsidRPr="009E101D">
        <w:rPr>
          <w:rFonts w:eastAsia="Times New Roman"/>
          <w:i/>
          <w:iCs/>
          <w:color w:val="000000"/>
          <w:sz w:val="24"/>
          <w:szCs w:val="24"/>
          <w:lang w:eastAsia="en-AU"/>
        </w:rPr>
        <w:t>Fisheries Management Act 2007</w:t>
      </w:r>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Lines/>
        <w:autoSpaceDE w:val="0"/>
        <w:autoSpaceDN w:val="0"/>
        <w:adjustRightInd w:val="0"/>
        <w:spacing w:before="120" w:after="0" w:line="240" w:lineRule="auto"/>
        <w:jc w:val="left"/>
        <w:rPr>
          <w:rFonts w:eastAsia="Times New Roman"/>
          <w:b/>
          <w:bCs/>
          <w:color w:val="000000"/>
          <w:sz w:val="32"/>
          <w:szCs w:val="32"/>
          <w:lang w:eastAsia="en-AU"/>
        </w:rPr>
      </w:pPr>
      <w:r w:rsidRPr="009E101D">
        <w:rPr>
          <w:rFonts w:eastAsia="Times New Roman"/>
          <w:b/>
          <w:bCs/>
          <w:color w:val="000000"/>
          <w:sz w:val="32"/>
          <w:szCs w:val="32"/>
          <w:lang w:eastAsia="en-AU"/>
        </w:rPr>
        <w:t>Contents</w:t>
      </w:r>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E101D" w:rsidRPr="009E101D">
          <w:rPr>
            <w:rFonts w:eastAsia="Times New Roman"/>
            <w:color w:val="000000"/>
            <w:sz w:val="28"/>
            <w:szCs w:val="28"/>
            <w:lang w:eastAsia="en-AU"/>
          </w:rPr>
          <w:t>Part 1—Preliminary</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E101D" w:rsidRPr="009E101D">
          <w:rPr>
            <w:rFonts w:eastAsia="Times New Roman"/>
            <w:color w:val="000000"/>
            <w:sz w:val="22"/>
            <w:lang w:eastAsia="en-AU"/>
          </w:rPr>
          <w:t>1</w:t>
        </w:r>
        <w:r w:rsidR="009E101D" w:rsidRPr="009E101D">
          <w:rPr>
            <w:rFonts w:eastAsia="Times New Roman"/>
            <w:color w:val="000000"/>
            <w:sz w:val="22"/>
            <w:lang w:eastAsia="en-AU"/>
          </w:rPr>
          <w:tab/>
          <w:t>Short title</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E101D" w:rsidRPr="009E101D">
          <w:rPr>
            <w:rFonts w:eastAsia="Times New Roman"/>
            <w:color w:val="000000"/>
            <w:sz w:val="22"/>
            <w:lang w:eastAsia="en-AU"/>
          </w:rPr>
          <w:t>2</w:t>
        </w:r>
        <w:r w:rsidR="009E101D" w:rsidRPr="009E101D">
          <w:rPr>
            <w:rFonts w:eastAsia="Times New Roman"/>
            <w:color w:val="000000"/>
            <w:sz w:val="22"/>
            <w:lang w:eastAsia="en-AU"/>
          </w:rPr>
          <w:tab/>
          <w:t>Commencement</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E101D" w:rsidRPr="009E101D">
          <w:rPr>
            <w:rFonts w:eastAsia="Times New Roman"/>
            <w:color w:val="000000"/>
            <w:sz w:val="22"/>
            <w:lang w:eastAsia="en-AU"/>
          </w:rPr>
          <w:t>3</w:t>
        </w:r>
        <w:r w:rsidR="009E101D" w:rsidRPr="009E101D">
          <w:rPr>
            <w:rFonts w:eastAsia="Times New Roman"/>
            <w:color w:val="000000"/>
            <w:sz w:val="22"/>
            <w:lang w:eastAsia="en-AU"/>
          </w:rPr>
          <w:tab/>
          <w:t>Variation provisions</w:t>
        </w:r>
      </w:hyperlink>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E101D" w:rsidRPr="009E101D">
          <w:rPr>
            <w:rFonts w:eastAsia="Times New Roman"/>
            <w:color w:val="000000"/>
            <w:sz w:val="28"/>
            <w:szCs w:val="28"/>
            <w:lang w:eastAsia="en-AU"/>
          </w:rPr>
          <w:t xml:space="preserve">Part 2—Variation of </w:t>
        </w:r>
        <w:r w:rsidR="009E101D" w:rsidRPr="009E101D">
          <w:rPr>
            <w:rFonts w:eastAsia="Times New Roman"/>
            <w:i/>
            <w:iCs/>
            <w:color w:val="000000"/>
            <w:sz w:val="28"/>
            <w:szCs w:val="28"/>
            <w:lang w:eastAsia="en-AU"/>
          </w:rPr>
          <w:t>Fisheries Management (General) Regulations 2017</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E101D" w:rsidRPr="009E101D">
          <w:rPr>
            <w:rFonts w:eastAsia="Times New Roman"/>
            <w:color w:val="000000"/>
            <w:sz w:val="22"/>
            <w:lang w:eastAsia="en-AU"/>
          </w:rPr>
          <w:t>4</w:t>
        </w:r>
        <w:r w:rsidR="009E101D" w:rsidRPr="009E101D">
          <w:rPr>
            <w:rFonts w:eastAsia="Times New Roman"/>
            <w:color w:val="000000"/>
            <w:sz w:val="22"/>
            <w:lang w:eastAsia="en-AU"/>
          </w:rPr>
          <w:tab/>
          <w:t>Variation of regulation 22—Taking rock lobster or setting rock lobster pots in Northern or Southern Zone during closed season</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9E101D" w:rsidRPr="009E101D">
          <w:rPr>
            <w:rFonts w:eastAsia="Times New Roman"/>
            <w:color w:val="000000"/>
            <w:sz w:val="22"/>
            <w:lang w:eastAsia="en-AU"/>
          </w:rPr>
          <w:t>5</w:t>
        </w:r>
        <w:r w:rsidR="009E101D" w:rsidRPr="009E101D">
          <w:rPr>
            <w:rFonts w:eastAsia="Times New Roman"/>
            <w:color w:val="000000"/>
            <w:sz w:val="22"/>
            <w:lang w:eastAsia="en-AU"/>
          </w:rPr>
          <w:tab/>
          <w:t>Variation of Schedule 6—Classes of fishing activities prescribed for purposes of section 70 of Act</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9E101D" w:rsidRPr="009E101D">
          <w:rPr>
            <w:rFonts w:eastAsia="Times New Roman"/>
            <w:color w:val="000000"/>
            <w:sz w:val="22"/>
            <w:lang w:eastAsia="en-AU"/>
          </w:rPr>
          <w:t>6</w:t>
        </w:r>
        <w:r w:rsidR="009E101D" w:rsidRPr="009E101D">
          <w:rPr>
            <w:rFonts w:eastAsia="Times New Roman"/>
            <w:color w:val="000000"/>
            <w:sz w:val="22"/>
            <w:lang w:eastAsia="en-AU"/>
          </w:rPr>
          <w:tab/>
          <w:t>Variation of Schedule 11—Expiation fees</w:t>
        </w:r>
      </w:hyperlink>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Part 1—Preliminary</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1—Short title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may be cited as the </w:t>
      </w:r>
      <w:r w:rsidRPr="009E101D">
        <w:rPr>
          <w:rFonts w:eastAsia="Times New Roman"/>
          <w:i/>
          <w:iCs/>
          <w:color w:val="000000"/>
          <w:sz w:val="23"/>
          <w:szCs w:val="23"/>
          <w:lang w:eastAsia="en-AU"/>
        </w:rPr>
        <w:t>Fisheries Management (General) (Section 70—Prescribed Fishing Activities) Variation Regulations 2020</w:t>
      </w:r>
      <w:r w:rsidRPr="009E101D">
        <w:rPr>
          <w:rFonts w:eastAsia="Times New Roman"/>
          <w:color w:val="000000"/>
          <w:sz w:val="23"/>
          <w:szCs w:val="23"/>
          <w:lang w:eastAsia="en-AU"/>
        </w:rPr>
        <w:t>.</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2—Commencement</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come into operation on the day on which the </w:t>
      </w:r>
      <w:hyperlink r:id="rId32" w:history="1">
        <w:r w:rsidRPr="009E101D">
          <w:rPr>
            <w:rFonts w:eastAsia="Times New Roman"/>
            <w:i/>
            <w:iCs/>
            <w:color w:val="000000"/>
            <w:sz w:val="23"/>
            <w:szCs w:val="23"/>
            <w:lang w:eastAsia="en-AU"/>
          </w:rPr>
          <w:t>Fisheries Management (Rock Lobster Fisheries) (Quota) Variation Regulations 2020</w:t>
        </w:r>
      </w:hyperlink>
      <w:r w:rsidRPr="009E101D">
        <w:rPr>
          <w:rFonts w:eastAsia="Times New Roman"/>
          <w:color w:val="000000"/>
          <w:sz w:val="23"/>
          <w:szCs w:val="23"/>
          <w:lang w:eastAsia="en-AU"/>
        </w:rPr>
        <w:t xml:space="preserve"> are made.</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3—Variation provisions</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In these regulations, a provision under a heading referring to the variation of specified regulations varies the regulations so specified.</w:t>
      </w: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 xml:space="preserve">Part 2—Variation of </w:t>
      </w:r>
      <w:r w:rsidRPr="009E101D">
        <w:rPr>
          <w:rFonts w:eastAsia="Times New Roman"/>
          <w:b/>
          <w:bCs/>
          <w:i/>
          <w:iCs/>
          <w:color w:val="000000"/>
          <w:sz w:val="32"/>
          <w:szCs w:val="32"/>
          <w:lang w:eastAsia="en-AU"/>
        </w:rPr>
        <w:t>Fisheries Management (General) Regulations 2017</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4—Variation of regulation 22—Taking rock lobster or setting rock lobster pots in Northern or Southern Zone during closed season</w:t>
      </w:r>
    </w:p>
    <w:p w:rsidR="009E101D" w:rsidRPr="009E101D" w:rsidRDefault="009E101D" w:rsidP="009E101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Regulation 22(3)—delete subregulation (3) and substitute:</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(3)</w:t>
      </w:r>
      <w:r w:rsidRPr="009E101D">
        <w:rPr>
          <w:rFonts w:eastAsia="Times New Roman"/>
          <w:color w:val="000000"/>
          <w:sz w:val="23"/>
          <w:szCs w:val="23"/>
          <w:lang w:eastAsia="en-AU"/>
        </w:rPr>
        <w:tab/>
        <w:t>Unless the Minister has, by notice in the Gazette, made a determination to the contrary, an unlicensed person must not take rock lobster in the Southern Zone during the closed season.</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Maximum penalty: </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for a first offence—$10 000;</w:t>
      </w:r>
    </w:p>
    <w:p w:rsidR="009E101D" w:rsidRPr="009E101D" w:rsidRDefault="009E101D" w:rsidP="009E101D">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lastRenderedPageBreak/>
        <w:tab/>
        <w:t>(b)</w:t>
      </w:r>
      <w:r w:rsidRPr="009E101D">
        <w:rPr>
          <w:rFonts w:eastAsia="Times New Roman"/>
          <w:color w:val="000000"/>
          <w:sz w:val="23"/>
          <w:szCs w:val="23"/>
          <w:lang w:eastAsia="en-AU"/>
        </w:rPr>
        <w:tab/>
        <w:t>for a second or subsequent offence—$20 000.</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Expiation fee: $200.</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(4)</w:t>
      </w:r>
      <w:r w:rsidRPr="009E101D">
        <w:rPr>
          <w:rFonts w:eastAsia="Times New Roman"/>
          <w:color w:val="000000"/>
          <w:sz w:val="23"/>
          <w:szCs w:val="23"/>
          <w:lang w:eastAsia="en-AU"/>
        </w:rPr>
        <w:tab/>
        <w:t>Unless the Minister has, by notice in the Gazette, made a determination to the contrary, an unlicensed person must not set a rock lobster pot in the Southern Zone during the closed season.</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Maximum penalty: </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for a first offence—$10 000;</w:t>
      </w:r>
    </w:p>
    <w:p w:rsidR="009E101D" w:rsidRPr="009E101D" w:rsidRDefault="009E101D" w:rsidP="009E101D">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(b)</w:t>
      </w:r>
      <w:r w:rsidRPr="009E101D">
        <w:rPr>
          <w:rFonts w:eastAsia="Times New Roman"/>
          <w:color w:val="000000"/>
          <w:sz w:val="23"/>
          <w:szCs w:val="23"/>
          <w:lang w:eastAsia="en-AU"/>
        </w:rPr>
        <w:tab/>
        <w:t>for a second or subsequent offence—$20 000.</w:t>
      </w:r>
    </w:p>
    <w:p w:rsidR="009E101D" w:rsidRPr="009E101D" w:rsidRDefault="009E101D" w:rsidP="009E101D">
      <w:pPr>
        <w:keepLines/>
        <w:autoSpaceDE w:val="0"/>
        <w:autoSpaceDN w:val="0"/>
        <w:adjustRightInd w:val="0"/>
        <w:spacing w:before="8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Expiation fee: $315.</w:t>
      </w:r>
    </w:p>
    <w:p w:rsidR="009E101D" w:rsidRPr="009E101D" w:rsidRDefault="009E101D" w:rsidP="009E101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(5)</w:t>
      </w:r>
      <w:r w:rsidRPr="009E101D">
        <w:rPr>
          <w:rFonts w:eastAsia="Times New Roman"/>
          <w:color w:val="000000"/>
          <w:sz w:val="23"/>
          <w:szCs w:val="23"/>
          <w:lang w:eastAsia="en-AU"/>
        </w:rPr>
        <w:tab/>
        <w:t>In this regulation—</w:t>
      </w:r>
    </w:p>
    <w:p w:rsidR="009E101D" w:rsidRPr="009E101D" w:rsidRDefault="009E101D" w:rsidP="009E101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b/>
          <w:bCs/>
          <w:i/>
          <w:iCs/>
          <w:color w:val="000000"/>
          <w:sz w:val="23"/>
          <w:szCs w:val="23"/>
          <w:lang w:eastAsia="en-AU"/>
        </w:rPr>
        <w:t>closed season</w:t>
      </w:r>
      <w:r w:rsidRPr="009E101D">
        <w:rPr>
          <w:rFonts w:eastAsia="Times New Roman"/>
          <w:color w:val="000000"/>
          <w:sz w:val="23"/>
          <w:szCs w:val="23"/>
          <w:lang w:eastAsia="en-AU"/>
        </w:rPr>
        <w:t xml:space="preserve"> means—</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(a)</w:t>
      </w:r>
      <w:r w:rsidRPr="009E101D">
        <w:rPr>
          <w:rFonts w:eastAsia="Times New Roman"/>
          <w:color w:val="000000"/>
          <w:sz w:val="23"/>
          <w:szCs w:val="23"/>
          <w:lang w:eastAsia="en-AU"/>
        </w:rPr>
        <w:tab/>
        <w:t>in relation to the Northern Zone—the period commencing at 1800 hours on 31 May in any year and ending at 1200 hours on the following 1 November;</w:t>
      </w:r>
    </w:p>
    <w:p w:rsidR="009E101D" w:rsidRPr="009E101D" w:rsidRDefault="009E101D" w:rsidP="009E101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E101D">
        <w:rPr>
          <w:rFonts w:eastAsia="Times New Roman"/>
          <w:color w:val="000000"/>
          <w:sz w:val="23"/>
          <w:szCs w:val="23"/>
          <w:lang w:eastAsia="en-AU"/>
        </w:rPr>
        <w:tab/>
        <w:t>(b)</w:t>
      </w:r>
      <w:r w:rsidRPr="009E101D">
        <w:rPr>
          <w:rFonts w:eastAsia="Times New Roman"/>
          <w:color w:val="000000"/>
          <w:sz w:val="23"/>
          <w:szCs w:val="23"/>
          <w:lang w:eastAsia="en-AU"/>
        </w:rPr>
        <w:tab/>
        <w:t>in relation to the Southern Zone—the period commencing at 1800 hours on 31 May in any year and ending at 0600 hours on the following 1 October.</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5—Variation of Schedule 6—Classes of fishing activities prescribed for purposes of section 70 of Act</w:t>
      </w:r>
    </w:p>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5" w:name="ida064d256_1a02_4b5c_a6d1_000118ac2c"/>
      <w:r w:rsidRPr="009E101D">
        <w:rPr>
          <w:rFonts w:eastAsia="Times New Roman"/>
          <w:color w:val="000000"/>
          <w:sz w:val="23"/>
          <w:szCs w:val="23"/>
          <w:lang w:eastAsia="en-AU"/>
        </w:rPr>
        <w:tab/>
        <w:t>(1)</w:t>
      </w:r>
      <w:r w:rsidRPr="009E101D">
        <w:rPr>
          <w:rFonts w:eastAsia="Times New Roman"/>
          <w:color w:val="000000"/>
          <w:sz w:val="23"/>
          <w:szCs w:val="23"/>
          <w:lang w:eastAsia="en-AU"/>
        </w:rPr>
        <w:tab/>
        <w:t>Schedule 6, clause 120, table—delete the heading "</w:t>
      </w:r>
      <w:r w:rsidRPr="009E101D">
        <w:rPr>
          <w:rFonts w:eastAsia="Times New Roman"/>
          <w:b/>
          <w:bCs/>
          <w:color w:val="000000"/>
          <w:sz w:val="23"/>
          <w:szCs w:val="23"/>
          <w:lang w:eastAsia="en-AU"/>
        </w:rPr>
        <w:t>Crustaceans</w:t>
      </w:r>
      <w:r w:rsidRPr="009E101D">
        <w:rPr>
          <w:rFonts w:eastAsia="Times New Roman"/>
          <w:color w:val="000000"/>
          <w:sz w:val="23"/>
          <w:szCs w:val="23"/>
          <w:lang w:eastAsia="en-AU"/>
        </w:rPr>
        <w:t>" and the entries relating to Southern Rock Lobster</w:t>
      </w:r>
      <w:bookmarkEnd w:id="45"/>
    </w:p>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Schedule 6, clause 122—delete the clause</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6" w:name="Elkera_Print_BK8"/>
      <w:r w:rsidRPr="009E101D">
        <w:rPr>
          <w:rFonts w:eastAsia="Times New Roman"/>
          <w:b/>
          <w:bCs/>
          <w:color w:val="000000"/>
          <w:sz w:val="26"/>
          <w:szCs w:val="26"/>
          <w:lang w:eastAsia="en-AU"/>
        </w:rPr>
        <w:t>6—Variation of Schedule 11—Expiation fees</w:t>
      </w:r>
      <w:bookmarkEnd w:id="46"/>
    </w:p>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(1)</w:t>
      </w:r>
      <w:r w:rsidRPr="009E101D">
        <w:rPr>
          <w:rFonts w:eastAsia="Times New Roman"/>
          <w:color w:val="000000"/>
          <w:sz w:val="23"/>
          <w:szCs w:val="23"/>
          <w:lang w:eastAsia="en-AU"/>
        </w:rPr>
        <w:tab/>
        <w:t>Schedule 11, table, entries relating to Schedule 6 clause 120—delete "• taking rock lobster" and "$200"</w:t>
      </w:r>
    </w:p>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Schedule 11, table, entries relating to Schedule 6 clause 122—delete the entries</w:t>
      </w:r>
    </w:p>
    <w:p w:rsidR="009E101D" w:rsidRPr="009E101D" w:rsidRDefault="009E101D" w:rsidP="009E101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E101D">
        <w:rPr>
          <w:rFonts w:eastAsia="Times New Roman"/>
          <w:b/>
          <w:bCs/>
          <w:color w:val="000000"/>
          <w:sz w:val="20"/>
          <w:szCs w:val="20"/>
          <w:lang w:eastAsia="en-AU"/>
        </w:rPr>
        <w:t>Note—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0"/>
          <w:szCs w:val="20"/>
          <w:lang w:eastAsia="en-AU"/>
        </w:rPr>
      </w:pPr>
      <w:r w:rsidRPr="009E101D">
        <w:rPr>
          <w:rFonts w:eastAsia="Times New Roman"/>
          <w:color w:val="000000"/>
          <w:sz w:val="20"/>
          <w:szCs w:val="20"/>
          <w:lang w:eastAsia="en-AU"/>
        </w:rPr>
        <w:t xml:space="preserve">As required by section 10AA(2) of the </w:t>
      </w:r>
      <w:hyperlink r:id="rId33" w:history="1">
        <w:r w:rsidRPr="009E101D">
          <w:rPr>
            <w:rFonts w:eastAsia="Times New Roman"/>
            <w:i/>
            <w:iCs/>
            <w:color w:val="000000"/>
            <w:sz w:val="20"/>
            <w:szCs w:val="20"/>
            <w:lang w:eastAsia="en-AU"/>
          </w:rPr>
          <w:t>Subordinate Legislation Act 1978</w:t>
        </w:r>
      </w:hyperlink>
      <w:r w:rsidRPr="009E101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E101D" w:rsidRPr="009E101D" w:rsidRDefault="009E101D" w:rsidP="009E101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E101D">
        <w:rPr>
          <w:rFonts w:eastAsia="Times New Roman"/>
          <w:b/>
          <w:bCs/>
          <w:color w:val="000000"/>
          <w:sz w:val="26"/>
          <w:szCs w:val="26"/>
          <w:lang w:eastAsia="en-AU"/>
        </w:rPr>
        <w:t>Made by the Governor</w:t>
      </w:r>
    </w:p>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with the advice and consent of the Executive Council</w:t>
      </w:r>
    </w:p>
    <w:p w:rsidR="009E101D" w:rsidRPr="009E101D" w:rsidRDefault="009E101D" w:rsidP="009E101D">
      <w:pPr>
        <w:keepNext/>
        <w:keepLines/>
        <w:autoSpaceDE w:val="0"/>
        <w:autoSpaceDN w:val="0"/>
        <w:adjustRightInd w:val="0"/>
        <w:spacing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on 21 May 2020</w:t>
      </w:r>
    </w:p>
    <w:p w:rsid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No 68 of 2020</w:t>
      </w:r>
    </w:p>
    <w:p w:rsidR="009E101D" w:rsidRDefault="009E101D" w:rsidP="009E101D">
      <w:pPr>
        <w:pBdr>
          <w:bottom w:val="single" w:sz="4" w:space="1" w:color="auto"/>
        </w:pBdr>
        <w:spacing w:after="0" w:line="52" w:lineRule="exact"/>
        <w:jc w:val="center"/>
        <w:rPr>
          <w:rFonts w:eastAsia="Times New Roman"/>
          <w:color w:val="000000"/>
          <w:sz w:val="23"/>
          <w:szCs w:val="23"/>
          <w:lang w:eastAsia="en-AU"/>
        </w:rPr>
      </w:pPr>
    </w:p>
    <w:p w:rsidR="009E101D" w:rsidRDefault="009E101D" w:rsidP="009E101D">
      <w:pPr>
        <w:pBdr>
          <w:top w:val="single" w:sz="4" w:space="1" w:color="auto"/>
        </w:pBdr>
        <w:spacing w:before="34" w:after="0" w:line="14" w:lineRule="exact"/>
        <w:jc w:val="center"/>
        <w:rPr>
          <w:rFonts w:eastAsia="Times New Roman"/>
          <w:color w:val="000000"/>
          <w:sz w:val="23"/>
          <w:szCs w:val="23"/>
          <w:lang w:eastAsia="en-AU"/>
        </w:rPr>
      </w:pPr>
    </w:p>
    <w:p w:rsidR="009E101D" w:rsidRPr="009E101D" w:rsidRDefault="009E101D" w:rsidP="009E101D">
      <w:pPr>
        <w:keepLines/>
        <w:autoSpaceDE w:val="0"/>
        <w:autoSpaceDN w:val="0"/>
        <w:adjustRightInd w:val="0"/>
        <w:spacing w:before="240" w:after="0" w:line="240" w:lineRule="auto"/>
        <w:rPr>
          <w:rFonts w:eastAsia="Times New Roman"/>
          <w:color w:val="000000"/>
          <w:sz w:val="28"/>
          <w:szCs w:val="28"/>
          <w:lang w:eastAsia="en-AU"/>
        </w:rPr>
      </w:pPr>
      <w:r>
        <w:br w:type="page"/>
      </w:r>
      <w:r w:rsidRPr="009E101D">
        <w:rPr>
          <w:rFonts w:eastAsia="Times New Roman"/>
          <w:color w:val="000000"/>
          <w:sz w:val="28"/>
          <w:szCs w:val="28"/>
          <w:lang w:eastAsia="en-AU"/>
        </w:rPr>
        <w:lastRenderedPageBreak/>
        <w:t>South Australia</w:t>
      </w:r>
    </w:p>
    <w:p w:rsidR="009E101D" w:rsidRPr="009E101D" w:rsidRDefault="009E101D" w:rsidP="00BB557D">
      <w:pPr>
        <w:pStyle w:val="Heading3"/>
        <w:rPr>
          <w:rFonts w:eastAsia="Times New Roman"/>
          <w:b w:val="0"/>
          <w:bCs w:val="0"/>
          <w:lang w:eastAsia="en-AU"/>
        </w:rPr>
      </w:pPr>
      <w:bookmarkStart w:id="47" w:name="_Toc40954865"/>
      <w:r w:rsidRPr="009E101D">
        <w:rPr>
          <w:rFonts w:eastAsia="Times New Roman"/>
          <w:lang w:eastAsia="en-AU"/>
        </w:rPr>
        <w:t>Fisheries Management (Demerit Points) (Rock Lobster) Variation Regulations 2020</w:t>
      </w:r>
      <w:bookmarkEnd w:id="47"/>
    </w:p>
    <w:p w:rsidR="009E101D" w:rsidRPr="009E101D" w:rsidRDefault="009E101D" w:rsidP="009E101D">
      <w:pPr>
        <w:keepLines/>
        <w:autoSpaceDE w:val="0"/>
        <w:autoSpaceDN w:val="0"/>
        <w:adjustRightInd w:val="0"/>
        <w:spacing w:before="80" w:after="240" w:line="240" w:lineRule="auto"/>
        <w:jc w:val="left"/>
        <w:rPr>
          <w:rFonts w:eastAsia="Times New Roman"/>
          <w:color w:val="000000"/>
          <w:sz w:val="24"/>
          <w:szCs w:val="24"/>
          <w:lang w:eastAsia="en-AU"/>
        </w:rPr>
      </w:pPr>
      <w:r w:rsidRPr="009E101D">
        <w:rPr>
          <w:rFonts w:eastAsia="Times New Roman"/>
          <w:color w:val="000000"/>
          <w:sz w:val="24"/>
          <w:szCs w:val="24"/>
          <w:lang w:eastAsia="en-AU"/>
        </w:rPr>
        <w:t xml:space="preserve">under the </w:t>
      </w:r>
      <w:r w:rsidRPr="009E101D">
        <w:rPr>
          <w:rFonts w:eastAsia="Times New Roman"/>
          <w:i/>
          <w:iCs/>
          <w:color w:val="000000"/>
          <w:sz w:val="24"/>
          <w:szCs w:val="24"/>
          <w:lang w:eastAsia="en-AU"/>
        </w:rPr>
        <w:t>Fisheries Management Act 2007</w:t>
      </w:r>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Lines/>
        <w:autoSpaceDE w:val="0"/>
        <w:autoSpaceDN w:val="0"/>
        <w:adjustRightInd w:val="0"/>
        <w:spacing w:before="120" w:after="0" w:line="240" w:lineRule="auto"/>
        <w:jc w:val="left"/>
        <w:rPr>
          <w:rFonts w:eastAsia="Times New Roman"/>
          <w:b/>
          <w:bCs/>
          <w:color w:val="000000"/>
          <w:sz w:val="32"/>
          <w:szCs w:val="32"/>
          <w:lang w:eastAsia="en-AU"/>
        </w:rPr>
      </w:pPr>
      <w:r w:rsidRPr="009E101D">
        <w:rPr>
          <w:rFonts w:eastAsia="Times New Roman"/>
          <w:b/>
          <w:bCs/>
          <w:color w:val="000000"/>
          <w:sz w:val="32"/>
          <w:szCs w:val="32"/>
          <w:lang w:eastAsia="en-AU"/>
        </w:rPr>
        <w:t>Contents</w:t>
      </w:r>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E101D" w:rsidRPr="009E101D">
          <w:rPr>
            <w:rFonts w:eastAsia="Times New Roman"/>
            <w:color w:val="000000"/>
            <w:sz w:val="28"/>
            <w:szCs w:val="28"/>
            <w:lang w:eastAsia="en-AU"/>
          </w:rPr>
          <w:t>Part 1—Preliminary</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E101D" w:rsidRPr="009E101D">
          <w:rPr>
            <w:rFonts w:eastAsia="Times New Roman"/>
            <w:color w:val="000000"/>
            <w:sz w:val="22"/>
            <w:lang w:eastAsia="en-AU"/>
          </w:rPr>
          <w:t>1</w:t>
        </w:r>
        <w:r w:rsidR="009E101D" w:rsidRPr="009E101D">
          <w:rPr>
            <w:rFonts w:eastAsia="Times New Roman"/>
            <w:color w:val="000000"/>
            <w:sz w:val="22"/>
            <w:lang w:eastAsia="en-AU"/>
          </w:rPr>
          <w:tab/>
          <w:t>Short title</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E101D" w:rsidRPr="009E101D">
          <w:rPr>
            <w:rFonts w:eastAsia="Times New Roman"/>
            <w:color w:val="000000"/>
            <w:sz w:val="22"/>
            <w:lang w:eastAsia="en-AU"/>
          </w:rPr>
          <w:t>2</w:t>
        </w:r>
        <w:r w:rsidR="009E101D" w:rsidRPr="009E101D">
          <w:rPr>
            <w:rFonts w:eastAsia="Times New Roman"/>
            <w:color w:val="000000"/>
            <w:sz w:val="22"/>
            <w:lang w:eastAsia="en-AU"/>
          </w:rPr>
          <w:tab/>
          <w:t>Commencement</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E101D" w:rsidRPr="009E101D">
          <w:rPr>
            <w:rFonts w:eastAsia="Times New Roman"/>
            <w:color w:val="000000"/>
            <w:sz w:val="22"/>
            <w:lang w:eastAsia="en-AU"/>
          </w:rPr>
          <w:t>3</w:t>
        </w:r>
        <w:r w:rsidR="009E101D" w:rsidRPr="009E101D">
          <w:rPr>
            <w:rFonts w:eastAsia="Times New Roman"/>
            <w:color w:val="000000"/>
            <w:sz w:val="22"/>
            <w:lang w:eastAsia="en-AU"/>
          </w:rPr>
          <w:tab/>
          <w:t>Variation provisions</w:t>
        </w:r>
      </w:hyperlink>
    </w:p>
    <w:p w:rsidR="009E101D" w:rsidRPr="009E101D" w:rsidRDefault="00827BA8" w:rsidP="009E101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E101D" w:rsidRPr="009E101D">
          <w:rPr>
            <w:rFonts w:eastAsia="Times New Roman"/>
            <w:color w:val="000000"/>
            <w:sz w:val="28"/>
            <w:szCs w:val="28"/>
            <w:lang w:eastAsia="en-AU"/>
          </w:rPr>
          <w:t xml:space="preserve">Part 2—Variation of </w:t>
        </w:r>
        <w:r w:rsidR="009E101D" w:rsidRPr="009E101D">
          <w:rPr>
            <w:rFonts w:eastAsia="Times New Roman"/>
            <w:i/>
            <w:iCs/>
            <w:color w:val="000000"/>
            <w:sz w:val="28"/>
            <w:szCs w:val="28"/>
            <w:lang w:eastAsia="en-AU"/>
          </w:rPr>
          <w:t>Fisheries Management (Demerit Points) Regulations 2017</w:t>
        </w:r>
      </w:hyperlink>
    </w:p>
    <w:p w:rsidR="009E101D" w:rsidRPr="009E101D" w:rsidRDefault="00827BA8" w:rsidP="009E101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E101D" w:rsidRPr="009E101D">
          <w:rPr>
            <w:rFonts w:eastAsia="Times New Roman"/>
            <w:color w:val="000000"/>
            <w:sz w:val="22"/>
            <w:lang w:eastAsia="en-AU"/>
          </w:rPr>
          <w:t>4</w:t>
        </w:r>
        <w:r w:rsidR="009E101D" w:rsidRPr="009E101D">
          <w:rPr>
            <w:rFonts w:eastAsia="Times New Roman"/>
            <w:color w:val="000000"/>
            <w:sz w:val="22"/>
            <w:lang w:eastAsia="en-AU"/>
          </w:rPr>
          <w:tab/>
          <w:t>Variation of Schedule 1—Demerit point offences and demerit points</w:t>
        </w:r>
      </w:hyperlink>
    </w:p>
    <w:p w:rsidR="009E101D" w:rsidRPr="009E101D" w:rsidRDefault="009E101D" w:rsidP="009E101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Part 1—Preliminary</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1—Short title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may be cited as the </w:t>
      </w:r>
      <w:r w:rsidRPr="009E101D">
        <w:rPr>
          <w:rFonts w:eastAsia="Times New Roman"/>
          <w:i/>
          <w:iCs/>
          <w:color w:val="000000"/>
          <w:sz w:val="23"/>
          <w:szCs w:val="23"/>
          <w:lang w:eastAsia="en-AU"/>
        </w:rPr>
        <w:t>Fisheries Management (Demerit Points) (Rock Lobster) Variation Regulations 2020</w:t>
      </w:r>
      <w:r w:rsidRPr="009E101D">
        <w:rPr>
          <w:rFonts w:eastAsia="Times New Roman"/>
          <w:color w:val="000000"/>
          <w:sz w:val="23"/>
          <w:szCs w:val="23"/>
          <w:lang w:eastAsia="en-AU"/>
        </w:rPr>
        <w:t>.</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2—Commencement</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come into operation on the day on which the </w:t>
      </w:r>
      <w:hyperlink r:id="rId34" w:history="1">
        <w:r w:rsidRPr="009E101D">
          <w:rPr>
            <w:rFonts w:eastAsia="Times New Roman"/>
            <w:i/>
            <w:iCs/>
            <w:color w:val="000000"/>
            <w:sz w:val="23"/>
            <w:szCs w:val="23"/>
            <w:lang w:eastAsia="en-AU"/>
          </w:rPr>
          <w:t>Fisheries Management (Rock Lobster Fisheries) (Quota) Variation Regulations 2020</w:t>
        </w:r>
      </w:hyperlink>
      <w:r w:rsidRPr="009E101D">
        <w:rPr>
          <w:rFonts w:eastAsia="Times New Roman"/>
          <w:color w:val="000000"/>
          <w:sz w:val="23"/>
          <w:szCs w:val="23"/>
          <w:lang w:eastAsia="en-AU"/>
        </w:rPr>
        <w:t xml:space="preserve"> come into operation.</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3—Variation provisions</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In these regulations, a provision under a heading referring to the variation of specified regulations varies the regulations so specified.</w:t>
      </w:r>
    </w:p>
    <w:p w:rsidR="009E101D" w:rsidRPr="009E101D" w:rsidRDefault="009E101D" w:rsidP="009E101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 xml:space="preserve">Part 2—Variation of </w:t>
      </w:r>
      <w:r w:rsidRPr="009E101D">
        <w:rPr>
          <w:rFonts w:eastAsia="Times New Roman"/>
          <w:b/>
          <w:bCs/>
          <w:i/>
          <w:iCs/>
          <w:color w:val="000000"/>
          <w:sz w:val="32"/>
          <w:szCs w:val="32"/>
          <w:lang w:eastAsia="en-AU"/>
        </w:rPr>
        <w:t>Fisheries Management (Demerit Points) Regulations 2017</w:t>
      </w:r>
    </w:p>
    <w:p w:rsidR="009E101D" w:rsidRPr="009E101D" w:rsidRDefault="009E101D" w:rsidP="009E10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4—Variation of Schedule 1—Demerit point offences and demerit points</w:t>
      </w:r>
    </w:p>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(1)</w:t>
      </w:r>
      <w:r w:rsidRPr="009E101D">
        <w:rPr>
          <w:rFonts w:eastAsia="Times New Roman"/>
          <w:color w:val="000000"/>
          <w:sz w:val="23"/>
          <w:szCs w:val="23"/>
          <w:lang w:eastAsia="en-AU"/>
        </w:rPr>
        <w:tab/>
        <w:t xml:space="preserve">Schedule 1, Part 1, clause 2, table, entries relating to Schedule 6 clause 122 of the </w:t>
      </w:r>
      <w:hyperlink r:id="rId35" w:history="1">
        <w:r w:rsidRPr="009E101D">
          <w:rPr>
            <w:rFonts w:eastAsia="Times New Roman"/>
            <w:i/>
            <w:iCs/>
            <w:color w:val="000000"/>
            <w:sz w:val="23"/>
            <w:szCs w:val="23"/>
            <w:lang w:eastAsia="en-AU"/>
          </w:rPr>
          <w:t>Fisheries Management (General) Regulations 2017</w:t>
        </w:r>
      </w:hyperlink>
      <w:r w:rsidRPr="009E101D">
        <w:rPr>
          <w:rFonts w:eastAsia="Times New Roman"/>
          <w:color w:val="000000"/>
          <w:sz w:val="23"/>
          <w:szCs w:val="23"/>
          <w:lang w:eastAsia="en-AU"/>
        </w:rPr>
        <w:t>—delete the entries</w:t>
      </w:r>
    </w:p>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 xml:space="preserve">Schedule 1, Part 2, clause 8, table—after the entries relating to regulation 22(2) of the </w:t>
      </w:r>
      <w:hyperlink r:id="rId36" w:history="1">
        <w:r w:rsidRPr="009E101D">
          <w:rPr>
            <w:rFonts w:eastAsia="Times New Roman"/>
            <w:i/>
            <w:iCs/>
            <w:color w:val="000000"/>
            <w:sz w:val="23"/>
            <w:szCs w:val="23"/>
            <w:lang w:eastAsia="en-AU"/>
          </w:rPr>
          <w:t>Fisheries Management (General) Regulations 2017</w:t>
        </w:r>
      </w:hyperlink>
      <w:r w:rsidRPr="009E101D">
        <w:rPr>
          <w:rFonts w:eastAsia="Times New Roman"/>
          <w:color w:val="000000"/>
          <w:sz w:val="23"/>
          <w:szCs w:val="23"/>
          <w:lang w:eastAsia="en-AU"/>
        </w:rPr>
        <w:t xml:space="preserve"> insert:</w:t>
      </w:r>
    </w:p>
    <w:p w:rsidR="009E101D" w:rsidRPr="009E101D" w:rsidRDefault="009E101D" w:rsidP="009E101D">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9E101D" w:rsidRPr="009E101D" w:rsidTr="00483033">
        <w:trPr>
          <w:cantSplit/>
        </w:trPr>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color w:val="000000"/>
                <w:sz w:val="20"/>
                <w:szCs w:val="20"/>
                <w:lang w:eastAsia="en-AU"/>
              </w:rPr>
              <w:t>22(3)</w:t>
            </w:r>
          </w:p>
        </w:tc>
        <w:tc>
          <w:tcPr>
            <w:tcW w:w="4850"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i/>
                <w:iCs/>
                <w:color w:val="000000"/>
                <w:sz w:val="20"/>
                <w:szCs w:val="20"/>
                <w:lang w:eastAsia="en-AU"/>
              </w:rPr>
              <w:t>Taking rock lobster by unlicensed person in Southern Zone during closed season</w:t>
            </w:r>
            <w:r w:rsidRPr="009E101D">
              <w:rPr>
                <w:rFonts w:eastAsia="Times New Roman"/>
                <w:color w:val="000000"/>
                <w:sz w:val="20"/>
                <w:szCs w:val="20"/>
                <w:lang w:eastAsia="en-AU"/>
              </w:rPr>
              <w:t>—</w:t>
            </w:r>
          </w:p>
        </w:tc>
        <w:tc>
          <w:tcPr>
            <w:tcW w:w="1174"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(a)</w:t>
            </w:r>
            <w:r w:rsidRPr="009E101D">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15</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(b)</w:t>
            </w:r>
            <w:r w:rsidRPr="009E101D">
              <w:rPr>
                <w:rFonts w:eastAsia="Times New Roman"/>
                <w:color w:val="000000"/>
                <w:sz w:val="20"/>
                <w:szCs w:val="20"/>
                <w:lang w:eastAsia="en-AU"/>
              </w:rPr>
              <w:tab/>
              <w:t>in any other case—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w:t>
            </w:r>
            <w:r w:rsidRPr="009E101D">
              <w:rPr>
                <w:rFonts w:eastAsia="Times New Roman"/>
                <w:color w:val="000000"/>
                <w:sz w:val="20"/>
                <w:szCs w:val="20"/>
                <w:lang w:eastAsia="en-AU"/>
              </w:rPr>
              <w:tab/>
              <w:t>first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45</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w:t>
            </w:r>
            <w:r w:rsidRPr="009E101D">
              <w:rPr>
                <w:rFonts w:eastAsia="Times New Roman"/>
                <w:color w:val="000000"/>
                <w:sz w:val="20"/>
                <w:szCs w:val="20"/>
                <w:lang w:eastAsia="en-AU"/>
              </w:rPr>
              <w:tab/>
              <w:t>second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60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(iii)</w:t>
            </w:r>
            <w:r w:rsidRPr="009E101D">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75</w:t>
            </w:r>
          </w:p>
        </w:tc>
      </w:tr>
      <w:tr w:rsidR="009E101D" w:rsidRPr="009E101D" w:rsidTr="00483033">
        <w:trPr>
          <w:cantSplit/>
        </w:trPr>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color w:val="000000"/>
                <w:sz w:val="20"/>
                <w:szCs w:val="20"/>
                <w:lang w:eastAsia="en-AU"/>
              </w:rPr>
              <w:t>22(4)</w:t>
            </w:r>
          </w:p>
        </w:tc>
        <w:tc>
          <w:tcPr>
            <w:tcW w:w="4850"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i/>
                <w:iCs/>
                <w:color w:val="000000"/>
                <w:sz w:val="20"/>
                <w:szCs w:val="20"/>
                <w:lang w:eastAsia="en-AU"/>
              </w:rPr>
              <w:t>Setting rock lobster pot by unlicensed person in Southern Zone during closed season</w:t>
            </w:r>
            <w:r w:rsidRPr="009E101D">
              <w:rPr>
                <w:rFonts w:eastAsia="Times New Roman"/>
                <w:color w:val="000000"/>
                <w:sz w:val="20"/>
                <w:szCs w:val="20"/>
                <w:lang w:eastAsia="en-AU"/>
              </w:rPr>
              <w:t>—</w:t>
            </w:r>
          </w:p>
        </w:tc>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(a)</w:t>
            </w:r>
            <w:r w:rsidRPr="009E101D">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15</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(b)</w:t>
            </w:r>
            <w:r w:rsidRPr="009E101D">
              <w:rPr>
                <w:rFonts w:eastAsia="Times New Roman"/>
                <w:color w:val="000000"/>
                <w:sz w:val="20"/>
                <w:szCs w:val="20"/>
                <w:lang w:eastAsia="en-AU"/>
              </w:rPr>
              <w:tab/>
              <w:t>in any other case—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w:t>
            </w:r>
            <w:r w:rsidRPr="009E101D">
              <w:rPr>
                <w:rFonts w:eastAsia="Times New Roman"/>
                <w:color w:val="000000"/>
                <w:sz w:val="20"/>
                <w:szCs w:val="20"/>
                <w:lang w:eastAsia="en-AU"/>
              </w:rPr>
              <w:tab/>
              <w:t>first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45</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w:t>
            </w:r>
            <w:r w:rsidRPr="009E101D">
              <w:rPr>
                <w:rFonts w:eastAsia="Times New Roman"/>
                <w:color w:val="000000"/>
                <w:sz w:val="20"/>
                <w:szCs w:val="20"/>
                <w:lang w:eastAsia="en-AU"/>
              </w:rPr>
              <w:tab/>
              <w:t>second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60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(iii)</w:t>
            </w:r>
            <w:r w:rsidRPr="009E101D">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75</w:t>
            </w:r>
          </w:p>
        </w:tc>
      </w:tr>
    </w:tbl>
    <w:p w:rsidR="009E101D" w:rsidRPr="009E101D" w:rsidRDefault="009E101D" w:rsidP="009E101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E101D">
        <w:rPr>
          <w:rFonts w:eastAsia="Times New Roman"/>
          <w:color w:val="000000"/>
          <w:sz w:val="23"/>
          <w:szCs w:val="23"/>
          <w:lang w:eastAsia="en-AU"/>
        </w:rPr>
        <w:tab/>
        <w:t>(3)</w:t>
      </w:r>
      <w:r w:rsidRPr="009E101D">
        <w:rPr>
          <w:rFonts w:eastAsia="Times New Roman"/>
          <w:color w:val="000000"/>
          <w:sz w:val="23"/>
          <w:szCs w:val="23"/>
          <w:lang w:eastAsia="en-AU"/>
        </w:rPr>
        <w:tab/>
        <w:t xml:space="preserve">Schedule 1, Part 2, clause 17, table—after the entries relating to regulation 12(2) of the </w:t>
      </w:r>
      <w:hyperlink r:id="rId37" w:history="1">
        <w:r w:rsidRPr="009E101D">
          <w:rPr>
            <w:rFonts w:eastAsia="Times New Roman"/>
            <w:i/>
            <w:iCs/>
            <w:color w:val="000000"/>
            <w:sz w:val="23"/>
            <w:szCs w:val="23"/>
            <w:lang w:eastAsia="en-AU"/>
          </w:rPr>
          <w:t>Fisheries Management (Rock Lobster Fisheries) Regulations 2017</w:t>
        </w:r>
      </w:hyperlink>
      <w:r w:rsidRPr="009E101D">
        <w:rPr>
          <w:rFonts w:eastAsia="Times New Roman"/>
          <w:color w:val="000000"/>
          <w:sz w:val="23"/>
          <w:szCs w:val="23"/>
          <w:lang w:eastAsia="en-AU"/>
        </w:rPr>
        <w:t xml:space="preserve"> insert:</w:t>
      </w:r>
    </w:p>
    <w:p w:rsidR="009E101D" w:rsidRPr="009E101D" w:rsidRDefault="009E101D" w:rsidP="009E101D">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74"/>
        <w:gridCol w:w="4850"/>
        <w:gridCol w:w="1174"/>
      </w:tblGrid>
      <w:tr w:rsidR="009E101D" w:rsidRPr="009E101D" w:rsidTr="00483033">
        <w:trPr>
          <w:cantSplit/>
        </w:trPr>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color w:val="000000"/>
                <w:sz w:val="20"/>
                <w:szCs w:val="20"/>
                <w:lang w:eastAsia="en-AU"/>
              </w:rPr>
              <w:t>12(3)</w:t>
            </w:r>
          </w:p>
        </w:tc>
        <w:tc>
          <w:tcPr>
            <w:tcW w:w="4850"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i/>
                <w:iCs/>
                <w:color w:val="000000"/>
                <w:sz w:val="20"/>
                <w:szCs w:val="20"/>
                <w:lang w:eastAsia="en-AU"/>
              </w:rPr>
              <w:t>Southern Zone Rock Lobster Fishery licence holder taking rock lobster in Southern Zone during closed season</w:t>
            </w:r>
            <w:r w:rsidRPr="009E101D">
              <w:rPr>
                <w:rFonts w:eastAsia="Times New Roman"/>
                <w:color w:val="000000"/>
                <w:sz w:val="20"/>
                <w:szCs w:val="20"/>
                <w:lang w:eastAsia="en-AU"/>
              </w:rPr>
              <w:t>—</w:t>
            </w:r>
          </w:p>
        </w:tc>
        <w:tc>
          <w:tcPr>
            <w:tcW w:w="1174"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(a)</w:t>
            </w:r>
            <w:r w:rsidRPr="009E101D">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20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(b)</w:t>
            </w:r>
            <w:r w:rsidRPr="009E101D">
              <w:rPr>
                <w:rFonts w:eastAsia="Times New Roman"/>
                <w:color w:val="000000"/>
                <w:sz w:val="20"/>
                <w:szCs w:val="20"/>
                <w:lang w:eastAsia="en-AU"/>
              </w:rPr>
              <w:tab/>
              <w:t>in any other case—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w:t>
            </w:r>
            <w:r w:rsidRPr="009E101D">
              <w:rPr>
                <w:rFonts w:eastAsia="Times New Roman"/>
                <w:color w:val="000000"/>
                <w:sz w:val="20"/>
                <w:szCs w:val="20"/>
                <w:lang w:eastAsia="en-AU"/>
              </w:rPr>
              <w:tab/>
              <w:t>first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60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w:t>
            </w:r>
            <w:r w:rsidRPr="009E101D">
              <w:rPr>
                <w:rFonts w:eastAsia="Times New Roman"/>
                <w:color w:val="000000"/>
                <w:sz w:val="20"/>
                <w:szCs w:val="20"/>
                <w:lang w:eastAsia="en-AU"/>
              </w:rPr>
              <w:tab/>
              <w:t>second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80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(iii)</w:t>
            </w:r>
            <w:r w:rsidRPr="009E101D">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100</w:t>
            </w:r>
          </w:p>
        </w:tc>
      </w:tr>
      <w:tr w:rsidR="009E101D" w:rsidRPr="009E101D" w:rsidTr="00483033">
        <w:trPr>
          <w:cantSplit/>
        </w:trPr>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color w:val="000000"/>
                <w:sz w:val="20"/>
                <w:szCs w:val="20"/>
                <w:lang w:eastAsia="en-AU"/>
              </w:rPr>
              <w:t>12(4)</w:t>
            </w:r>
          </w:p>
        </w:tc>
        <w:tc>
          <w:tcPr>
            <w:tcW w:w="4850" w:type="dxa"/>
            <w:tcBorders>
              <w:top w:val="nil"/>
              <w:left w:val="nil"/>
              <w:bottom w:val="nil"/>
              <w:right w:val="nil"/>
            </w:tcBorders>
            <w:vAlign w:val="center"/>
          </w:tcPr>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0"/>
                <w:szCs w:val="20"/>
                <w:lang w:eastAsia="en-AU"/>
              </w:rPr>
            </w:pPr>
            <w:r w:rsidRPr="009E101D">
              <w:rPr>
                <w:rFonts w:eastAsia="Times New Roman"/>
                <w:i/>
                <w:iCs/>
                <w:color w:val="000000"/>
                <w:sz w:val="20"/>
                <w:szCs w:val="20"/>
                <w:lang w:eastAsia="en-AU"/>
              </w:rPr>
              <w:t>Southern Zone Rock Lobster Fishery licence holder setting rock lobster pot in Southern Zone during closed season</w:t>
            </w:r>
            <w:r w:rsidRPr="009E101D">
              <w:rPr>
                <w:rFonts w:eastAsia="Times New Roman"/>
                <w:color w:val="000000"/>
                <w:sz w:val="20"/>
                <w:szCs w:val="20"/>
                <w:lang w:eastAsia="en-AU"/>
              </w:rPr>
              <w:t>—</w:t>
            </w:r>
          </w:p>
        </w:tc>
        <w:tc>
          <w:tcPr>
            <w:tcW w:w="1174" w:type="dxa"/>
            <w:tcBorders>
              <w:top w:val="nil"/>
              <w:left w:val="nil"/>
              <w:bottom w:val="nil"/>
              <w:right w:val="nil"/>
            </w:tcBorders>
          </w:tcPr>
          <w:p w:rsidR="009E101D" w:rsidRPr="009E101D" w:rsidRDefault="009E101D" w:rsidP="009E101D">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(a)</w:t>
            </w:r>
            <w:r w:rsidRPr="009E101D">
              <w:rPr>
                <w:rFonts w:eastAsia="Times New Roman"/>
                <w:color w:val="000000"/>
                <w:sz w:val="20"/>
                <w:szCs w:val="20"/>
                <w:lang w:eastAsia="en-AU"/>
              </w:rPr>
              <w:tab/>
              <w:t>if the offence is expiated</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20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9E101D">
              <w:rPr>
                <w:rFonts w:eastAsia="Times New Roman"/>
                <w:color w:val="000000"/>
                <w:sz w:val="20"/>
                <w:szCs w:val="20"/>
                <w:lang w:eastAsia="en-AU"/>
              </w:rPr>
              <w:tab/>
              <w:t>(b)</w:t>
            </w:r>
            <w:r w:rsidRPr="009E101D">
              <w:rPr>
                <w:rFonts w:eastAsia="Times New Roman"/>
                <w:color w:val="000000"/>
                <w:sz w:val="20"/>
                <w:szCs w:val="20"/>
                <w:lang w:eastAsia="en-AU"/>
              </w:rPr>
              <w:tab/>
              <w:t>in any other case—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w:t>
            </w:r>
            <w:r w:rsidRPr="009E101D">
              <w:rPr>
                <w:rFonts w:eastAsia="Times New Roman"/>
                <w:color w:val="000000"/>
                <w:sz w:val="20"/>
                <w:szCs w:val="20"/>
                <w:lang w:eastAsia="en-AU"/>
              </w:rPr>
              <w:tab/>
              <w:t>first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60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w:t>
            </w:r>
            <w:r w:rsidRPr="009E101D">
              <w:rPr>
                <w:rFonts w:eastAsia="Times New Roman"/>
                <w:color w:val="000000"/>
                <w:sz w:val="20"/>
                <w:szCs w:val="20"/>
                <w:lang w:eastAsia="en-AU"/>
              </w:rPr>
              <w:tab/>
              <w:t>second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80</w:t>
            </w:r>
          </w:p>
        </w:tc>
      </w:tr>
      <w:tr w:rsidR="009E101D" w:rsidRPr="009E101D" w:rsidTr="00483033">
        <w:trPr>
          <w:cantSplit/>
        </w:trPr>
        <w:tc>
          <w:tcPr>
            <w:tcW w:w="1174" w:type="dxa"/>
            <w:tcBorders>
              <w:top w:val="nil"/>
              <w:left w:val="nil"/>
              <w:bottom w:val="nil"/>
              <w:right w:val="nil"/>
            </w:tcBorders>
            <w:vAlign w:val="center"/>
          </w:tcPr>
          <w:p w:rsidR="009E101D" w:rsidRPr="009E101D" w:rsidRDefault="009E101D" w:rsidP="009E101D">
            <w:pPr>
              <w:keepLines/>
              <w:autoSpaceDE w:val="0"/>
              <w:autoSpaceDN w:val="0"/>
              <w:adjustRightInd w:val="0"/>
              <w:spacing w:before="120" w:after="0" w:line="240" w:lineRule="auto"/>
              <w:jc w:val="left"/>
              <w:rPr>
                <w:rFonts w:eastAsia="Times New Roman"/>
                <w:color w:val="000000"/>
                <w:sz w:val="20"/>
                <w:szCs w:val="20"/>
                <w:lang w:eastAsia="en-AU"/>
              </w:rPr>
            </w:pPr>
          </w:p>
        </w:tc>
        <w:tc>
          <w:tcPr>
            <w:tcW w:w="4850" w:type="dxa"/>
            <w:tcBorders>
              <w:top w:val="nil"/>
              <w:left w:val="nil"/>
              <w:bottom w:val="nil"/>
              <w:right w:val="nil"/>
            </w:tcBorders>
            <w:vAlign w:val="center"/>
          </w:tcPr>
          <w:p w:rsidR="009E101D" w:rsidRPr="009E101D" w:rsidRDefault="009E101D" w:rsidP="009E101D">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9E101D">
              <w:rPr>
                <w:rFonts w:eastAsia="Times New Roman"/>
                <w:color w:val="000000"/>
                <w:sz w:val="20"/>
                <w:szCs w:val="20"/>
                <w:lang w:eastAsia="en-AU"/>
              </w:rPr>
              <w:tab/>
              <w:t>(iii)</w:t>
            </w:r>
            <w:r w:rsidRPr="009E101D">
              <w:rPr>
                <w:rFonts w:eastAsia="Times New Roman"/>
                <w:color w:val="000000"/>
                <w:sz w:val="20"/>
                <w:szCs w:val="20"/>
                <w:lang w:eastAsia="en-AU"/>
              </w:rPr>
              <w:tab/>
              <w:t>third or subsequent offence</w:t>
            </w:r>
          </w:p>
        </w:tc>
        <w:tc>
          <w:tcPr>
            <w:tcW w:w="1174" w:type="dxa"/>
            <w:tcBorders>
              <w:top w:val="nil"/>
              <w:left w:val="nil"/>
              <w:bottom w:val="nil"/>
              <w:right w:val="nil"/>
            </w:tcBorders>
          </w:tcPr>
          <w:p w:rsidR="009E101D" w:rsidRPr="009E101D" w:rsidRDefault="009E101D" w:rsidP="009E101D">
            <w:pPr>
              <w:keepLines/>
              <w:autoSpaceDE w:val="0"/>
              <w:autoSpaceDN w:val="0"/>
              <w:adjustRightInd w:val="0"/>
              <w:spacing w:before="120" w:after="0" w:line="240" w:lineRule="auto"/>
              <w:jc w:val="right"/>
              <w:rPr>
                <w:rFonts w:eastAsia="Times New Roman"/>
                <w:color w:val="000000"/>
                <w:sz w:val="20"/>
                <w:szCs w:val="20"/>
                <w:lang w:eastAsia="en-AU"/>
              </w:rPr>
            </w:pPr>
            <w:r w:rsidRPr="009E101D">
              <w:rPr>
                <w:rFonts w:eastAsia="Times New Roman"/>
                <w:color w:val="000000"/>
                <w:sz w:val="20"/>
                <w:szCs w:val="20"/>
                <w:lang w:eastAsia="en-AU"/>
              </w:rPr>
              <w:t>100</w:t>
            </w:r>
          </w:p>
        </w:tc>
      </w:tr>
    </w:tbl>
    <w:p w:rsidR="009E101D" w:rsidRPr="009E101D" w:rsidRDefault="009E101D" w:rsidP="009E101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E101D">
        <w:rPr>
          <w:rFonts w:eastAsia="Times New Roman"/>
          <w:b/>
          <w:bCs/>
          <w:color w:val="000000"/>
          <w:sz w:val="20"/>
          <w:szCs w:val="20"/>
          <w:lang w:eastAsia="en-AU"/>
        </w:rPr>
        <w:t>Note—</w:t>
      </w:r>
    </w:p>
    <w:p w:rsidR="009E101D" w:rsidRPr="009E101D" w:rsidRDefault="009E101D" w:rsidP="009E101D">
      <w:pPr>
        <w:keepLines/>
        <w:autoSpaceDE w:val="0"/>
        <w:autoSpaceDN w:val="0"/>
        <w:adjustRightInd w:val="0"/>
        <w:spacing w:before="120" w:after="0" w:line="240" w:lineRule="auto"/>
        <w:ind w:left="794"/>
        <w:jc w:val="left"/>
        <w:rPr>
          <w:rFonts w:eastAsia="Times New Roman"/>
          <w:color w:val="000000"/>
          <w:sz w:val="20"/>
          <w:szCs w:val="20"/>
          <w:lang w:eastAsia="en-AU"/>
        </w:rPr>
      </w:pPr>
      <w:r w:rsidRPr="009E101D">
        <w:rPr>
          <w:rFonts w:eastAsia="Times New Roman"/>
          <w:color w:val="000000"/>
          <w:sz w:val="20"/>
          <w:szCs w:val="20"/>
          <w:lang w:eastAsia="en-AU"/>
        </w:rPr>
        <w:t xml:space="preserve">As required by section 10AA(2) of the </w:t>
      </w:r>
      <w:hyperlink r:id="rId38" w:history="1">
        <w:r w:rsidRPr="009E101D">
          <w:rPr>
            <w:rFonts w:eastAsia="Times New Roman"/>
            <w:i/>
            <w:iCs/>
            <w:color w:val="000000"/>
            <w:sz w:val="20"/>
            <w:szCs w:val="20"/>
            <w:lang w:eastAsia="en-AU"/>
          </w:rPr>
          <w:t>Subordinate Legislation Act 1978</w:t>
        </w:r>
      </w:hyperlink>
      <w:r w:rsidRPr="009E101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E101D" w:rsidRPr="009E101D" w:rsidRDefault="009E101D" w:rsidP="009E101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E101D">
        <w:rPr>
          <w:rFonts w:eastAsia="Times New Roman"/>
          <w:b/>
          <w:bCs/>
          <w:color w:val="000000"/>
          <w:sz w:val="26"/>
          <w:szCs w:val="26"/>
          <w:lang w:eastAsia="en-AU"/>
        </w:rPr>
        <w:t>Made by the Governor</w:t>
      </w:r>
    </w:p>
    <w:p w:rsidR="009E101D" w:rsidRP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with the advice and consent of the Executive Council</w:t>
      </w:r>
    </w:p>
    <w:p w:rsidR="009E101D" w:rsidRPr="009E101D" w:rsidRDefault="009E101D" w:rsidP="009E101D">
      <w:pPr>
        <w:keepNext/>
        <w:keepLines/>
        <w:autoSpaceDE w:val="0"/>
        <w:autoSpaceDN w:val="0"/>
        <w:adjustRightInd w:val="0"/>
        <w:spacing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on 21 May 2020</w:t>
      </w:r>
    </w:p>
    <w:p w:rsidR="009E101D" w:rsidRDefault="009E101D" w:rsidP="009E101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No 69 of 2020</w:t>
      </w:r>
    </w:p>
    <w:p w:rsidR="009E101D" w:rsidRDefault="009E101D" w:rsidP="009E101D">
      <w:pPr>
        <w:pBdr>
          <w:bottom w:val="single" w:sz="4" w:space="1" w:color="auto"/>
        </w:pBdr>
        <w:spacing w:after="0" w:line="52" w:lineRule="exact"/>
        <w:jc w:val="center"/>
        <w:rPr>
          <w:rFonts w:eastAsia="Times New Roman"/>
          <w:color w:val="000000"/>
          <w:sz w:val="23"/>
          <w:szCs w:val="23"/>
          <w:lang w:eastAsia="en-AU"/>
        </w:rPr>
      </w:pPr>
    </w:p>
    <w:p w:rsidR="009E101D" w:rsidRDefault="009E101D" w:rsidP="009E101D">
      <w:pPr>
        <w:pBdr>
          <w:top w:val="single" w:sz="4" w:space="1" w:color="auto"/>
        </w:pBdr>
        <w:spacing w:before="34" w:after="0" w:line="14" w:lineRule="exact"/>
        <w:jc w:val="center"/>
        <w:rPr>
          <w:rFonts w:eastAsia="Times New Roman"/>
          <w:color w:val="000000"/>
          <w:sz w:val="23"/>
          <w:szCs w:val="23"/>
          <w:lang w:eastAsia="en-AU"/>
        </w:rPr>
      </w:pPr>
    </w:p>
    <w:p w:rsidR="009E101D" w:rsidRPr="009E101D" w:rsidRDefault="009E101D" w:rsidP="00BB557D">
      <w:pPr>
        <w:keepNext/>
        <w:keepLines/>
        <w:autoSpaceDE w:val="0"/>
        <w:autoSpaceDN w:val="0"/>
        <w:adjustRightInd w:val="0"/>
        <w:spacing w:before="240" w:after="0" w:line="240" w:lineRule="auto"/>
        <w:rPr>
          <w:rFonts w:eastAsia="Times New Roman"/>
          <w:color w:val="000000"/>
          <w:sz w:val="28"/>
          <w:szCs w:val="28"/>
          <w:lang w:eastAsia="en-AU"/>
        </w:rPr>
      </w:pPr>
      <w:r>
        <w:br w:type="page"/>
      </w:r>
      <w:r w:rsidRPr="009E101D">
        <w:rPr>
          <w:rFonts w:eastAsia="Times New Roman"/>
          <w:color w:val="000000"/>
          <w:sz w:val="28"/>
          <w:szCs w:val="28"/>
          <w:lang w:eastAsia="en-AU"/>
        </w:rPr>
        <w:lastRenderedPageBreak/>
        <w:t>South Australia</w:t>
      </w:r>
    </w:p>
    <w:p w:rsidR="009E101D" w:rsidRPr="009E101D" w:rsidRDefault="009E101D" w:rsidP="00BB557D">
      <w:pPr>
        <w:pStyle w:val="Heading3"/>
        <w:keepNext/>
        <w:rPr>
          <w:rFonts w:eastAsia="Times New Roman"/>
          <w:b w:val="0"/>
          <w:bCs w:val="0"/>
          <w:lang w:eastAsia="en-AU"/>
        </w:rPr>
      </w:pPr>
      <w:bookmarkStart w:id="48" w:name="_Toc40954866"/>
      <w:r w:rsidRPr="009E101D">
        <w:rPr>
          <w:rFonts w:eastAsia="Times New Roman"/>
          <w:lang w:eastAsia="en-AU"/>
        </w:rPr>
        <w:t>COVID-19 Emergency Response (Section 14) (No 1) Variation Regulations 2020</w:t>
      </w:r>
      <w:bookmarkEnd w:id="48"/>
    </w:p>
    <w:p w:rsidR="009E101D" w:rsidRPr="009E101D" w:rsidRDefault="009E101D" w:rsidP="00BB557D">
      <w:pPr>
        <w:keepNext/>
        <w:keepLines/>
        <w:autoSpaceDE w:val="0"/>
        <w:autoSpaceDN w:val="0"/>
        <w:adjustRightInd w:val="0"/>
        <w:spacing w:before="80" w:after="240" w:line="240" w:lineRule="auto"/>
        <w:jc w:val="left"/>
        <w:rPr>
          <w:rFonts w:eastAsia="Times New Roman"/>
          <w:color w:val="000000"/>
          <w:sz w:val="24"/>
          <w:szCs w:val="24"/>
          <w:lang w:eastAsia="en-AU"/>
        </w:rPr>
      </w:pPr>
      <w:r w:rsidRPr="009E101D">
        <w:rPr>
          <w:rFonts w:eastAsia="Times New Roman"/>
          <w:color w:val="000000"/>
          <w:sz w:val="24"/>
          <w:szCs w:val="24"/>
          <w:lang w:eastAsia="en-AU"/>
        </w:rPr>
        <w:t xml:space="preserve">under the </w:t>
      </w:r>
      <w:r w:rsidRPr="009E101D">
        <w:rPr>
          <w:rFonts w:eastAsia="Times New Roman"/>
          <w:i/>
          <w:iCs/>
          <w:color w:val="000000"/>
          <w:sz w:val="24"/>
          <w:szCs w:val="24"/>
          <w:lang w:eastAsia="en-AU"/>
        </w:rPr>
        <w:t>COVID-19 Emergency Response Act 2020</w:t>
      </w:r>
    </w:p>
    <w:p w:rsidR="009E101D" w:rsidRPr="009E101D" w:rsidRDefault="009E101D" w:rsidP="00BB557D">
      <w:pPr>
        <w:keepNext/>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BB557D">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9E101D">
        <w:rPr>
          <w:rFonts w:eastAsia="Times New Roman"/>
          <w:b/>
          <w:bCs/>
          <w:color w:val="000000"/>
          <w:sz w:val="32"/>
          <w:szCs w:val="32"/>
          <w:lang w:eastAsia="en-AU"/>
        </w:rPr>
        <w:t>Contents</w:t>
      </w:r>
    </w:p>
    <w:p w:rsidR="009E101D" w:rsidRPr="009E101D" w:rsidRDefault="00827BA8" w:rsidP="00BB557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E101D" w:rsidRPr="009E101D">
          <w:rPr>
            <w:rFonts w:eastAsia="Times New Roman"/>
            <w:color w:val="000000"/>
            <w:sz w:val="28"/>
            <w:szCs w:val="28"/>
            <w:lang w:eastAsia="en-AU"/>
          </w:rPr>
          <w:t>Part 1—Preliminary</w:t>
        </w:r>
      </w:hyperlink>
    </w:p>
    <w:p w:rsidR="009E101D" w:rsidRPr="009E101D" w:rsidRDefault="00827BA8" w:rsidP="00BB557D">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E101D" w:rsidRPr="009E101D">
          <w:rPr>
            <w:rFonts w:eastAsia="Times New Roman"/>
            <w:color w:val="000000"/>
            <w:sz w:val="22"/>
            <w:lang w:eastAsia="en-AU"/>
          </w:rPr>
          <w:t>1</w:t>
        </w:r>
        <w:r w:rsidR="009E101D" w:rsidRPr="009E101D">
          <w:rPr>
            <w:rFonts w:eastAsia="Times New Roman"/>
            <w:color w:val="000000"/>
            <w:sz w:val="22"/>
            <w:lang w:eastAsia="en-AU"/>
          </w:rPr>
          <w:tab/>
          <w:t>Short title</w:t>
        </w:r>
      </w:hyperlink>
    </w:p>
    <w:p w:rsidR="009E101D" w:rsidRPr="009E101D" w:rsidRDefault="00827BA8" w:rsidP="00BB557D">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E101D" w:rsidRPr="009E101D">
          <w:rPr>
            <w:rFonts w:eastAsia="Times New Roman"/>
            <w:color w:val="000000"/>
            <w:sz w:val="22"/>
            <w:lang w:eastAsia="en-AU"/>
          </w:rPr>
          <w:t>2</w:t>
        </w:r>
        <w:r w:rsidR="009E101D" w:rsidRPr="009E101D">
          <w:rPr>
            <w:rFonts w:eastAsia="Times New Roman"/>
            <w:color w:val="000000"/>
            <w:sz w:val="22"/>
            <w:lang w:eastAsia="en-AU"/>
          </w:rPr>
          <w:tab/>
          <w:t>Commencement</w:t>
        </w:r>
      </w:hyperlink>
    </w:p>
    <w:p w:rsidR="009E101D" w:rsidRPr="009E101D" w:rsidRDefault="00827BA8" w:rsidP="00BB557D">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9E101D" w:rsidRPr="009E101D">
          <w:rPr>
            <w:rFonts w:eastAsia="Times New Roman"/>
            <w:color w:val="000000"/>
            <w:sz w:val="22"/>
            <w:lang w:eastAsia="en-AU"/>
          </w:rPr>
          <w:t>3</w:t>
        </w:r>
        <w:r w:rsidR="009E101D" w:rsidRPr="009E101D">
          <w:rPr>
            <w:rFonts w:eastAsia="Times New Roman"/>
            <w:color w:val="000000"/>
            <w:sz w:val="22"/>
            <w:lang w:eastAsia="en-AU"/>
          </w:rPr>
          <w:tab/>
          <w:t>Variation provisions</w:t>
        </w:r>
      </w:hyperlink>
    </w:p>
    <w:p w:rsidR="009E101D" w:rsidRPr="009E101D" w:rsidRDefault="00827BA8" w:rsidP="00BB557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9E101D" w:rsidRPr="009E101D">
          <w:rPr>
            <w:rFonts w:eastAsia="Times New Roman"/>
            <w:color w:val="000000"/>
            <w:sz w:val="28"/>
            <w:szCs w:val="28"/>
            <w:lang w:eastAsia="en-AU"/>
          </w:rPr>
          <w:t xml:space="preserve">Part 2—Variation of </w:t>
        </w:r>
        <w:r w:rsidR="009E101D" w:rsidRPr="009E101D">
          <w:rPr>
            <w:rFonts w:eastAsia="Times New Roman"/>
            <w:i/>
            <w:iCs/>
            <w:color w:val="000000"/>
            <w:sz w:val="28"/>
            <w:szCs w:val="28"/>
            <w:lang w:eastAsia="en-AU"/>
          </w:rPr>
          <w:t>COVID-19 Emergency Response (Section 14) Regulations 2020</w:t>
        </w:r>
      </w:hyperlink>
    </w:p>
    <w:p w:rsidR="009E101D" w:rsidRPr="009E101D" w:rsidRDefault="00827BA8" w:rsidP="00BB557D">
      <w:pPr>
        <w:keepNext/>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9E101D" w:rsidRPr="009E101D">
          <w:rPr>
            <w:rFonts w:eastAsia="Times New Roman"/>
            <w:color w:val="000000"/>
            <w:sz w:val="22"/>
            <w:lang w:eastAsia="en-AU"/>
          </w:rPr>
          <w:t>4</w:t>
        </w:r>
        <w:r w:rsidR="009E101D" w:rsidRPr="009E101D">
          <w:rPr>
            <w:rFonts w:eastAsia="Times New Roman"/>
            <w:color w:val="000000"/>
            <w:sz w:val="22"/>
            <w:lang w:eastAsia="en-AU"/>
          </w:rPr>
          <w:tab/>
          <w:t>Insertion of Part 3</w:t>
        </w:r>
      </w:hyperlink>
    </w:p>
    <w:p w:rsidR="009E101D" w:rsidRPr="009E101D" w:rsidRDefault="00827BA8" w:rsidP="00BB557D">
      <w:pPr>
        <w:keepNext/>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7" w:history="1">
        <w:r w:rsidR="009E101D" w:rsidRPr="009E101D">
          <w:rPr>
            <w:rFonts w:eastAsia="Times New Roman"/>
            <w:color w:val="000000"/>
            <w:sz w:val="24"/>
            <w:szCs w:val="24"/>
            <w:lang w:eastAsia="en-AU"/>
          </w:rPr>
          <w:t>Part 3—Extension of time limits etc</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9E101D" w:rsidRPr="009E101D">
          <w:rPr>
            <w:rFonts w:eastAsia="Times New Roman"/>
            <w:color w:val="000000"/>
            <w:sz w:val="18"/>
            <w:szCs w:val="18"/>
            <w:lang w:eastAsia="en-AU"/>
          </w:rPr>
          <w:t>5</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Aged and Infirm Persons' Property Act 1940</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9E101D" w:rsidRPr="009E101D">
          <w:rPr>
            <w:rFonts w:eastAsia="Times New Roman"/>
            <w:color w:val="000000"/>
            <w:sz w:val="18"/>
            <w:szCs w:val="18"/>
            <w:lang w:eastAsia="en-AU"/>
          </w:rPr>
          <w:t>6</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Associations Incorporation Act 1985</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9E101D" w:rsidRPr="009E101D">
          <w:rPr>
            <w:rFonts w:eastAsia="Times New Roman"/>
            <w:color w:val="000000"/>
            <w:sz w:val="18"/>
            <w:szCs w:val="18"/>
            <w:lang w:eastAsia="en-AU"/>
          </w:rPr>
          <w:t>7</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Collections for Charitable Purposes Act 1939</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9E101D" w:rsidRPr="009E101D">
          <w:rPr>
            <w:rFonts w:eastAsia="Times New Roman"/>
            <w:color w:val="000000"/>
            <w:sz w:val="18"/>
            <w:szCs w:val="18"/>
            <w:lang w:eastAsia="en-AU"/>
          </w:rPr>
          <w:t>8</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Criminal Law (Forensic Procedures) Act 2007</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009E101D" w:rsidRPr="009E101D">
          <w:rPr>
            <w:rFonts w:eastAsia="Times New Roman"/>
            <w:color w:val="000000"/>
            <w:sz w:val="18"/>
            <w:szCs w:val="18"/>
            <w:lang w:eastAsia="en-AU"/>
          </w:rPr>
          <w:t>9</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Equal Opportunity Act 1984</w:t>
        </w:r>
      </w:hyperlink>
    </w:p>
    <w:p w:rsidR="009E101D" w:rsidRPr="009E101D" w:rsidRDefault="00827BA8" w:rsidP="00BB557D">
      <w:pPr>
        <w:keepNext/>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9E101D" w:rsidRPr="009E101D">
          <w:rPr>
            <w:rFonts w:eastAsia="Times New Roman"/>
            <w:color w:val="000000"/>
            <w:sz w:val="18"/>
            <w:szCs w:val="18"/>
            <w:lang w:eastAsia="en-AU"/>
          </w:rPr>
          <w:t>10</w:t>
        </w:r>
        <w:r w:rsidR="009E101D" w:rsidRPr="009E101D">
          <w:rPr>
            <w:rFonts w:eastAsia="Times New Roman"/>
            <w:color w:val="000000"/>
            <w:sz w:val="18"/>
            <w:szCs w:val="18"/>
            <w:lang w:eastAsia="en-AU"/>
          </w:rPr>
          <w:tab/>
        </w:r>
        <w:r w:rsidR="009E101D" w:rsidRPr="009E101D">
          <w:rPr>
            <w:rFonts w:eastAsia="Times New Roman"/>
            <w:i/>
            <w:iCs/>
            <w:color w:val="000000"/>
            <w:sz w:val="18"/>
            <w:szCs w:val="18"/>
            <w:lang w:eastAsia="en-AU"/>
          </w:rPr>
          <w:t>Lottery and Gaming Act 1936</w:t>
        </w:r>
      </w:hyperlink>
    </w:p>
    <w:p w:rsidR="009E101D" w:rsidRPr="009E101D" w:rsidRDefault="009E101D" w:rsidP="00BB557D">
      <w:pPr>
        <w:keepNext/>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9E101D" w:rsidRPr="009E101D" w:rsidRDefault="009E101D" w:rsidP="00BB557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Part 1—Preliminary</w:t>
      </w:r>
    </w:p>
    <w:p w:rsidR="009E101D" w:rsidRPr="009E101D" w:rsidRDefault="009E101D" w:rsidP="00BB557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1—Short title</w:t>
      </w:r>
    </w:p>
    <w:p w:rsidR="009E101D" w:rsidRPr="009E101D" w:rsidRDefault="009E101D" w:rsidP="00BB557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 xml:space="preserve">These regulations may be cited as the </w:t>
      </w:r>
      <w:r w:rsidRPr="009E101D">
        <w:rPr>
          <w:rFonts w:eastAsia="Times New Roman"/>
          <w:i/>
          <w:iCs/>
          <w:color w:val="000000"/>
          <w:sz w:val="23"/>
          <w:szCs w:val="23"/>
          <w:lang w:eastAsia="en-AU"/>
        </w:rPr>
        <w:t>COVID-19 Emergency Response (Section 14) (No 1) Variation Regulations 2020</w:t>
      </w:r>
      <w:r w:rsidRPr="009E101D">
        <w:rPr>
          <w:rFonts w:eastAsia="Times New Roman"/>
          <w:color w:val="000000"/>
          <w:sz w:val="23"/>
          <w:szCs w:val="23"/>
          <w:lang w:eastAsia="en-AU"/>
        </w:rPr>
        <w:t>.</w:t>
      </w:r>
    </w:p>
    <w:p w:rsidR="009E101D" w:rsidRPr="009E101D" w:rsidRDefault="009E101D" w:rsidP="00BB557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2—Commencement</w:t>
      </w:r>
    </w:p>
    <w:p w:rsidR="009E101D" w:rsidRPr="009E101D" w:rsidRDefault="009E101D" w:rsidP="00BB557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These regulations come into operation on the day on which they are made.</w:t>
      </w:r>
    </w:p>
    <w:p w:rsidR="009E101D" w:rsidRPr="009E101D" w:rsidRDefault="009E101D" w:rsidP="00BB557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3—Variation provisions</w:t>
      </w:r>
    </w:p>
    <w:p w:rsidR="009E101D" w:rsidRPr="009E101D" w:rsidRDefault="009E101D" w:rsidP="00BB557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In these regulations, a provision under a heading referring to the variation of specified regulations varies the regulations so specified.</w:t>
      </w:r>
    </w:p>
    <w:p w:rsidR="009E101D" w:rsidRPr="009E101D" w:rsidRDefault="009E101D" w:rsidP="00BB557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E101D">
        <w:rPr>
          <w:rFonts w:eastAsia="Times New Roman"/>
          <w:b/>
          <w:bCs/>
          <w:color w:val="000000"/>
          <w:sz w:val="32"/>
          <w:szCs w:val="32"/>
          <w:lang w:eastAsia="en-AU"/>
        </w:rPr>
        <w:t xml:space="preserve">Part 2—Variation of </w:t>
      </w:r>
      <w:r w:rsidRPr="009E101D">
        <w:rPr>
          <w:rFonts w:eastAsia="Times New Roman"/>
          <w:b/>
          <w:bCs/>
          <w:i/>
          <w:iCs/>
          <w:color w:val="000000"/>
          <w:sz w:val="32"/>
          <w:szCs w:val="32"/>
          <w:lang w:eastAsia="en-AU"/>
        </w:rPr>
        <w:t>COVID-19 Emergency Response (Section 14) Regulations 2020</w:t>
      </w:r>
    </w:p>
    <w:p w:rsidR="009E101D" w:rsidRPr="009E101D" w:rsidRDefault="009E101D" w:rsidP="00BB557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E101D">
        <w:rPr>
          <w:rFonts w:eastAsia="Times New Roman"/>
          <w:b/>
          <w:bCs/>
          <w:color w:val="000000"/>
          <w:sz w:val="26"/>
          <w:szCs w:val="26"/>
          <w:lang w:eastAsia="en-AU"/>
        </w:rPr>
        <w:t>4—Insertion of Part 3</w:t>
      </w:r>
    </w:p>
    <w:p w:rsidR="009E101D" w:rsidRPr="009E101D" w:rsidRDefault="009E101D" w:rsidP="00BB557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E101D">
        <w:rPr>
          <w:rFonts w:eastAsia="Times New Roman"/>
          <w:color w:val="000000"/>
          <w:sz w:val="23"/>
          <w:szCs w:val="23"/>
          <w:lang w:eastAsia="en-AU"/>
        </w:rPr>
        <w:t>After Part 2 insert:</w:t>
      </w:r>
    </w:p>
    <w:p w:rsidR="009E101D" w:rsidRPr="009E101D" w:rsidRDefault="009E101D" w:rsidP="00BB557D">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9E101D">
        <w:rPr>
          <w:rFonts w:eastAsia="Times New Roman"/>
          <w:b/>
          <w:bCs/>
          <w:color w:val="000000"/>
          <w:sz w:val="32"/>
          <w:szCs w:val="32"/>
          <w:lang w:eastAsia="en-AU"/>
        </w:rPr>
        <w:t>Part 3—Extension of time limits etc</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5—</w:t>
      </w:r>
      <w:r w:rsidRPr="009E101D">
        <w:rPr>
          <w:rFonts w:eastAsia="Times New Roman"/>
          <w:b/>
          <w:bCs/>
          <w:i/>
          <w:iCs/>
          <w:color w:val="000000"/>
          <w:sz w:val="26"/>
          <w:szCs w:val="26"/>
          <w:lang w:eastAsia="en-AU"/>
        </w:rPr>
        <w:t>Aged and Infirm Persons' Property Act 1940</w:t>
      </w:r>
    </w:p>
    <w:p w:rsidR="009E101D" w:rsidRPr="009E101D" w:rsidRDefault="009E101D" w:rsidP="00BB557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lastRenderedPageBreak/>
        <w:t xml:space="preserve">In accordance with section 14 of the Act, the time at which the Public Trustee is required to prepare and file in the court a statement under section 19 of the </w:t>
      </w:r>
      <w:hyperlink r:id="rId39" w:history="1">
        <w:r w:rsidRPr="009E101D">
          <w:rPr>
            <w:rFonts w:eastAsia="Times New Roman"/>
            <w:i/>
            <w:iCs/>
            <w:color w:val="000000"/>
            <w:sz w:val="23"/>
            <w:szCs w:val="23"/>
            <w:lang w:eastAsia="en-AU"/>
          </w:rPr>
          <w:t>Aged and Infirm Persons' Property Act 1940</w:t>
        </w:r>
      </w:hyperlink>
      <w:r w:rsidRPr="009E101D">
        <w:rPr>
          <w:rFonts w:eastAsia="Times New Roman"/>
          <w:color w:val="000000"/>
          <w:sz w:val="23"/>
          <w:szCs w:val="23"/>
          <w:lang w:eastAsia="en-AU"/>
        </w:rPr>
        <w:t xml:space="preserve"> is postponed to 30 November 2020.</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6—</w:t>
      </w:r>
      <w:r w:rsidRPr="009E101D">
        <w:rPr>
          <w:rFonts w:eastAsia="Times New Roman"/>
          <w:b/>
          <w:bCs/>
          <w:i/>
          <w:iCs/>
          <w:color w:val="000000"/>
          <w:sz w:val="26"/>
          <w:szCs w:val="26"/>
          <w:lang w:eastAsia="en-AU"/>
        </w:rPr>
        <w:t>Associations Incorporation Act 1985</w:t>
      </w:r>
    </w:p>
    <w:p w:rsidR="009E101D" w:rsidRPr="009E101D" w:rsidRDefault="009E101D" w:rsidP="00BB557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(1)</w:t>
      </w:r>
      <w:r w:rsidRPr="009E101D">
        <w:rPr>
          <w:rFonts w:eastAsia="Times New Roman"/>
          <w:color w:val="000000"/>
          <w:sz w:val="23"/>
          <w:szCs w:val="23"/>
          <w:lang w:eastAsia="en-AU"/>
        </w:rPr>
        <w:tab/>
        <w:t xml:space="preserve">In accordance with section 14 of the Act, the period within which a prescribed association must hold an annual general meeting in accordance with section 39 of the </w:t>
      </w:r>
      <w:hyperlink r:id="rId40" w:history="1">
        <w:r w:rsidRPr="009E101D">
          <w:rPr>
            <w:rFonts w:eastAsia="Times New Roman"/>
            <w:i/>
            <w:iCs/>
            <w:color w:val="000000"/>
            <w:sz w:val="23"/>
            <w:szCs w:val="23"/>
            <w:lang w:eastAsia="en-AU"/>
          </w:rPr>
          <w:t>Associations Incorporation Act 1985</w:t>
        </w:r>
      </w:hyperlink>
      <w:r w:rsidRPr="009E101D">
        <w:rPr>
          <w:rFonts w:eastAsia="Times New Roman"/>
          <w:color w:val="000000"/>
          <w:sz w:val="23"/>
          <w:szCs w:val="23"/>
          <w:lang w:eastAsia="en-AU"/>
        </w:rPr>
        <w:t xml:space="preserve"> is extended by 6 months.</w:t>
      </w:r>
    </w:p>
    <w:p w:rsidR="009E101D" w:rsidRPr="009E101D" w:rsidRDefault="009E101D" w:rsidP="00BB557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9E101D">
        <w:rPr>
          <w:rFonts w:eastAsia="Times New Roman"/>
          <w:color w:val="000000"/>
          <w:sz w:val="23"/>
          <w:szCs w:val="23"/>
          <w:lang w:eastAsia="en-AU"/>
        </w:rPr>
        <w:tab/>
        <w:t>(2)</w:t>
      </w:r>
      <w:r w:rsidRPr="009E101D">
        <w:rPr>
          <w:rFonts w:eastAsia="Times New Roman"/>
          <w:color w:val="000000"/>
          <w:sz w:val="23"/>
          <w:szCs w:val="23"/>
          <w:lang w:eastAsia="en-AU"/>
        </w:rPr>
        <w:tab/>
        <w:t xml:space="preserve">In accordance with section 14 of the Act, the period within which a prescribed association must lodge a periodic return in accordance with regulation 8 of the </w:t>
      </w:r>
      <w:hyperlink r:id="rId41" w:history="1">
        <w:r w:rsidRPr="009E101D">
          <w:rPr>
            <w:rFonts w:eastAsia="Times New Roman"/>
            <w:i/>
            <w:iCs/>
            <w:color w:val="000000"/>
            <w:sz w:val="23"/>
            <w:szCs w:val="23"/>
            <w:lang w:eastAsia="en-AU"/>
          </w:rPr>
          <w:t>Associations Incorporation Regulations 2008</w:t>
        </w:r>
      </w:hyperlink>
      <w:r w:rsidRPr="009E101D">
        <w:rPr>
          <w:rFonts w:eastAsia="Times New Roman"/>
          <w:color w:val="000000"/>
          <w:sz w:val="23"/>
          <w:szCs w:val="23"/>
          <w:lang w:eastAsia="en-AU"/>
        </w:rPr>
        <w:t xml:space="preserve"> is extended by 6 months.</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7—</w:t>
      </w:r>
      <w:r w:rsidRPr="009E101D">
        <w:rPr>
          <w:rFonts w:eastAsia="Times New Roman"/>
          <w:b/>
          <w:bCs/>
          <w:i/>
          <w:iCs/>
          <w:color w:val="000000"/>
          <w:sz w:val="26"/>
          <w:szCs w:val="26"/>
          <w:lang w:eastAsia="en-AU"/>
        </w:rPr>
        <w:t>Collections for Charitable Purposes Act 1939</w:t>
      </w:r>
    </w:p>
    <w:p w:rsidR="009E101D" w:rsidRPr="009E101D" w:rsidRDefault="009E101D" w:rsidP="00BB557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In accordance with section 14 of the Act, the time or times at which the holder of a licence must provide to the Minister a copy of the audited accounts or a statement under section 15(2) of the </w:t>
      </w:r>
      <w:hyperlink r:id="rId42" w:history="1">
        <w:r w:rsidRPr="009E101D">
          <w:rPr>
            <w:rFonts w:eastAsia="Times New Roman"/>
            <w:i/>
            <w:iCs/>
            <w:color w:val="000000"/>
            <w:sz w:val="23"/>
            <w:szCs w:val="23"/>
            <w:lang w:eastAsia="en-AU"/>
          </w:rPr>
          <w:t>Collections for Charitable Purposes Act 1939</w:t>
        </w:r>
      </w:hyperlink>
      <w:r w:rsidRPr="009E101D">
        <w:rPr>
          <w:rFonts w:eastAsia="Times New Roman"/>
          <w:color w:val="000000"/>
          <w:sz w:val="23"/>
          <w:szCs w:val="23"/>
          <w:lang w:eastAsia="en-AU"/>
        </w:rPr>
        <w:t xml:space="preserve"> is postponed by 6 months.</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8—</w:t>
      </w:r>
      <w:r w:rsidRPr="009E101D">
        <w:rPr>
          <w:rFonts w:eastAsia="Times New Roman"/>
          <w:b/>
          <w:bCs/>
          <w:i/>
          <w:iCs/>
          <w:color w:val="000000"/>
          <w:sz w:val="26"/>
          <w:szCs w:val="26"/>
          <w:lang w:eastAsia="en-AU"/>
        </w:rPr>
        <w:t>Criminal Law (Forensic Procedures) Act 2007</w:t>
      </w:r>
    </w:p>
    <w:p w:rsidR="009E101D" w:rsidRPr="009E101D" w:rsidRDefault="009E101D" w:rsidP="00BB557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In accordance with section 14 of the Act, the time at which the Ombudsman must present a report on an annual audit to the Attorney-General under section 57 of the </w:t>
      </w:r>
      <w:hyperlink r:id="rId43" w:history="1">
        <w:r w:rsidRPr="009E101D">
          <w:rPr>
            <w:rFonts w:eastAsia="Times New Roman"/>
            <w:i/>
            <w:iCs/>
            <w:color w:val="000000"/>
            <w:sz w:val="23"/>
            <w:szCs w:val="23"/>
            <w:lang w:eastAsia="en-AU"/>
          </w:rPr>
          <w:t>Criminal Law (Forensic Procedures) Act 2007</w:t>
        </w:r>
      </w:hyperlink>
      <w:r w:rsidRPr="009E101D">
        <w:rPr>
          <w:rFonts w:eastAsia="Times New Roman"/>
          <w:color w:val="000000"/>
          <w:sz w:val="23"/>
          <w:szCs w:val="23"/>
          <w:lang w:eastAsia="en-AU"/>
        </w:rPr>
        <w:t xml:space="preserve"> is postponed to 30 November 2020.</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9—</w:t>
      </w:r>
      <w:r w:rsidRPr="009E101D">
        <w:rPr>
          <w:rFonts w:eastAsia="Times New Roman"/>
          <w:b/>
          <w:bCs/>
          <w:i/>
          <w:iCs/>
          <w:color w:val="000000"/>
          <w:sz w:val="26"/>
          <w:szCs w:val="26"/>
          <w:lang w:eastAsia="en-AU"/>
        </w:rPr>
        <w:t>Equal Opportunity Act 1984</w:t>
      </w:r>
    </w:p>
    <w:p w:rsidR="009E101D" w:rsidRPr="009E101D" w:rsidRDefault="009E101D" w:rsidP="00BB557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In accordance with section 14 of the Act, the period of 3 months referred to in section 95B(1)(c) of the </w:t>
      </w:r>
      <w:hyperlink r:id="rId44" w:history="1">
        <w:r w:rsidRPr="009E101D">
          <w:rPr>
            <w:rFonts w:eastAsia="Times New Roman"/>
            <w:i/>
            <w:iCs/>
            <w:color w:val="000000"/>
            <w:sz w:val="23"/>
            <w:szCs w:val="23"/>
            <w:lang w:eastAsia="en-AU"/>
          </w:rPr>
          <w:t>Equal Opportunity Act 1984</w:t>
        </w:r>
      </w:hyperlink>
      <w:r w:rsidRPr="009E101D">
        <w:rPr>
          <w:rFonts w:eastAsia="Times New Roman"/>
          <w:color w:val="000000"/>
          <w:sz w:val="23"/>
          <w:szCs w:val="23"/>
          <w:lang w:eastAsia="en-AU"/>
        </w:rPr>
        <w:t xml:space="preserve"> is extended by 3 months (such that if a complainant is notified of the Commissioner's decision while this regulation is in force, the complainant may, within 6 months of being so notified, by notice in writing, require the Commissioner to refer the complaint to the Tribunal).</w:t>
      </w:r>
    </w:p>
    <w:p w:rsidR="009E101D" w:rsidRPr="009E101D" w:rsidRDefault="009E101D" w:rsidP="00BB557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E101D">
        <w:rPr>
          <w:rFonts w:eastAsia="Times New Roman"/>
          <w:b/>
          <w:bCs/>
          <w:color w:val="000000"/>
          <w:sz w:val="26"/>
          <w:szCs w:val="26"/>
          <w:lang w:eastAsia="en-AU"/>
        </w:rPr>
        <w:t>10—</w:t>
      </w:r>
      <w:r w:rsidRPr="009E101D">
        <w:rPr>
          <w:rFonts w:eastAsia="Times New Roman"/>
          <w:b/>
          <w:bCs/>
          <w:i/>
          <w:iCs/>
          <w:color w:val="000000"/>
          <w:sz w:val="26"/>
          <w:szCs w:val="26"/>
          <w:lang w:eastAsia="en-AU"/>
        </w:rPr>
        <w:t>Lottery and Gaming Act 1936</w:t>
      </w:r>
    </w:p>
    <w:p w:rsidR="009E101D" w:rsidRPr="009E101D" w:rsidRDefault="009E101D" w:rsidP="00BB557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E101D">
        <w:rPr>
          <w:rFonts w:eastAsia="Times New Roman"/>
          <w:color w:val="000000"/>
          <w:sz w:val="23"/>
          <w:szCs w:val="23"/>
          <w:lang w:eastAsia="en-AU"/>
        </w:rPr>
        <w:t xml:space="preserve">In accordance with section 14 of the Act, the period within which a financial statement must be provided to the Minister under regulation 24(za), 26(zd) or 27(m) of the </w:t>
      </w:r>
      <w:hyperlink r:id="rId45" w:history="1">
        <w:r w:rsidRPr="009E101D">
          <w:rPr>
            <w:rFonts w:eastAsia="Times New Roman"/>
            <w:i/>
            <w:iCs/>
            <w:color w:val="000000"/>
            <w:sz w:val="23"/>
            <w:szCs w:val="23"/>
            <w:lang w:eastAsia="en-AU"/>
          </w:rPr>
          <w:t>Lottery and Gaming Regulations 2008</w:t>
        </w:r>
      </w:hyperlink>
      <w:r w:rsidRPr="009E101D">
        <w:rPr>
          <w:rFonts w:eastAsia="Times New Roman"/>
          <w:color w:val="000000"/>
          <w:sz w:val="23"/>
          <w:szCs w:val="23"/>
          <w:lang w:eastAsia="en-AU"/>
        </w:rPr>
        <w:t xml:space="preserve"> is extended by 6 months.</w:t>
      </w:r>
    </w:p>
    <w:p w:rsidR="009E101D" w:rsidRPr="009E101D" w:rsidRDefault="009E101D" w:rsidP="00BB557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E101D">
        <w:rPr>
          <w:rFonts w:eastAsia="Times New Roman"/>
          <w:b/>
          <w:bCs/>
          <w:color w:val="000000"/>
          <w:sz w:val="20"/>
          <w:szCs w:val="20"/>
          <w:lang w:eastAsia="en-AU"/>
        </w:rPr>
        <w:t>Note—</w:t>
      </w:r>
    </w:p>
    <w:p w:rsidR="009E101D" w:rsidRPr="009E101D" w:rsidRDefault="009E101D" w:rsidP="00BB557D">
      <w:pPr>
        <w:keepNext/>
        <w:keepLines/>
        <w:autoSpaceDE w:val="0"/>
        <w:autoSpaceDN w:val="0"/>
        <w:adjustRightInd w:val="0"/>
        <w:spacing w:before="120" w:after="0" w:line="240" w:lineRule="auto"/>
        <w:ind w:left="794"/>
        <w:jc w:val="left"/>
        <w:rPr>
          <w:rFonts w:eastAsia="Times New Roman"/>
          <w:color w:val="000000"/>
          <w:sz w:val="20"/>
          <w:szCs w:val="20"/>
          <w:lang w:eastAsia="en-AU"/>
        </w:rPr>
      </w:pPr>
      <w:r w:rsidRPr="009E101D">
        <w:rPr>
          <w:rFonts w:eastAsia="Times New Roman"/>
          <w:color w:val="000000"/>
          <w:sz w:val="20"/>
          <w:szCs w:val="20"/>
          <w:lang w:eastAsia="en-AU"/>
        </w:rPr>
        <w:t xml:space="preserve">As required by section 10AA(2) of the </w:t>
      </w:r>
      <w:hyperlink r:id="rId46" w:history="1">
        <w:r w:rsidRPr="009E101D">
          <w:rPr>
            <w:rFonts w:eastAsia="Times New Roman"/>
            <w:i/>
            <w:iCs/>
            <w:color w:val="000000"/>
            <w:sz w:val="20"/>
            <w:szCs w:val="20"/>
            <w:lang w:eastAsia="en-AU"/>
          </w:rPr>
          <w:t>Subordinate Legislation Act 1978</w:t>
        </w:r>
      </w:hyperlink>
      <w:r w:rsidRPr="009E101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9E101D" w:rsidRPr="009E101D" w:rsidRDefault="009E101D" w:rsidP="00BB557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E101D">
        <w:rPr>
          <w:rFonts w:eastAsia="Times New Roman"/>
          <w:b/>
          <w:bCs/>
          <w:color w:val="000000"/>
          <w:sz w:val="26"/>
          <w:szCs w:val="26"/>
          <w:lang w:eastAsia="en-AU"/>
        </w:rPr>
        <w:t>Made by the Governor</w:t>
      </w:r>
    </w:p>
    <w:p w:rsidR="009E101D" w:rsidRPr="009E101D" w:rsidRDefault="009E101D" w:rsidP="00BB557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with the advice and consent of the Executive Council</w:t>
      </w:r>
    </w:p>
    <w:p w:rsidR="009E101D" w:rsidRPr="009E101D" w:rsidRDefault="009E101D" w:rsidP="00BB557D">
      <w:pPr>
        <w:keepNext/>
        <w:keepLines/>
        <w:autoSpaceDE w:val="0"/>
        <w:autoSpaceDN w:val="0"/>
        <w:adjustRightInd w:val="0"/>
        <w:spacing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on 21 May 2020</w:t>
      </w:r>
    </w:p>
    <w:p w:rsidR="009E101D" w:rsidRDefault="009E101D" w:rsidP="00BB557D">
      <w:pPr>
        <w:keepNext/>
        <w:keepLines/>
        <w:autoSpaceDE w:val="0"/>
        <w:autoSpaceDN w:val="0"/>
        <w:adjustRightInd w:val="0"/>
        <w:spacing w:before="120" w:after="0" w:line="240" w:lineRule="auto"/>
        <w:jc w:val="left"/>
        <w:rPr>
          <w:rFonts w:eastAsia="Times New Roman"/>
          <w:color w:val="000000"/>
          <w:sz w:val="23"/>
          <w:szCs w:val="23"/>
          <w:lang w:eastAsia="en-AU"/>
        </w:rPr>
      </w:pPr>
      <w:r w:rsidRPr="009E101D">
        <w:rPr>
          <w:rFonts w:eastAsia="Times New Roman"/>
          <w:color w:val="000000"/>
          <w:sz w:val="23"/>
          <w:szCs w:val="23"/>
          <w:lang w:eastAsia="en-AU"/>
        </w:rPr>
        <w:t>No 70 of 2020</w:t>
      </w:r>
    </w:p>
    <w:p w:rsidR="00483033" w:rsidRDefault="00483033" w:rsidP="00483033">
      <w:pPr>
        <w:pBdr>
          <w:bottom w:val="single" w:sz="4" w:space="1" w:color="auto"/>
        </w:pBdr>
        <w:spacing w:after="0" w:line="52" w:lineRule="exact"/>
        <w:jc w:val="center"/>
        <w:rPr>
          <w:rFonts w:eastAsia="Times New Roman"/>
          <w:color w:val="000000"/>
          <w:sz w:val="23"/>
          <w:szCs w:val="23"/>
          <w:lang w:eastAsia="en-AU"/>
        </w:rPr>
      </w:pPr>
    </w:p>
    <w:p w:rsidR="00483033" w:rsidRDefault="00483033" w:rsidP="00483033">
      <w:pPr>
        <w:pBdr>
          <w:top w:val="single" w:sz="4" w:space="1" w:color="auto"/>
        </w:pBdr>
        <w:spacing w:before="34" w:after="0" w:line="14" w:lineRule="exact"/>
        <w:jc w:val="center"/>
        <w:rPr>
          <w:rFonts w:eastAsia="Times New Roman"/>
          <w:color w:val="000000"/>
          <w:sz w:val="23"/>
          <w:szCs w:val="23"/>
          <w:lang w:eastAsia="en-AU"/>
        </w:rPr>
      </w:pPr>
    </w:p>
    <w:p w:rsidR="009E101D" w:rsidRDefault="009E101D" w:rsidP="009E101D">
      <w:pPr>
        <w:pBdr>
          <w:top w:val="single" w:sz="4" w:space="1" w:color="auto"/>
        </w:pBdr>
        <w:spacing w:before="34" w:after="0" w:line="14" w:lineRule="exact"/>
        <w:jc w:val="center"/>
        <w:rPr>
          <w:rFonts w:eastAsia="Times New Roman"/>
          <w:color w:val="000000"/>
          <w:sz w:val="23"/>
          <w:szCs w:val="23"/>
          <w:lang w:eastAsia="en-AU"/>
        </w:rPr>
      </w:pPr>
    </w:p>
    <w:p w:rsidR="00483033" w:rsidRPr="00483033" w:rsidRDefault="009E101D" w:rsidP="00483033">
      <w:pPr>
        <w:keepLines/>
        <w:autoSpaceDE w:val="0"/>
        <w:autoSpaceDN w:val="0"/>
        <w:adjustRightInd w:val="0"/>
        <w:spacing w:before="240" w:after="0" w:line="240" w:lineRule="auto"/>
        <w:rPr>
          <w:rFonts w:eastAsia="Times New Roman"/>
          <w:color w:val="000000"/>
          <w:sz w:val="28"/>
          <w:szCs w:val="28"/>
          <w:lang w:eastAsia="en-AU"/>
        </w:rPr>
      </w:pPr>
      <w:r>
        <w:br w:type="page"/>
      </w:r>
      <w:r w:rsidR="00483033" w:rsidRPr="00483033">
        <w:rPr>
          <w:rFonts w:eastAsia="Times New Roman"/>
          <w:color w:val="000000"/>
          <w:sz w:val="28"/>
          <w:szCs w:val="28"/>
          <w:lang w:eastAsia="en-AU"/>
        </w:rPr>
        <w:lastRenderedPageBreak/>
        <w:t>South Australia</w:t>
      </w:r>
    </w:p>
    <w:p w:rsidR="00483033" w:rsidRPr="00483033" w:rsidRDefault="00483033" w:rsidP="00BB557D">
      <w:pPr>
        <w:pStyle w:val="Heading3"/>
        <w:rPr>
          <w:lang w:eastAsia="en-AU"/>
        </w:rPr>
      </w:pPr>
      <w:bookmarkStart w:id="49" w:name="_Toc40954867"/>
      <w:r w:rsidRPr="00483033">
        <w:rPr>
          <w:lang w:eastAsia="en-AU"/>
        </w:rPr>
        <w:t>Liquor Licensing (General) (Miscellaneous) Variation Regulations 2020</w:t>
      </w:r>
      <w:bookmarkEnd w:id="49"/>
    </w:p>
    <w:p w:rsidR="00483033" w:rsidRPr="00483033" w:rsidRDefault="00483033" w:rsidP="00483033">
      <w:pPr>
        <w:keepLines/>
        <w:autoSpaceDE w:val="0"/>
        <w:autoSpaceDN w:val="0"/>
        <w:adjustRightInd w:val="0"/>
        <w:spacing w:before="80" w:after="240" w:line="240" w:lineRule="auto"/>
        <w:jc w:val="left"/>
        <w:rPr>
          <w:rFonts w:eastAsia="Times New Roman"/>
          <w:color w:val="000000"/>
          <w:sz w:val="24"/>
          <w:szCs w:val="24"/>
          <w:lang w:eastAsia="en-AU"/>
        </w:rPr>
      </w:pPr>
      <w:r w:rsidRPr="00483033">
        <w:rPr>
          <w:rFonts w:eastAsia="Times New Roman"/>
          <w:color w:val="000000"/>
          <w:sz w:val="24"/>
          <w:szCs w:val="24"/>
          <w:lang w:eastAsia="en-AU"/>
        </w:rPr>
        <w:t xml:space="preserve">under the </w:t>
      </w:r>
      <w:r w:rsidRPr="00483033">
        <w:rPr>
          <w:rFonts w:eastAsia="Times New Roman"/>
          <w:i/>
          <w:iCs/>
          <w:color w:val="000000"/>
          <w:sz w:val="24"/>
          <w:szCs w:val="24"/>
          <w:lang w:eastAsia="en-AU"/>
        </w:rPr>
        <w:t>Liquor Licensing Act 1997</w:t>
      </w:r>
    </w:p>
    <w:p w:rsidR="00483033" w:rsidRPr="00483033" w:rsidRDefault="00483033" w:rsidP="004830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83033" w:rsidRPr="00483033" w:rsidRDefault="00483033" w:rsidP="00483033">
      <w:pPr>
        <w:keepLines/>
        <w:autoSpaceDE w:val="0"/>
        <w:autoSpaceDN w:val="0"/>
        <w:adjustRightInd w:val="0"/>
        <w:spacing w:before="120" w:after="0" w:line="240" w:lineRule="auto"/>
        <w:jc w:val="left"/>
        <w:rPr>
          <w:rFonts w:eastAsia="Times New Roman"/>
          <w:b/>
          <w:bCs/>
          <w:color w:val="000000"/>
          <w:sz w:val="32"/>
          <w:szCs w:val="32"/>
          <w:lang w:eastAsia="en-AU"/>
        </w:rPr>
      </w:pPr>
      <w:r w:rsidRPr="00483033">
        <w:rPr>
          <w:rFonts w:eastAsia="Times New Roman"/>
          <w:b/>
          <w:bCs/>
          <w:color w:val="000000"/>
          <w:sz w:val="32"/>
          <w:szCs w:val="32"/>
          <w:lang w:eastAsia="en-AU"/>
        </w:rPr>
        <w:t>Contents</w:t>
      </w:r>
    </w:p>
    <w:p w:rsidR="00483033" w:rsidRPr="00483033" w:rsidRDefault="00827BA8" w:rsidP="0048303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83033" w:rsidRPr="00483033">
          <w:rPr>
            <w:rFonts w:eastAsia="Times New Roman"/>
            <w:color w:val="000000"/>
            <w:sz w:val="28"/>
            <w:szCs w:val="28"/>
            <w:lang w:eastAsia="en-AU"/>
          </w:rPr>
          <w:t>Part 1—Preliminary</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83033" w:rsidRPr="00483033">
          <w:rPr>
            <w:rFonts w:eastAsia="Times New Roman"/>
            <w:color w:val="000000"/>
            <w:sz w:val="22"/>
            <w:lang w:eastAsia="en-AU"/>
          </w:rPr>
          <w:t>1</w:t>
        </w:r>
        <w:r w:rsidR="00483033" w:rsidRPr="00483033">
          <w:rPr>
            <w:rFonts w:eastAsia="Times New Roman"/>
            <w:color w:val="000000"/>
            <w:sz w:val="22"/>
            <w:lang w:eastAsia="en-AU"/>
          </w:rPr>
          <w:tab/>
          <w:t>Short title</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83033" w:rsidRPr="00483033">
          <w:rPr>
            <w:rFonts w:eastAsia="Times New Roman"/>
            <w:color w:val="000000"/>
            <w:sz w:val="22"/>
            <w:lang w:eastAsia="en-AU"/>
          </w:rPr>
          <w:t>2</w:t>
        </w:r>
        <w:r w:rsidR="00483033" w:rsidRPr="00483033">
          <w:rPr>
            <w:rFonts w:eastAsia="Times New Roman"/>
            <w:color w:val="000000"/>
            <w:sz w:val="22"/>
            <w:lang w:eastAsia="en-AU"/>
          </w:rPr>
          <w:tab/>
          <w:t>Commencement</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83033" w:rsidRPr="00483033">
          <w:rPr>
            <w:rFonts w:eastAsia="Times New Roman"/>
            <w:color w:val="000000"/>
            <w:sz w:val="22"/>
            <w:lang w:eastAsia="en-AU"/>
          </w:rPr>
          <w:t>3</w:t>
        </w:r>
        <w:r w:rsidR="00483033" w:rsidRPr="00483033">
          <w:rPr>
            <w:rFonts w:eastAsia="Times New Roman"/>
            <w:color w:val="000000"/>
            <w:sz w:val="22"/>
            <w:lang w:eastAsia="en-AU"/>
          </w:rPr>
          <w:tab/>
          <w:t>Variation provisions</w:t>
        </w:r>
      </w:hyperlink>
    </w:p>
    <w:p w:rsidR="00483033" w:rsidRPr="00483033" w:rsidRDefault="00827BA8" w:rsidP="0048303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483033" w:rsidRPr="00483033">
          <w:rPr>
            <w:rFonts w:eastAsia="Times New Roman"/>
            <w:color w:val="000000"/>
            <w:sz w:val="28"/>
            <w:szCs w:val="28"/>
            <w:lang w:eastAsia="en-AU"/>
          </w:rPr>
          <w:t xml:space="preserve">Part 2—Variation of </w:t>
        </w:r>
        <w:r w:rsidR="00483033" w:rsidRPr="00483033">
          <w:rPr>
            <w:rFonts w:eastAsia="Times New Roman"/>
            <w:i/>
            <w:iCs/>
            <w:color w:val="000000"/>
            <w:sz w:val="28"/>
            <w:szCs w:val="28"/>
            <w:lang w:eastAsia="en-AU"/>
          </w:rPr>
          <w:t>Liquor Licensing (General) Regulations 2012</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83033" w:rsidRPr="00483033">
          <w:rPr>
            <w:rFonts w:eastAsia="Times New Roman"/>
            <w:color w:val="000000"/>
            <w:sz w:val="22"/>
            <w:lang w:eastAsia="en-AU"/>
          </w:rPr>
          <w:t>4</w:t>
        </w:r>
        <w:r w:rsidR="00483033" w:rsidRPr="00483033">
          <w:rPr>
            <w:rFonts w:eastAsia="Times New Roman"/>
            <w:color w:val="000000"/>
            <w:sz w:val="22"/>
            <w:lang w:eastAsia="en-AU"/>
          </w:rPr>
          <w:tab/>
          <w:t>Substitution of regulation 12</w:t>
        </w:r>
      </w:hyperlink>
    </w:p>
    <w:p w:rsidR="00483033" w:rsidRPr="00483033" w:rsidRDefault="00827BA8" w:rsidP="0048303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483033" w:rsidRPr="00483033">
          <w:rPr>
            <w:rFonts w:eastAsia="Times New Roman"/>
            <w:color w:val="000000"/>
            <w:sz w:val="18"/>
            <w:szCs w:val="18"/>
            <w:lang w:eastAsia="en-AU"/>
          </w:rPr>
          <w:t>12</w:t>
        </w:r>
        <w:r w:rsidR="00483033" w:rsidRPr="00483033">
          <w:rPr>
            <w:rFonts w:eastAsia="Times New Roman"/>
            <w:color w:val="000000"/>
            <w:sz w:val="18"/>
            <w:szCs w:val="18"/>
            <w:lang w:eastAsia="en-AU"/>
          </w:rPr>
          <w:tab/>
          <w:t>Requirement relating to notice of application</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483033" w:rsidRPr="00483033">
          <w:rPr>
            <w:rFonts w:eastAsia="Times New Roman"/>
            <w:color w:val="000000"/>
            <w:sz w:val="22"/>
            <w:lang w:eastAsia="en-AU"/>
          </w:rPr>
          <w:t>5</w:t>
        </w:r>
        <w:r w:rsidR="00483033" w:rsidRPr="00483033">
          <w:rPr>
            <w:rFonts w:eastAsia="Times New Roman"/>
            <w:color w:val="000000"/>
            <w:sz w:val="22"/>
            <w:lang w:eastAsia="en-AU"/>
          </w:rPr>
          <w:tab/>
          <w:t>Insertion of regulation 17A</w:t>
        </w:r>
      </w:hyperlink>
    </w:p>
    <w:p w:rsidR="00483033" w:rsidRPr="00483033" w:rsidRDefault="00827BA8" w:rsidP="0048303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483033" w:rsidRPr="00483033">
          <w:rPr>
            <w:rFonts w:eastAsia="Times New Roman"/>
            <w:color w:val="000000"/>
            <w:sz w:val="18"/>
            <w:szCs w:val="18"/>
            <w:lang w:eastAsia="en-AU"/>
          </w:rPr>
          <w:t>17A</w:t>
        </w:r>
        <w:r w:rsidR="00483033" w:rsidRPr="00483033">
          <w:rPr>
            <w:rFonts w:eastAsia="Times New Roman"/>
            <w:color w:val="000000"/>
            <w:sz w:val="18"/>
            <w:szCs w:val="18"/>
            <w:lang w:eastAsia="en-AU"/>
          </w:rPr>
          <w:tab/>
          <w:t>Minors allowed in certain licensed premises—packaged liquor sales licence</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483033" w:rsidRPr="00483033">
          <w:rPr>
            <w:rFonts w:eastAsia="Times New Roman"/>
            <w:color w:val="000000"/>
            <w:sz w:val="22"/>
            <w:lang w:eastAsia="en-AU"/>
          </w:rPr>
          <w:t>6</w:t>
        </w:r>
        <w:r w:rsidR="00483033" w:rsidRPr="00483033">
          <w:rPr>
            <w:rFonts w:eastAsia="Times New Roman"/>
            <w:color w:val="000000"/>
            <w:sz w:val="22"/>
            <w:lang w:eastAsia="en-AU"/>
          </w:rPr>
          <w:tab/>
          <w:t>Insertion of regulation 21A</w:t>
        </w:r>
      </w:hyperlink>
    </w:p>
    <w:p w:rsidR="00483033" w:rsidRPr="00483033" w:rsidRDefault="00827BA8" w:rsidP="0048303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1" w:history="1">
        <w:r w:rsidR="00483033" w:rsidRPr="00483033">
          <w:rPr>
            <w:rFonts w:eastAsia="Times New Roman"/>
            <w:color w:val="000000"/>
            <w:sz w:val="18"/>
            <w:szCs w:val="18"/>
            <w:lang w:eastAsia="en-AU"/>
          </w:rPr>
          <w:t>21A</w:t>
        </w:r>
        <w:r w:rsidR="00483033" w:rsidRPr="00483033">
          <w:rPr>
            <w:rFonts w:eastAsia="Times New Roman"/>
            <w:color w:val="000000"/>
            <w:sz w:val="18"/>
            <w:szCs w:val="18"/>
            <w:lang w:eastAsia="en-AU"/>
          </w:rPr>
          <w:tab/>
          <w:t>Persons exempt from prohibition of consumption and possession of liquor in public places</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483033" w:rsidRPr="00483033">
          <w:rPr>
            <w:rFonts w:eastAsia="Times New Roman"/>
            <w:color w:val="000000"/>
            <w:sz w:val="22"/>
            <w:lang w:eastAsia="en-AU"/>
          </w:rPr>
          <w:t>7</w:t>
        </w:r>
        <w:r w:rsidR="00483033" w:rsidRPr="00483033">
          <w:rPr>
            <w:rFonts w:eastAsia="Times New Roman"/>
            <w:color w:val="000000"/>
            <w:sz w:val="22"/>
            <w:lang w:eastAsia="en-AU"/>
          </w:rPr>
          <w:tab/>
          <w:t>Revocation of Schedule 2</w:t>
        </w:r>
      </w:hyperlink>
    </w:p>
    <w:p w:rsidR="00483033" w:rsidRPr="00483033" w:rsidRDefault="00483033" w:rsidP="004830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83033" w:rsidRPr="00483033" w:rsidRDefault="00483033" w:rsidP="004830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83033">
        <w:rPr>
          <w:rFonts w:eastAsia="Times New Roman"/>
          <w:b/>
          <w:bCs/>
          <w:color w:val="000000"/>
          <w:sz w:val="32"/>
          <w:szCs w:val="32"/>
          <w:lang w:eastAsia="en-AU"/>
        </w:rPr>
        <w:t>Part 1—Preliminary</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1—Short title</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 xml:space="preserve">These regulations may be cited as the </w:t>
      </w:r>
      <w:r w:rsidRPr="00483033">
        <w:rPr>
          <w:rFonts w:eastAsia="Times New Roman"/>
          <w:i/>
          <w:iCs/>
          <w:color w:val="000000"/>
          <w:sz w:val="23"/>
          <w:szCs w:val="23"/>
          <w:lang w:eastAsia="en-AU"/>
        </w:rPr>
        <w:t>Liquor Licensing (General) (Miscellaneous) Variation Regulations 2020</w:t>
      </w:r>
      <w:r w:rsidRPr="00483033">
        <w:rPr>
          <w:rFonts w:eastAsia="Times New Roman"/>
          <w:color w:val="000000"/>
          <w:sz w:val="23"/>
          <w:szCs w:val="23"/>
          <w:lang w:eastAsia="en-AU"/>
        </w:rPr>
        <w:t>.</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2—Commencement</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These regulations come into operation on the day on which they are made.</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3—Variation provisions</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In these regulations, a provision under a heading referring to the variation of specified regulations varies the regulations so specified.</w:t>
      </w:r>
    </w:p>
    <w:p w:rsidR="00483033" w:rsidRPr="00483033" w:rsidRDefault="00483033" w:rsidP="004830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83033">
        <w:rPr>
          <w:rFonts w:eastAsia="Times New Roman"/>
          <w:b/>
          <w:bCs/>
          <w:color w:val="000000"/>
          <w:sz w:val="32"/>
          <w:szCs w:val="32"/>
          <w:lang w:eastAsia="en-AU"/>
        </w:rPr>
        <w:t xml:space="preserve">Part 2—Variation of </w:t>
      </w:r>
      <w:r w:rsidRPr="00483033">
        <w:rPr>
          <w:rFonts w:eastAsia="Times New Roman"/>
          <w:b/>
          <w:bCs/>
          <w:i/>
          <w:iCs/>
          <w:color w:val="000000"/>
          <w:sz w:val="32"/>
          <w:szCs w:val="32"/>
          <w:lang w:eastAsia="en-AU"/>
        </w:rPr>
        <w:t>Liquor Licensing (General) Regulations 2012</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4—Substitution of regulation 12</w:t>
      </w:r>
    </w:p>
    <w:p w:rsidR="00483033" w:rsidRPr="00483033" w:rsidRDefault="00483033" w:rsidP="004830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Regulation 12—delete the regulation and substitute:</w:t>
      </w:r>
    </w:p>
    <w:p w:rsidR="00483033" w:rsidRPr="00483033" w:rsidRDefault="00483033" w:rsidP="0048303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83033">
        <w:rPr>
          <w:rFonts w:eastAsia="Times New Roman"/>
          <w:b/>
          <w:bCs/>
          <w:color w:val="000000"/>
          <w:sz w:val="26"/>
          <w:szCs w:val="26"/>
          <w:lang w:eastAsia="en-AU"/>
        </w:rPr>
        <w:t>12—Requirement relating to notice of application</w:t>
      </w:r>
    </w:p>
    <w:p w:rsidR="00483033" w:rsidRPr="00483033" w:rsidRDefault="00483033" w:rsidP="0048303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83033">
        <w:rPr>
          <w:rFonts w:eastAsia="Times New Roman"/>
          <w:color w:val="000000"/>
          <w:sz w:val="23"/>
          <w:szCs w:val="23"/>
          <w:lang w:eastAsia="en-AU"/>
        </w:rPr>
        <w:t>For the purposes of section 52(2) of the Act, the notice of application must be given in a manner and form approved by the Commissioner.</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lastRenderedPageBreak/>
        <w:t>5—Insertion of regulation 17A</w:t>
      </w:r>
    </w:p>
    <w:p w:rsidR="00483033" w:rsidRPr="00483033" w:rsidRDefault="00483033" w:rsidP="004830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After regulation 17 insert:</w:t>
      </w:r>
    </w:p>
    <w:p w:rsidR="00483033" w:rsidRPr="00483033" w:rsidRDefault="00483033" w:rsidP="0048303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83033">
        <w:rPr>
          <w:rFonts w:eastAsia="Times New Roman"/>
          <w:b/>
          <w:bCs/>
          <w:color w:val="000000"/>
          <w:sz w:val="26"/>
          <w:szCs w:val="26"/>
          <w:lang w:eastAsia="en-AU"/>
        </w:rPr>
        <w:t>17A—Minors allowed in certain licensed premises—packaged liquor sales licence</w:t>
      </w:r>
    </w:p>
    <w:p w:rsidR="00483033" w:rsidRPr="00483033" w:rsidRDefault="00483033" w:rsidP="0048303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83033">
        <w:rPr>
          <w:rFonts w:eastAsia="Times New Roman"/>
          <w:color w:val="000000"/>
          <w:sz w:val="23"/>
          <w:szCs w:val="23"/>
          <w:lang w:eastAsia="en-AU"/>
        </w:rPr>
        <w:t>For the purposes of section 112(6)(b) of the Act, licensed premises in respect of which the licensing authority has granted an exemption under section 38(6) of the Act are prescribed.</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6—Insertion of regulation 21A</w:t>
      </w:r>
    </w:p>
    <w:p w:rsidR="00483033" w:rsidRPr="00483033" w:rsidRDefault="00483033" w:rsidP="004830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After regulation 21 insert:</w:t>
      </w:r>
    </w:p>
    <w:p w:rsidR="00483033" w:rsidRPr="00483033" w:rsidRDefault="00483033" w:rsidP="0048303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83033">
        <w:rPr>
          <w:rFonts w:eastAsia="Times New Roman"/>
          <w:b/>
          <w:bCs/>
          <w:color w:val="000000"/>
          <w:sz w:val="26"/>
          <w:szCs w:val="26"/>
          <w:lang w:eastAsia="en-AU"/>
        </w:rPr>
        <w:t>21A—Persons exempt from prohibition of consumption and possession of liquor in public places</w:t>
      </w:r>
    </w:p>
    <w:p w:rsidR="00483033" w:rsidRPr="00483033" w:rsidRDefault="00483033" w:rsidP="00483033">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83033">
        <w:rPr>
          <w:rFonts w:eastAsia="Times New Roman"/>
          <w:color w:val="000000"/>
          <w:sz w:val="23"/>
          <w:szCs w:val="23"/>
          <w:lang w:eastAsia="en-AU"/>
        </w:rPr>
        <w:t>For the purposes of section 131(4) of the Act, a prohibition on the consumption or possession or both of liquor in a public place or public places specified in a notice under section 131 does not apply to—</w:t>
      </w:r>
    </w:p>
    <w:p w:rsidR="00483033" w:rsidRPr="00483033" w:rsidRDefault="00483033" w:rsidP="0048303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83033">
        <w:rPr>
          <w:rFonts w:eastAsia="Times New Roman"/>
          <w:color w:val="000000"/>
          <w:sz w:val="23"/>
          <w:szCs w:val="23"/>
          <w:lang w:eastAsia="en-AU"/>
        </w:rPr>
        <w:tab/>
        <w:t>(a)</w:t>
      </w:r>
      <w:r w:rsidRPr="00483033">
        <w:rPr>
          <w:rFonts w:eastAsia="Times New Roman"/>
          <w:color w:val="000000"/>
          <w:sz w:val="23"/>
          <w:szCs w:val="23"/>
          <w:lang w:eastAsia="en-AU"/>
        </w:rPr>
        <w:tab/>
        <w:t>a person who is genuinely passing through the place if—</w:t>
      </w:r>
    </w:p>
    <w:p w:rsidR="00483033" w:rsidRPr="00483033" w:rsidRDefault="00483033" w:rsidP="0048303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83033">
        <w:rPr>
          <w:rFonts w:eastAsia="Times New Roman"/>
          <w:color w:val="000000"/>
          <w:sz w:val="23"/>
          <w:szCs w:val="23"/>
          <w:lang w:eastAsia="en-AU"/>
        </w:rPr>
        <w:tab/>
        <w:t>(i)</w:t>
      </w:r>
      <w:r w:rsidRPr="00483033">
        <w:rPr>
          <w:rFonts w:eastAsia="Times New Roman"/>
          <w:color w:val="000000"/>
          <w:sz w:val="23"/>
          <w:szCs w:val="23"/>
          <w:lang w:eastAsia="en-AU"/>
        </w:rPr>
        <w:tab/>
        <w:t>the liquor is in the original container in which it was purchased from licensed premises; and</w:t>
      </w:r>
    </w:p>
    <w:p w:rsidR="00483033" w:rsidRPr="00483033" w:rsidRDefault="00483033" w:rsidP="0048303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83033">
        <w:rPr>
          <w:rFonts w:eastAsia="Times New Roman"/>
          <w:color w:val="000000"/>
          <w:sz w:val="23"/>
          <w:szCs w:val="23"/>
          <w:lang w:eastAsia="en-AU"/>
        </w:rPr>
        <w:tab/>
        <w:t>(ii)</w:t>
      </w:r>
      <w:r w:rsidRPr="00483033">
        <w:rPr>
          <w:rFonts w:eastAsia="Times New Roman"/>
          <w:color w:val="000000"/>
          <w:sz w:val="23"/>
          <w:szCs w:val="23"/>
          <w:lang w:eastAsia="en-AU"/>
        </w:rPr>
        <w:tab/>
        <w:t>the container has not been opened; or</w:t>
      </w:r>
    </w:p>
    <w:p w:rsidR="00483033" w:rsidRPr="00483033" w:rsidRDefault="00483033" w:rsidP="0048303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83033">
        <w:rPr>
          <w:rFonts w:eastAsia="Times New Roman"/>
          <w:color w:val="000000"/>
          <w:sz w:val="23"/>
          <w:szCs w:val="23"/>
          <w:lang w:eastAsia="en-AU"/>
        </w:rPr>
        <w:tab/>
        <w:t>(b)</w:t>
      </w:r>
      <w:r w:rsidRPr="00483033">
        <w:rPr>
          <w:rFonts w:eastAsia="Times New Roman"/>
          <w:color w:val="000000"/>
          <w:sz w:val="23"/>
          <w:szCs w:val="23"/>
          <w:lang w:eastAsia="en-AU"/>
        </w:rPr>
        <w:tab/>
        <w:t>a person who has possession of the liquor in the course of carrying on a business or in the course of their employment by another person in the course of carrying on a business; or</w:t>
      </w:r>
    </w:p>
    <w:p w:rsidR="00483033" w:rsidRPr="00483033" w:rsidRDefault="00483033" w:rsidP="0048303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83033">
        <w:rPr>
          <w:rFonts w:eastAsia="Times New Roman"/>
          <w:color w:val="000000"/>
          <w:sz w:val="23"/>
          <w:szCs w:val="23"/>
          <w:lang w:eastAsia="en-AU"/>
        </w:rPr>
        <w:tab/>
        <w:t>(c)</w:t>
      </w:r>
      <w:r w:rsidRPr="00483033">
        <w:rPr>
          <w:rFonts w:eastAsia="Times New Roman"/>
          <w:color w:val="000000"/>
          <w:sz w:val="23"/>
          <w:szCs w:val="23"/>
          <w:lang w:eastAsia="en-AU"/>
        </w:rPr>
        <w:tab/>
        <w:t>a person who is permanently or temporarily residing at premises near the public place and who enters the public place solely for the purpose of passing through it to enter those premises or who enters the public place from those premises for the purpose of leaving the place; or</w:t>
      </w:r>
    </w:p>
    <w:p w:rsidR="00483033" w:rsidRPr="00483033" w:rsidRDefault="00483033" w:rsidP="0048303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83033">
        <w:rPr>
          <w:rFonts w:eastAsia="Times New Roman"/>
          <w:color w:val="000000"/>
          <w:sz w:val="23"/>
          <w:szCs w:val="23"/>
          <w:lang w:eastAsia="en-AU"/>
        </w:rPr>
        <w:tab/>
        <w:t>(d)</w:t>
      </w:r>
      <w:r w:rsidRPr="00483033">
        <w:rPr>
          <w:rFonts w:eastAsia="Times New Roman"/>
          <w:color w:val="000000"/>
          <w:sz w:val="23"/>
          <w:szCs w:val="23"/>
          <w:lang w:eastAsia="en-AU"/>
        </w:rPr>
        <w:tab/>
        <w:t>a person who possesses or consumes the liquor for sacramental or other similar religious purposes.</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0" w:name="Elkera_Print_TOC12"/>
      <w:bookmarkStart w:id="51" w:name="Elkera_Print_BK12"/>
      <w:r w:rsidRPr="00483033">
        <w:rPr>
          <w:rFonts w:eastAsia="Times New Roman"/>
          <w:b/>
          <w:bCs/>
          <w:color w:val="000000"/>
          <w:sz w:val="26"/>
          <w:szCs w:val="26"/>
          <w:lang w:eastAsia="en-AU"/>
        </w:rPr>
        <w:t>7—Revocation of Schedule 2</w:t>
      </w:r>
      <w:bookmarkEnd w:id="50"/>
      <w:bookmarkEnd w:id="51"/>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Schedule 2—delete the Schedule</w:t>
      </w:r>
    </w:p>
    <w:p w:rsidR="00483033" w:rsidRPr="00483033" w:rsidRDefault="00483033" w:rsidP="0048303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83033">
        <w:rPr>
          <w:rFonts w:eastAsia="Times New Roman"/>
          <w:b/>
          <w:bCs/>
          <w:color w:val="000000"/>
          <w:sz w:val="20"/>
          <w:szCs w:val="20"/>
          <w:lang w:eastAsia="en-AU"/>
        </w:rPr>
        <w:t>Note—</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483033">
        <w:rPr>
          <w:rFonts w:eastAsia="Times New Roman"/>
          <w:color w:val="000000"/>
          <w:sz w:val="20"/>
          <w:szCs w:val="20"/>
          <w:lang w:eastAsia="en-AU"/>
        </w:rPr>
        <w:t xml:space="preserve">As required by section 10AA(2) of the </w:t>
      </w:r>
      <w:hyperlink r:id="rId47" w:history="1">
        <w:r w:rsidRPr="00483033">
          <w:rPr>
            <w:rFonts w:eastAsia="Times New Roman"/>
            <w:i/>
            <w:iCs/>
            <w:color w:val="000000"/>
            <w:sz w:val="20"/>
            <w:szCs w:val="20"/>
            <w:lang w:eastAsia="en-AU"/>
          </w:rPr>
          <w:t>Subordinate Legislation Act 1978</w:t>
        </w:r>
      </w:hyperlink>
      <w:r w:rsidRPr="0048303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83033" w:rsidRPr="00483033" w:rsidRDefault="00483033" w:rsidP="0048303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83033">
        <w:rPr>
          <w:rFonts w:eastAsia="Times New Roman"/>
          <w:b/>
          <w:bCs/>
          <w:color w:val="000000"/>
          <w:sz w:val="26"/>
          <w:szCs w:val="26"/>
          <w:lang w:eastAsia="en-AU"/>
        </w:rPr>
        <w:t>Made by the Governor</w:t>
      </w:r>
    </w:p>
    <w:p w:rsidR="00483033" w:rsidRPr="00483033" w:rsidRDefault="00483033" w:rsidP="00483033">
      <w:pPr>
        <w:keepNext/>
        <w:keepLines/>
        <w:autoSpaceDE w:val="0"/>
        <w:autoSpaceDN w:val="0"/>
        <w:adjustRightInd w:val="0"/>
        <w:spacing w:before="120"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with the advice and consent of the Executive Council</w:t>
      </w:r>
    </w:p>
    <w:p w:rsidR="00483033" w:rsidRPr="00483033" w:rsidRDefault="00483033" w:rsidP="00483033">
      <w:pPr>
        <w:keepNext/>
        <w:keepLines/>
        <w:autoSpaceDE w:val="0"/>
        <w:autoSpaceDN w:val="0"/>
        <w:adjustRightInd w:val="0"/>
        <w:spacing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on 21 May 2020</w:t>
      </w:r>
    </w:p>
    <w:p w:rsidR="00483033" w:rsidRDefault="00483033" w:rsidP="00483033">
      <w:pPr>
        <w:keepNext/>
        <w:keepLines/>
        <w:autoSpaceDE w:val="0"/>
        <w:autoSpaceDN w:val="0"/>
        <w:adjustRightInd w:val="0"/>
        <w:spacing w:before="120"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No 71 of 2020</w:t>
      </w:r>
    </w:p>
    <w:p w:rsidR="00483033" w:rsidRDefault="00483033" w:rsidP="00483033">
      <w:pPr>
        <w:pBdr>
          <w:bottom w:val="single" w:sz="4" w:space="1" w:color="auto"/>
        </w:pBdr>
        <w:spacing w:after="0" w:line="52" w:lineRule="exact"/>
        <w:jc w:val="center"/>
        <w:rPr>
          <w:rFonts w:eastAsia="Times New Roman"/>
          <w:color w:val="000000"/>
          <w:sz w:val="23"/>
          <w:szCs w:val="23"/>
          <w:lang w:eastAsia="en-AU"/>
        </w:rPr>
      </w:pPr>
    </w:p>
    <w:p w:rsidR="00483033" w:rsidRDefault="00483033" w:rsidP="00483033">
      <w:pPr>
        <w:pBdr>
          <w:top w:val="single" w:sz="4" w:space="1" w:color="auto"/>
        </w:pBdr>
        <w:spacing w:before="34" w:after="0" w:line="14" w:lineRule="exact"/>
        <w:jc w:val="center"/>
        <w:rPr>
          <w:rFonts w:eastAsia="Times New Roman"/>
          <w:color w:val="000000"/>
          <w:sz w:val="23"/>
          <w:szCs w:val="23"/>
          <w:lang w:eastAsia="en-AU"/>
        </w:rPr>
      </w:pPr>
    </w:p>
    <w:p w:rsidR="00483033" w:rsidRPr="00483033" w:rsidRDefault="00483033" w:rsidP="00483033">
      <w:pPr>
        <w:keepLines/>
        <w:autoSpaceDE w:val="0"/>
        <w:autoSpaceDN w:val="0"/>
        <w:adjustRightInd w:val="0"/>
        <w:spacing w:before="240" w:after="0" w:line="240" w:lineRule="auto"/>
        <w:rPr>
          <w:rFonts w:eastAsia="Times New Roman"/>
          <w:color w:val="000000"/>
          <w:sz w:val="28"/>
          <w:szCs w:val="28"/>
          <w:lang w:eastAsia="en-AU"/>
        </w:rPr>
      </w:pPr>
      <w:r>
        <w:br w:type="page"/>
      </w:r>
      <w:r w:rsidRPr="00483033">
        <w:rPr>
          <w:rFonts w:eastAsia="Times New Roman"/>
          <w:color w:val="000000"/>
          <w:sz w:val="28"/>
          <w:szCs w:val="28"/>
          <w:lang w:eastAsia="en-AU"/>
        </w:rPr>
        <w:lastRenderedPageBreak/>
        <w:t>South Australia</w:t>
      </w:r>
    </w:p>
    <w:p w:rsidR="00483033" w:rsidRPr="00483033" w:rsidRDefault="00483033" w:rsidP="00BB557D">
      <w:pPr>
        <w:pStyle w:val="Heading3"/>
        <w:rPr>
          <w:lang w:eastAsia="en-AU"/>
        </w:rPr>
      </w:pPr>
      <w:bookmarkStart w:id="52" w:name="_Toc40954868"/>
      <w:r w:rsidRPr="00483033">
        <w:rPr>
          <w:lang w:eastAsia="en-AU"/>
        </w:rPr>
        <w:t>Children and Young People (Safety) Variation Regulations 2020</w:t>
      </w:r>
      <w:bookmarkEnd w:id="52"/>
    </w:p>
    <w:p w:rsidR="00483033" w:rsidRPr="00483033" w:rsidRDefault="00483033" w:rsidP="00483033">
      <w:pPr>
        <w:keepLines/>
        <w:autoSpaceDE w:val="0"/>
        <w:autoSpaceDN w:val="0"/>
        <w:adjustRightInd w:val="0"/>
        <w:spacing w:before="80" w:after="240" w:line="240" w:lineRule="auto"/>
        <w:jc w:val="left"/>
        <w:rPr>
          <w:rFonts w:eastAsia="Times New Roman"/>
          <w:color w:val="000000"/>
          <w:sz w:val="24"/>
          <w:szCs w:val="24"/>
          <w:lang w:eastAsia="en-AU"/>
        </w:rPr>
      </w:pPr>
      <w:r w:rsidRPr="00483033">
        <w:rPr>
          <w:rFonts w:eastAsia="Times New Roman"/>
          <w:color w:val="000000"/>
          <w:sz w:val="24"/>
          <w:szCs w:val="24"/>
          <w:lang w:eastAsia="en-AU"/>
        </w:rPr>
        <w:t xml:space="preserve">under the </w:t>
      </w:r>
      <w:r w:rsidRPr="00483033">
        <w:rPr>
          <w:rFonts w:eastAsia="Times New Roman"/>
          <w:i/>
          <w:iCs/>
          <w:color w:val="000000"/>
          <w:sz w:val="24"/>
          <w:szCs w:val="24"/>
          <w:lang w:eastAsia="en-AU"/>
        </w:rPr>
        <w:t>Children and Young People (Safety) Act 2017</w:t>
      </w:r>
    </w:p>
    <w:p w:rsidR="00483033" w:rsidRPr="00483033" w:rsidRDefault="00483033" w:rsidP="004830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83033" w:rsidRPr="00483033" w:rsidRDefault="00483033" w:rsidP="00483033">
      <w:pPr>
        <w:keepLines/>
        <w:autoSpaceDE w:val="0"/>
        <w:autoSpaceDN w:val="0"/>
        <w:adjustRightInd w:val="0"/>
        <w:spacing w:before="120" w:after="0" w:line="240" w:lineRule="auto"/>
        <w:jc w:val="left"/>
        <w:rPr>
          <w:rFonts w:eastAsia="Times New Roman"/>
          <w:b/>
          <w:bCs/>
          <w:color w:val="000000"/>
          <w:sz w:val="32"/>
          <w:szCs w:val="32"/>
          <w:lang w:eastAsia="en-AU"/>
        </w:rPr>
      </w:pPr>
      <w:r w:rsidRPr="00483033">
        <w:rPr>
          <w:rFonts w:eastAsia="Times New Roman"/>
          <w:b/>
          <w:bCs/>
          <w:color w:val="000000"/>
          <w:sz w:val="32"/>
          <w:szCs w:val="32"/>
          <w:lang w:eastAsia="en-AU"/>
        </w:rPr>
        <w:t>Contents</w:t>
      </w:r>
    </w:p>
    <w:p w:rsidR="00483033" w:rsidRPr="00483033" w:rsidRDefault="00827BA8" w:rsidP="0048303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83033" w:rsidRPr="00483033">
          <w:rPr>
            <w:rFonts w:eastAsia="Times New Roman"/>
            <w:color w:val="000000"/>
            <w:sz w:val="28"/>
            <w:szCs w:val="28"/>
            <w:lang w:eastAsia="en-AU"/>
          </w:rPr>
          <w:t>Part 1—Preliminary</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83033" w:rsidRPr="00483033">
          <w:rPr>
            <w:rFonts w:eastAsia="Times New Roman"/>
            <w:color w:val="000000"/>
            <w:sz w:val="22"/>
            <w:lang w:eastAsia="en-AU"/>
          </w:rPr>
          <w:t>1</w:t>
        </w:r>
        <w:r w:rsidR="00483033" w:rsidRPr="00483033">
          <w:rPr>
            <w:rFonts w:eastAsia="Times New Roman"/>
            <w:color w:val="000000"/>
            <w:sz w:val="22"/>
            <w:lang w:eastAsia="en-AU"/>
          </w:rPr>
          <w:tab/>
          <w:t>Short title</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83033" w:rsidRPr="00483033">
          <w:rPr>
            <w:rFonts w:eastAsia="Times New Roman"/>
            <w:color w:val="000000"/>
            <w:sz w:val="22"/>
            <w:lang w:eastAsia="en-AU"/>
          </w:rPr>
          <w:t>2</w:t>
        </w:r>
        <w:r w:rsidR="00483033" w:rsidRPr="00483033">
          <w:rPr>
            <w:rFonts w:eastAsia="Times New Roman"/>
            <w:color w:val="000000"/>
            <w:sz w:val="22"/>
            <w:lang w:eastAsia="en-AU"/>
          </w:rPr>
          <w:tab/>
          <w:t>Commencement</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83033" w:rsidRPr="00483033">
          <w:rPr>
            <w:rFonts w:eastAsia="Times New Roman"/>
            <w:color w:val="000000"/>
            <w:sz w:val="22"/>
            <w:lang w:eastAsia="en-AU"/>
          </w:rPr>
          <w:t>3</w:t>
        </w:r>
        <w:r w:rsidR="00483033" w:rsidRPr="00483033">
          <w:rPr>
            <w:rFonts w:eastAsia="Times New Roman"/>
            <w:color w:val="000000"/>
            <w:sz w:val="22"/>
            <w:lang w:eastAsia="en-AU"/>
          </w:rPr>
          <w:tab/>
          <w:t>Variation provisions</w:t>
        </w:r>
      </w:hyperlink>
    </w:p>
    <w:p w:rsidR="00483033" w:rsidRPr="00483033" w:rsidRDefault="00827BA8" w:rsidP="0048303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483033" w:rsidRPr="00483033">
          <w:rPr>
            <w:rFonts w:eastAsia="Times New Roman"/>
            <w:color w:val="000000"/>
            <w:sz w:val="28"/>
            <w:szCs w:val="28"/>
            <w:lang w:eastAsia="en-AU"/>
          </w:rPr>
          <w:t xml:space="preserve">Part 2—Variation of </w:t>
        </w:r>
        <w:r w:rsidR="00483033" w:rsidRPr="00483033">
          <w:rPr>
            <w:rFonts w:eastAsia="Times New Roman"/>
            <w:i/>
            <w:iCs/>
            <w:color w:val="000000"/>
            <w:sz w:val="28"/>
            <w:szCs w:val="28"/>
            <w:lang w:eastAsia="en-AU"/>
          </w:rPr>
          <w:t>Children and Young People (Safety) Regulations 2017</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83033" w:rsidRPr="00483033">
          <w:rPr>
            <w:rFonts w:eastAsia="Times New Roman"/>
            <w:color w:val="000000"/>
            <w:sz w:val="22"/>
            <w:lang w:eastAsia="en-AU"/>
          </w:rPr>
          <w:t>4</w:t>
        </w:r>
        <w:r w:rsidR="00483033" w:rsidRPr="00483033">
          <w:rPr>
            <w:rFonts w:eastAsia="Times New Roman"/>
            <w:color w:val="000000"/>
            <w:sz w:val="22"/>
            <w:lang w:eastAsia="en-AU"/>
          </w:rPr>
          <w:tab/>
          <w:t>Variation of regulation 31A—Exemption from requirement to be assessed before employment in licensed children's residential facility</w:t>
        </w:r>
      </w:hyperlink>
    </w:p>
    <w:p w:rsidR="00483033" w:rsidRPr="00483033" w:rsidRDefault="00827BA8" w:rsidP="0048303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483033" w:rsidRPr="00483033">
          <w:rPr>
            <w:rFonts w:eastAsia="Times New Roman"/>
            <w:color w:val="000000"/>
            <w:sz w:val="22"/>
            <w:lang w:eastAsia="en-AU"/>
          </w:rPr>
          <w:t>5</w:t>
        </w:r>
        <w:r w:rsidR="00483033" w:rsidRPr="00483033">
          <w:rPr>
            <w:rFonts w:eastAsia="Times New Roman"/>
            <w:color w:val="000000"/>
            <w:sz w:val="22"/>
            <w:lang w:eastAsia="en-AU"/>
          </w:rPr>
          <w:tab/>
          <w:t>Variation of regulation 34A—Exemption from requirement to be assessed before employment in certain residential facilities</w:t>
        </w:r>
      </w:hyperlink>
    </w:p>
    <w:p w:rsidR="00483033" w:rsidRPr="00483033" w:rsidRDefault="00483033" w:rsidP="0048303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83033" w:rsidRPr="00483033" w:rsidRDefault="00483033" w:rsidP="004830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83033">
        <w:rPr>
          <w:rFonts w:eastAsia="Times New Roman"/>
          <w:b/>
          <w:bCs/>
          <w:color w:val="000000"/>
          <w:sz w:val="32"/>
          <w:szCs w:val="32"/>
          <w:lang w:eastAsia="en-AU"/>
        </w:rPr>
        <w:t>Part 1—Preliminary</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1—Short title</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 xml:space="preserve">These regulations may be cited as the </w:t>
      </w:r>
      <w:r w:rsidRPr="00483033">
        <w:rPr>
          <w:rFonts w:eastAsia="Times New Roman"/>
          <w:i/>
          <w:iCs/>
          <w:color w:val="000000"/>
          <w:sz w:val="23"/>
          <w:szCs w:val="23"/>
          <w:lang w:eastAsia="en-AU"/>
        </w:rPr>
        <w:t>Children and Young People (Safety) Variation Regulations 2020</w:t>
      </w:r>
      <w:r w:rsidRPr="00483033">
        <w:rPr>
          <w:rFonts w:eastAsia="Times New Roman"/>
          <w:color w:val="000000"/>
          <w:sz w:val="23"/>
          <w:szCs w:val="23"/>
          <w:lang w:eastAsia="en-AU"/>
        </w:rPr>
        <w:t>.</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2—Commencement</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These regulations come into operation on the day on which they are made.</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3—Variation provisions</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In these regulations, a provision under a heading referring to the variation of specified regulations varies the regulations so specified.</w:t>
      </w:r>
    </w:p>
    <w:p w:rsidR="00483033" w:rsidRPr="00483033" w:rsidRDefault="00483033" w:rsidP="0048303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83033">
        <w:rPr>
          <w:rFonts w:eastAsia="Times New Roman"/>
          <w:b/>
          <w:bCs/>
          <w:color w:val="000000"/>
          <w:sz w:val="32"/>
          <w:szCs w:val="32"/>
          <w:lang w:eastAsia="en-AU"/>
        </w:rPr>
        <w:t xml:space="preserve">Part 2—Variation of </w:t>
      </w:r>
      <w:r w:rsidRPr="00483033">
        <w:rPr>
          <w:rFonts w:eastAsia="Times New Roman"/>
          <w:b/>
          <w:bCs/>
          <w:i/>
          <w:iCs/>
          <w:color w:val="000000"/>
          <w:sz w:val="32"/>
          <w:szCs w:val="32"/>
          <w:lang w:eastAsia="en-AU"/>
        </w:rPr>
        <w:t>Children and Young People (Safety) Regulations 2017</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t>4—Variation of regulation 31A—Exemption from requirement to be assessed before employment in licensed children's residential facility</w:t>
      </w:r>
    </w:p>
    <w:p w:rsidR="00483033" w:rsidRPr="00483033" w:rsidRDefault="00483033" w:rsidP="004830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Regulation 31A—after its present contents (now to be designated as subregulation (1)) insert:</w:t>
      </w:r>
    </w:p>
    <w:p w:rsidR="00483033" w:rsidRPr="00483033" w:rsidRDefault="00483033" w:rsidP="004830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83033">
        <w:rPr>
          <w:rFonts w:eastAsia="Times New Roman"/>
          <w:color w:val="000000"/>
          <w:sz w:val="23"/>
          <w:szCs w:val="23"/>
          <w:lang w:eastAsia="en-AU"/>
        </w:rPr>
        <w:tab/>
        <w:t>(2)</w:t>
      </w:r>
      <w:r w:rsidRPr="00483033">
        <w:rPr>
          <w:rFonts w:eastAsia="Times New Roman"/>
          <w:color w:val="000000"/>
          <w:sz w:val="23"/>
          <w:szCs w:val="23"/>
          <w:lang w:eastAsia="en-AU"/>
        </w:rPr>
        <w:tab/>
        <w:t>This regulation expires on 30 September 2020.</w:t>
      </w:r>
    </w:p>
    <w:p w:rsidR="00483033" w:rsidRPr="00483033" w:rsidRDefault="00483033" w:rsidP="004830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83033">
        <w:rPr>
          <w:rFonts w:eastAsia="Times New Roman"/>
          <w:b/>
          <w:bCs/>
          <w:color w:val="000000"/>
          <w:sz w:val="26"/>
          <w:szCs w:val="26"/>
          <w:lang w:eastAsia="en-AU"/>
        </w:rPr>
        <w:lastRenderedPageBreak/>
        <w:t>5—Variation of regulation 34A—Exemption from requirement to be assessed before employment in certain residential facilities</w:t>
      </w:r>
    </w:p>
    <w:p w:rsidR="00483033" w:rsidRPr="00483033" w:rsidRDefault="00483033" w:rsidP="0048303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83033">
        <w:rPr>
          <w:rFonts w:eastAsia="Times New Roman"/>
          <w:color w:val="000000"/>
          <w:sz w:val="23"/>
          <w:szCs w:val="23"/>
          <w:lang w:eastAsia="en-AU"/>
        </w:rPr>
        <w:t>Regulation 34A—after its present contents (now to be designated as subregulation (1)) insert:</w:t>
      </w:r>
    </w:p>
    <w:p w:rsidR="00483033" w:rsidRPr="00483033" w:rsidRDefault="00483033" w:rsidP="0048303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83033">
        <w:rPr>
          <w:rFonts w:eastAsia="Times New Roman"/>
          <w:color w:val="000000"/>
          <w:sz w:val="23"/>
          <w:szCs w:val="23"/>
          <w:lang w:eastAsia="en-AU"/>
        </w:rPr>
        <w:tab/>
        <w:t>(2)</w:t>
      </w:r>
      <w:r w:rsidRPr="00483033">
        <w:rPr>
          <w:rFonts w:eastAsia="Times New Roman"/>
          <w:color w:val="000000"/>
          <w:sz w:val="23"/>
          <w:szCs w:val="23"/>
          <w:lang w:eastAsia="en-AU"/>
        </w:rPr>
        <w:tab/>
        <w:t>This regulation expires on 30 September 2020.</w:t>
      </w:r>
    </w:p>
    <w:p w:rsidR="00483033" w:rsidRPr="00483033" w:rsidRDefault="00483033" w:rsidP="0048303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83033">
        <w:rPr>
          <w:rFonts w:eastAsia="Times New Roman"/>
          <w:b/>
          <w:bCs/>
          <w:color w:val="000000"/>
          <w:sz w:val="20"/>
          <w:szCs w:val="20"/>
          <w:lang w:eastAsia="en-AU"/>
        </w:rPr>
        <w:t>Note—</w:t>
      </w:r>
    </w:p>
    <w:p w:rsidR="00483033" w:rsidRPr="00483033" w:rsidRDefault="00483033" w:rsidP="00483033">
      <w:pPr>
        <w:keepLines/>
        <w:autoSpaceDE w:val="0"/>
        <w:autoSpaceDN w:val="0"/>
        <w:adjustRightInd w:val="0"/>
        <w:spacing w:before="120" w:after="0" w:line="240" w:lineRule="auto"/>
        <w:ind w:left="794"/>
        <w:jc w:val="left"/>
        <w:rPr>
          <w:rFonts w:eastAsia="Times New Roman"/>
          <w:color w:val="000000"/>
          <w:sz w:val="20"/>
          <w:szCs w:val="20"/>
          <w:lang w:eastAsia="en-AU"/>
        </w:rPr>
      </w:pPr>
      <w:r w:rsidRPr="00483033">
        <w:rPr>
          <w:rFonts w:eastAsia="Times New Roman"/>
          <w:color w:val="000000"/>
          <w:sz w:val="20"/>
          <w:szCs w:val="20"/>
          <w:lang w:eastAsia="en-AU"/>
        </w:rPr>
        <w:t xml:space="preserve">As required by section 10AA(2) of the </w:t>
      </w:r>
      <w:hyperlink r:id="rId48" w:history="1">
        <w:r w:rsidRPr="00483033">
          <w:rPr>
            <w:rFonts w:eastAsia="Times New Roman"/>
            <w:i/>
            <w:iCs/>
            <w:color w:val="000000"/>
            <w:sz w:val="20"/>
            <w:szCs w:val="20"/>
            <w:lang w:eastAsia="en-AU"/>
          </w:rPr>
          <w:t>Subordinate Legislation Act 1978</w:t>
        </w:r>
      </w:hyperlink>
      <w:r w:rsidRPr="0048303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83033" w:rsidRPr="00483033" w:rsidRDefault="00483033" w:rsidP="0048303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83033">
        <w:rPr>
          <w:rFonts w:eastAsia="Times New Roman"/>
          <w:b/>
          <w:bCs/>
          <w:color w:val="000000"/>
          <w:sz w:val="26"/>
          <w:szCs w:val="26"/>
          <w:lang w:eastAsia="en-AU"/>
        </w:rPr>
        <w:t>Made by the Governor</w:t>
      </w:r>
    </w:p>
    <w:p w:rsidR="00483033" w:rsidRPr="00483033" w:rsidRDefault="00483033" w:rsidP="00483033">
      <w:pPr>
        <w:keepNext/>
        <w:keepLines/>
        <w:autoSpaceDE w:val="0"/>
        <w:autoSpaceDN w:val="0"/>
        <w:adjustRightInd w:val="0"/>
        <w:spacing w:before="120"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with the advice and consent of the Executive Council</w:t>
      </w:r>
    </w:p>
    <w:p w:rsidR="00483033" w:rsidRPr="00483033" w:rsidRDefault="00483033" w:rsidP="00483033">
      <w:pPr>
        <w:keepNext/>
        <w:keepLines/>
        <w:autoSpaceDE w:val="0"/>
        <w:autoSpaceDN w:val="0"/>
        <w:adjustRightInd w:val="0"/>
        <w:spacing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on 21 May 2020</w:t>
      </w:r>
    </w:p>
    <w:p w:rsidR="00483033" w:rsidRDefault="00483033" w:rsidP="00483033">
      <w:pPr>
        <w:keepNext/>
        <w:keepLines/>
        <w:autoSpaceDE w:val="0"/>
        <w:autoSpaceDN w:val="0"/>
        <w:adjustRightInd w:val="0"/>
        <w:spacing w:before="120" w:after="0" w:line="240" w:lineRule="auto"/>
        <w:jc w:val="left"/>
        <w:rPr>
          <w:rFonts w:eastAsia="Times New Roman"/>
          <w:color w:val="000000"/>
          <w:sz w:val="23"/>
          <w:szCs w:val="23"/>
          <w:lang w:eastAsia="en-AU"/>
        </w:rPr>
      </w:pPr>
      <w:r w:rsidRPr="00483033">
        <w:rPr>
          <w:rFonts w:eastAsia="Times New Roman"/>
          <w:color w:val="000000"/>
          <w:sz w:val="23"/>
          <w:szCs w:val="23"/>
          <w:lang w:eastAsia="en-AU"/>
        </w:rPr>
        <w:t>No 72 of 2020</w:t>
      </w:r>
    </w:p>
    <w:p w:rsidR="00483033" w:rsidRDefault="00483033" w:rsidP="00483033">
      <w:pPr>
        <w:pBdr>
          <w:bottom w:val="single" w:sz="4" w:space="1" w:color="auto"/>
        </w:pBdr>
        <w:spacing w:after="0" w:line="52" w:lineRule="exact"/>
        <w:jc w:val="center"/>
        <w:rPr>
          <w:rFonts w:eastAsia="Times New Roman"/>
          <w:color w:val="000000"/>
          <w:sz w:val="23"/>
          <w:szCs w:val="23"/>
          <w:lang w:eastAsia="en-AU"/>
        </w:rPr>
      </w:pPr>
    </w:p>
    <w:p w:rsidR="00483033" w:rsidRDefault="00483033" w:rsidP="00483033">
      <w:pPr>
        <w:pBdr>
          <w:top w:val="single" w:sz="4" w:space="1" w:color="auto"/>
        </w:pBdr>
        <w:spacing w:before="34" w:after="0" w:line="14" w:lineRule="exact"/>
        <w:jc w:val="center"/>
        <w:rPr>
          <w:rFonts w:eastAsia="Times New Roman"/>
          <w:color w:val="000000"/>
          <w:sz w:val="23"/>
          <w:szCs w:val="23"/>
          <w:lang w:eastAsia="en-AU"/>
        </w:rPr>
      </w:pPr>
    </w:p>
    <w:p w:rsidR="005C37EF" w:rsidRPr="005C37EF" w:rsidRDefault="00483033" w:rsidP="005C37EF">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005C37EF" w:rsidRPr="005C37EF">
        <w:rPr>
          <w:rFonts w:eastAsia="Times New Roman"/>
          <w:color w:val="000000"/>
          <w:sz w:val="28"/>
          <w:szCs w:val="28"/>
          <w:lang w:eastAsia="en-AU"/>
        </w:rPr>
        <w:lastRenderedPageBreak/>
        <w:t>South Australia</w:t>
      </w:r>
    </w:p>
    <w:p w:rsidR="005C37EF" w:rsidRPr="00BB557D" w:rsidRDefault="005C37EF" w:rsidP="00BB557D">
      <w:pPr>
        <w:pStyle w:val="Heading3"/>
        <w:rPr>
          <w:spacing w:val="-2"/>
          <w:lang w:eastAsia="en-AU"/>
        </w:rPr>
      </w:pPr>
      <w:bookmarkStart w:id="53" w:name="_Toc40954869"/>
      <w:r w:rsidRPr="00BB557D">
        <w:rPr>
          <w:spacing w:val="-2"/>
          <w:lang w:eastAsia="en-AU"/>
        </w:rPr>
        <w:t>Child Safety (Prohibited Persons) Variation Regulations 2020</w:t>
      </w:r>
      <w:bookmarkEnd w:id="53"/>
    </w:p>
    <w:p w:rsidR="005C37EF" w:rsidRPr="005C37EF" w:rsidRDefault="005C37EF" w:rsidP="005C37EF">
      <w:pPr>
        <w:keepLines/>
        <w:autoSpaceDE w:val="0"/>
        <w:autoSpaceDN w:val="0"/>
        <w:adjustRightInd w:val="0"/>
        <w:spacing w:before="80" w:after="240" w:line="240" w:lineRule="auto"/>
        <w:jc w:val="left"/>
        <w:rPr>
          <w:rFonts w:eastAsia="Times New Roman"/>
          <w:color w:val="000000"/>
          <w:sz w:val="24"/>
          <w:szCs w:val="24"/>
          <w:lang w:eastAsia="en-AU"/>
        </w:rPr>
      </w:pPr>
      <w:r w:rsidRPr="005C37EF">
        <w:rPr>
          <w:rFonts w:eastAsia="Times New Roman"/>
          <w:color w:val="000000"/>
          <w:sz w:val="24"/>
          <w:szCs w:val="24"/>
          <w:lang w:eastAsia="en-AU"/>
        </w:rPr>
        <w:t xml:space="preserve">under the </w:t>
      </w:r>
      <w:r w:rsidRPr="005C37EF">
        <w:rPr>
          <w:rFonts w:eastAsia="Times New Roman"/>
          <w:i/>
          <w:iCs/>
          <w:color w:val="000000"/>
          <w:sz w:val="24"/>
          <w:szCs w:val="24"/>
          <w:lang w:eastAsia="en-AU"/>
        </w:rPr>
        <w:t>Child Safety (Prohibited Persons) Act 2016</w:t>
      </w:r>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Lines/>
        <w:autoSpaceDE w:val="0"/>
        <w:autoSpaceDN w:val="0"/>
        <w:adjustRightInd w:val="0"/>
        <w:spacing w:before="120" w:after="0" w:line="240" w:lineRule="auto"/>
        <w:jc w:val="left"/>
        <w:rPr>
          <w:rFonts w:eastAsia="Times New Roman"/>
          <w:b/>
          <w:bCs/>
          <w:color w:val="000000"/>
          <w:sz w:val="32"/>
          <w:szCs w:val="32"/>
          <w:lang w:eastAsia="en-AU"/>
        </w:rPr>
      </w:pPr>
      <w:r w:rsidRPr="005C37EF">
        <w:rPr>
          <w:rFonts w:eastAsia="Times New Roman"/>
          <w:b/>
          <w:bCs/>
          <w:color w:val="000000"/>
          <w:sz w:val="32"/>
          <w:szCs w:val="32"/>
          <w:lang w:eastAsia="en-AU"/>
        </w:rPr>
        <w:t>Contents</w:t>
      </w:r>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C37EF" w:rsidRPr="005C37EF">
          <w:rPr>
            <w:rFonts w:eastAsia="Times New Roman"/>
            <w:color w:val="000000"/>
            <w:sz w:val="28"/>
            <w:szCs w:val="28"/>
            <w:lang w:eastAsia="en-AU"/>
          </w:rPr>
          <w:t>Part 1—Preliminary</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C37EF" w:rsidRPr="005C37EF">
          <w:rPr>
            <w:rFonts w:eastAsia="Times New Roman"/>
            <w:color w:val="000000"/>
            <w:sz w:val="22"/>
            <w:lang w:eastAsia="en-AU"/>
          </w:rPr>
          <w:t>1</w:t>
        </w:r>
        <w:r w:rsidR="005C37EF" w:rsidRPr="005C37EF">
          <w:rPr>
            <w:rFonts w:eastAsia="Times New Roman"/>
            <w:color w:val="000000"/>
            <w:sz w:val="22"/>
            <w:lang w:eastAsia="en-AU"/>
          </w:rPr>
          <w:tab/>
          <w:t>Short title</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C37EF" w:rsidRPr="005C37EF">
          <w:rPr>
            <w:rFonts w:eastAsia="Times New Roman"/>
            <w:color w:val="000000"/>
            <w:sz w:val="22"/>
            <w:lang w:eastAsia="en-AU"/>
          </w:rPr>
          <w:t>2</w:t>
        </w:r>
        <w:r w:rsidR="005C37EF" w:rsidRPr="005C37EF">
          <w:rPr>
            <w:rFonts w:eastAsia="Times New Roman"/>
            <w:color w:val="000000"/>
            <w:sz w:val="22"/>
            <w:lang w:eastAsia="en-AU"/>
          </w:rPr>
          <w:tab/>
          <w:t>Commencement</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C37EF" w:rsidRPr="005C37EF">
          <w:rPr>
            <w:rFonts w:eastAsia="Times New Roman"/>
            <w:color w:val="000000"/>
            <w:sz w:val="22"/>
            <w:lang w:eastAsia="en-AU"/>
          </w:rPr>
          <w:t>3</w:t>
        </w:r>
        <w:r w:rsidR="005C37EF" w:rsidRPr="005C37EF">
          <w:rPr>
            <w:rFonts w:eastAsia="Times New Roman"/>
            <w:color w:val="000000"/>
            <w:sz w:val="22"/>
            <w:lang w:eastAsia="en-AU"/>
          </w:rPr>
          <w:tab/>
          <w:t>Variation provisions</w:t>
        </w:r>
      </w:hyperlink>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C37EF" w:rsidRPr="005C37EF">
          <w:rPr>
            <w:rFonts w:eastAsia="Times New Roman"/>
            <w:color w:val="000000"/>
            <w:sz w:val="28"/>
            <w:szCs w:val="28"/>
            <w:lang w:eastAsia="en-AU"/>
          </w:rPr>
          <w:t xml:space="preserve">Part 2—Variation of </w:t>
        </w:r>
        <w:r w:rsidR="005C37EF" w:rsidRPr="005C37EF">
          <w:rPr>
            <w:rFonts w:eastAsia="Times New Roman"/>
            <w:i/>
            <w:iCs/>
            <w:color w:val="000000"/>
            <w:sz w:val="28"/>
            <w:szCs w:val="28"/>
            <w:lang w:eastAsia="en-AU"/>
          </w:rPr>
          <w:t>Child Safety (Prohibited Persons) Regulations 2019</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C37EF" w:rsidRPr="005C37EF">
          <w:rPr>
            <w:rFonts w:eastAsia="Times New Roman"/>
            <w:color w:val="000000"/>
            <w:sz w:val="22"/>
            <w:lang w:eastAsia="en-AU"/>
          </w:rPr>
          <w:t>4</w:t>
        </w:r>
        <w:r w:rsidR="005C37EF" w:rsidRPr="005C37EF">
          <w:rPr>
            <w:rFonts w:eastAsia="Times New Roman"/>
            <w:color w:val="000000"/>
            <w:sz w:val="22"/>
            <w:lang w:eastAsia="en-AU"/>
          </w:rPr>
          <w:tab/>
          <w:t>Variation of regulation 27—Exemption—application for working with children check pending</w:t>
        </w:r>
      </w:hyperlink>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Part 1—Preliminary</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1—Short title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 xml:space="preserve">These regulations may be cited as the </w:t>
      </w:r>
      <w:r w:rsidRPr="005C37EF">
        <w:rPr>
          <w:rFonts w:eastAsia="Times New Roman"/>
          <w:i/>
          <w:iCs/>
          <w:color w:val="000000"/>
          <w:sz w:val="23"/>
          <w:szCs w:val="23"/>
          <w:lang w:eastAsia="en-AU"/>
        </w:rPr>
        <w:t>Child Safety (Prohibited Persons) Variation Regulations 2020</w:t>
      </w:r>
      <w:r w:rsidRPr="005C37EF">
        <w:rPr>
          <w:rFonts w:eastAsia="Times New Roman"/>
          <w:color w:val="000000"/>
          <w:sz w:val="23"/>
          <w:szCs w:val="23"/>
          <w:lang w:eastAsia="en-AU"/>
        </w:rPr>
        <w:t>.</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2—Commencement</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These regulations come into operation on the day on which they are made.</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3—Variation provisions</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In these regulations, a provision under a heading referring to the variation of specified regulations varies the regulations so specified.</w:t>
      </w: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 xml:space="preserve">Part 2—Variation of </w:t>
      </w:r>
      <w:r w:rsidRPr="005C37EF">
        <w:rPr>
          <w:rFonts w:eastAsia="Times New Roman"/>
          <w:b/>
          <w:bCs/>
          <w:i/>
          <w:iCs/>
          <w:color w:val="000000"/>
          <w:sz w:val="32"/>
          <w:szCs w:val="32"/>
          <w:lang w:eastAsia="en-AU"/>
        </w:rPr>
        <w:t>Child Safety (Prohibited Persons) Regulations 2019</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4—Variation of regulation 27—Exemption—application for working with children check pending</w:t>
      </w:r>
    </w:p>
    <w:p w:rsidR="005C37EF" w:rsidRPr="005C37EF" w:rsidRDefault="005C37EF" w:rsidP="005C37E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Regulation 27—after subregulation (4) insert:</w:t>
      </w:r>
    </w:p>
    <w:p w:rsidR="005C37EF" w:rsidRPr="005C37EF" w:rsidRDefault="005C37EF" w:rsidP="005C37E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7EF">
        <w:rPr>
          <w:rFonts w:eastAsia="Times New Roman"/>
          <w:color w:val="000000"/>
          <w:sz w:val="23"/>
          <w:szCs w:val="23"/>
          <w:lang w:eastAsia="en-AU"/>
        </w:rPr>
        <w:tab/>
        <w:t>(5)</w:t>
      </w:r>
      <w:r w:rsidRPr="005C37EF">
        <w:rPr>
          <w:rFonts w:eastAsia="Times New Roman"/>
          <w:color w:val="000000"/>
          <w:sz w:val="23"/>
          <w:szCs w:val="23"/>
          <w:lang w:eastAsia="en-AU"/>
        </w:rPr>
        <w:tab/>
        <w:t>This regulation expires on 30 September 2020.</w:t>
      </w:r>
    </w:p>
    <w:p w:rsidR="005C37EF" w:rsidRPr="005C37EF" w:rsidRDefault="005C37EF" w:rsidP="005C37E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C37EF">
        <w:rPr>
          <w:rFonts w:eastAsia="Times New Roman"/>
          <w:b/>
          <w:bCs/>
          <w:color w:val="000000"/>
          <w:sz w:val="20"/>
          <w:szCs w:val="20"/>
          <w:lang w:eastAsia="en-AU"/>
        </w:rPr>
        <w:t>Note—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0"/>
          <w:szCs w:val="20"/>
          <w:lang w:eastAsia="en-AU"/>
        </w:rPr>
      </w:pPr>
      <w:r w:rsidRPr="005C37EF">
        <w:rPr>
          <w:rFonts w:eastAsia="Times New Roman"/>
          <w:color w:val="000000"/>
          <w:sz w:val="20"/>
          <w:szCs w:val="20"/>
          <w:lang w:eastAsia="en-AU"/>
        </w:rPr>
        <w:t xml:space="preserve">As required by section 10AA(2) of the </w:t>
      </w:r>
      <w:hyperlink r:id="rId49" w:history="1">
        <w:r w:rsidRPr="005C37EF">
          <w:rPr>
            <w:rFonts w:eastAsia="Times New Roman"/>
            <w:i/>
            <w:iCs/>
            <w:color w:val="000000"/>
            <w:sz w:val="20"/>
            <w:szCs w:val="20"/>
            <w:lang w:eastAsia="en-AU"/>
          </w:rPr>
          <w:t>Subordinate Legislation Act 1978</w:t>
        </w:r>
      </w:hyperlink>
      <w:r w:rsidRPr="005C37E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C37EF" w:rsidRPr="005C37EF" w:rsidRDefault="005C37EF" w:rsidP="005C37E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C37EF">
        <w:rPr>
          <w:rFonts w:eastAsia="Times New Roman"/>
          <w:b/>
          <w:bCs/>
          <w:color w:val="000000"/>
          <w:sz w:val="26"/>
          <w:szCs w:val="26"/>
          <w:lang w:eastAsia="en-AU"/>
        </w:rPr>
        <w:t>Made by the Governor</w:t>
      </w:r>
    </w:p>
    <w:p w:rsidR="005C37EF" w:rsidRP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with the advice and consent of the Executive Council</w:t>
      </w:r>
    </w:p>
    <w:p w:rsidR="005C37EF" w:rsidRPr="005C37EF" w:rsidRDefault="005C37EF" w:rsidP="005C37EF">
      <w:pPr>
        <w:keepNext/>
        <w:keepLines/>
        <w:autoSpaceDE w:val="0"/>
        <w:autoSpaceDN w:val="0"/>
        <w:adjustRightInd w:val="0"/>
        <w:spacing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on 21 May 2020</w:t>
      </w:r>
    </w:p>
    <w:p w:rsid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No 73 of 2020</w:t>
      </w:r>
    </w:p>
    <w:p w:rsidR="005C37EF" w:rsidRDefault="005C37EF" w:rsidP="005C37EF">
      <w:pPr>
        <w:pBdr>
          <w:bottom w:val="single" w:sz="4" w:space="1" w:color="auto"/>
        </w:pBdr>
        <w:spacing w:after="0" w:line="52" w:lineRule="exact"/>
        <w:jc w:val="center"/>
        <w:rPr>
          <w:rFonts w:eastAsia="Times New Roman"/>
          <w:color w:val="000000"/>
          <w:sz w:val="23"/>
          <w:szCs w:val="23"/>
          <w:lang w:eastAsia="en-AU"/>
        </w:rPr>
      </w:pPr>
    </w:p>
    <w:p w:rsidR="005C37EF" w:rsidRDefault="005C37EF" w:rsidP="005C37EF">
      <w:pPr>
        <w:pBdr>
          <w:top w:val="single" w:sz="4" w:space="1" w:color="auto"/>
        </w:pBdr>
        <w:spacing w:before="34" w:after="0" w:line="14" w:lineRule="exact"/>
        <w:jc w:val="center"/>
        <w:rPr>
          <w:rFonts w:eastAsia="Times New Roman"/>
          <w:color w:val="000000"/>
          <w:sz w:val="23"/>
          <w:szCs w:val="23"/>
          <w:lang w:eastAsia="en-AU"/>
        </w:rPr>
      </w:pPr>
    </w:p>
    <w:p w:rsidR="005C37EF" w:rsidRPr="005C37EF" w:rsidRDefault="005C37EF" w:rsidP="005C37EF">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5C37EF">
        <w:rPr>
          <w:rFonts w:eastAsia="Times New Roman"/>
          <w:color w:val="000000"/>
          <w:sz w:val="28"/>
          <w:szCs w:val="28"/>
          <w:lang w:eastAsia="en-AU"/>
        </w:rPr>
        <w:lastRenderedPageBreak/>
        <w:t>South Australia</w:t>
      </w:r>
    </w:p>
    <w:p w:rsidR="005C37EF" w:rsidRPr="005C37EF" w:rsidRDefault="005C37EF" w:rsidP="00BB557D">
      <w:pPr>
        <w:pStyle w:val="Heading3"/>
        <w:rPr>
          <w:lang w:eastAsia="en-AU"/>
        </w:rPr>
      </w:pPr>
      <w:bookmarkStart w:id="54" w:name="_Toc40954870"/>
      <w:r w:rsidRPr="005C37EF">
        <w:rPr>
          <w:lang w:eastAsia="en-AU"/>
        </w:rPr>
        <w:t>Youth Justice Administration Variation Regulations 2020</w:t>
      </w:r>
      <w:bookmarkEnd w:id="54"/>
    </w:p>
    <w:p w:rsidR="005C37EF" w:rsidRPr="005C37EF" w:rsidRDefault="005C37EF" w:rsidP="005C37EF">
      <w:pPr>
        <w:keepLines/>
        <w:autoSpaceDE w:val="0"/>
        <w:autoSpaceDN w:val="0"/>
        <w:adjustRightInd w:val="0"/>
        <w:spacing w:before="80" w:after="240" w:line="240" w:lineRule="auto"/>
        <w:jc w:val="left"/>
        <w:rPr>
          <w:rFonts w:eastAsia="Times New Roman"/>
          <w:color w:val="000000"/>
          <w:sz w:val="24"/>
          <w:szCs w:val="24"/>
          <w:lang w:eastAsia="en-AU"/>
        </w:rPr>
      </w:pPr>
      <w:r w:rsidRPr="005C37EF">
        <w:rPr>
          <w:rFonts w:eastAsia="Times New Roman"/>
          <w:color w:val="000000"/>
          <w:sz w:val="24"/>
          <w:szCs w:val="24"/>
          <w:lang w:eastAsia="en-AU"/>
        </w:rPr>
        <w:t xml:space="preserve">under the </w:t>
      </w:r>
      <w:r w:rsidRPr="005C37EF">
        <w:rPr>
          <w:rFonts w:eastAsia="Times New Roman"/>
          <w:i/>
          <w:iCs/>
          <w:color w:val="000000"/>
          <w:sz w:val="24"/>
          <w:szCs w:val="24"/>
          <w:lang w:eastAsia="en-AU"/>
        </w:rPr>
        <w:t>Youth Justice Administration Act 2016</w:t>
      </w:r>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Lines/>
        <w:autoSpaceDE w:val="0"/>
        <w:autoSpaceDN w:val="0"/>
        <w:adjustRightInd w:val="0"/>
        <w:spacing w:before="120" w:after="0" w:line="240" w:lineRule="auto"/>
        <w:jc w:val="left"/>
        <w:rPr>
          <w:rFonts w:eastAsia="Times New Roman"/>
          <w:b/>
          <w:bCs/>
          <w:color w:val="000000"/>
          <w:sz w:val="32"/>
          <w:szCs w:val="32"/>
          <w:lang w:eastAsia="en-AU"/>
        </w:rPr>
      </w:pPr>
      <w:r w:rsidRPr="005C37EF">
        <w:rPr>
          <w:rFonts w:eastAsia="Times New Roman"/>
          <w:b/>
          <w:bCs/>
          <w:color w:val="000000"/>
          <w:sz w:val="32"/>
          <w:szCs w:val="32"/>
          <w:lang w:eastAsia="en-AU"/>
        </w:rPr>
        <w:t>Contents</w:t>
      </w:r>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C37EF" w:rsidRPr="005C37EF">
          <w:rPr>
            <w:rFonts w:eastAsia="Times New Roman"/>
            <w:color w:val="000000"/>
            <w:sz w:val="28"/>
            <w:szCs w:val="28"/>
            <w:lang w:eastAsia="en-AU"/>
          </w:rPr>
          <w:t>Part 1—Preliminary</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C37EF" w:rsidRPr="005C37EF">
          <w:rPr>
            <w:rFonts w:eastAsia="Times New Roman"/>
            <w:color w:val="000000"/>
            <w:sz w:val="22"/>
            <w:lang w:eastAsia="en-AU"/>
          </w:rPr>
          <w:t>1</w:t>
        </w:r>
        <w:r w:rsidR="005C37EF" w:rsidRPr="005C37EF">
          <w:rPr>
            <w:rFonts w:eastAsia="Times New Roman"/>
            <w:color w:val="000000"/>
            <w:sz w:val="22"/>
            <w:lang w:eastAsia="en-AU"/>
          </w:rPr>
          <w:tab/>
          <w:t>Short title</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C37EF" w:rsidRPr="005C37EF">
          <w:rPr>
            <w:rFonts w:eastAsia="Times New Roman"/>
            <w:color w:val="000000"/>
            <w:sz w:val="22"/>
            <w:lang w:eastAsia="en-AU"/>
          </w:rPr>
          <w:t>2</w:t>
        </w:r>
        <w:r w:rsidR="005C37EF" w:rsidRPr="005C37EF">
          <w:rPr>
            <w:rFonts w:eastAsia="Times New Roman"/>
            <w:color w:val="000000"/>
            <w:sz w:val="22"/>
            <w:lang w:eastAsia="en-AU"/>
          </w:rPr>
          <w:tab/>
          <w:t>Commencement</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C37EF" w:rsidRPr="005C37EF">
          <w:rPr>
            <w:rFonts w:eastAsia="Times New Roman"/>
            <w:color w:val="000000"/>
            <w:sz w:val="22"/>
            <w:lang w:eastAsia="en-AU"/>
          </w:rPr>
          <w:t>3</w:t>
        </w:r>
        <w:r w:rsidR="005C37EF" w:rsidRPr="005C37EF">
          <w:rPr>
            <w:rFonts w:eastAsia="Times New Roman"/>
            <w:color w:val="000000"/>
            <w:sz w:val="22"/>
            <w:lang w:eastAsia="en-AU"/>
          </w:rPr>
          <w:tab/>
          <w:t>Variation provisions</w:t>
        </w:r>
      </w:hyperlink>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C37EF" w:rsidRPr="005C37EF">
          <w:rPr>
            <w:rFonts w:eastAsia="Times New Roman"/>
            <w:color w:val="000000"/>
            <w:sz w:val="28"/>
            <w:szCs w:val="28"/>
            <w:lang w:eastAsia="en-AU"/>
          </w:rPr>
          <w:t xml:space="preserve">Part 2—Variation of </w:t>
        </w:r>
        <w:r w:rsidR="005C37EF" w:rsidRPr="005C37EF">
          <w:rPr>
            <w:rFonts w:eastAsia="Times New Roman"/>
            <w:i/>
            <w:iCs/>
            <w:color w:val="000000"/>
            <w:sz w:val="28"/>
            <w:szCs w:val="28"/>
            <w:lang w:eastAsia="en-AU"/>
          </w:rPr>
          <w:t>Youth Justice Administration Regulations 2016</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C37EF" w:rsidRPr="005C37EF">
          <w:rPr>
            <w:rFonts w:eastAsia="Times New Roman"/>
            <w:color w:val="000000"/>
            <w:sz w:val="22"/>
            <w:lang w:eastAsia="en-AU"/>
          </w:rPr>
          <w:t>4</w:t>
        </w:r>
        <w:r w:rsidR="005C37EF" w:rsidRPr="005C37EF">
          <w:rPr>
            <w:rFonts w:eastAsia="Times New Roman"/>
            <w:color w:val="000000"/>
            <w:sz w:val="22"/>
            <w:lang w:eastAsia="en-AU"/>
          </w:rPr>
          <w:tab/>
          <w:t>Variation of regulation 18—Application of section 21A of Act</w:t>
        </w:r>
      </w:hyperlink>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Part 1—Preliminary</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1—Short title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 xml:space="preserve">These regulations may be cited as the </w:t>
      </w:r>
      <w:r w:rsidRPr="005C37EF">
        <w:rPr>
          <w:rFonts w:eastAsia="Times New Roman"/>
          <w:i/>
          <w:iCs/>
          <w:color w:val="000000"/>
          <w:sz w:val="23"/>
          <w:szCs w:val="23"/>
          <w:lang w:eastAsia="en-AU"/>
        </w:rPr>
        <w:t>Youth Justice Administration Variation Regulations 2020</w:t>
      </w:r>
      <w:r w:rsidRPr="005C37EF">
        <w:rPr>
          <w:rFonts w:eastAsia="Times New Roman"/>
          <w:color w:val="000000"/>
          <w:sz w:val="23"/>
          <w:szCs w:val="23"/>
          <w:lang w:eastAsia="en-AU"/>
        </w:rPr>
        <w:t>.</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2—Commencement</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These regulations come into operation on the day on which they are made.</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3—Variation provisions</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In these regulations, a provision under a heading referring to the variation of specified regulations varies the regulations so specified.</w:t>
      </w: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 xml:space="preserve">Part 2—Variation of </w:t>
      </w:r>
      <w:r w:rsidRPr="005C37EF">
        <w:rPr>
          <w:rFonts w:eastAsia="Times New Roman"/>
          <w:b/>
          <w:bCs/>
          <w:i/>
          <w:iCs/>
          <w:color w:val="000000"/>
          <w:sz w:val="32"/>
          <w:szCs w:val="32"/>
          <w:lang w:eastAsia="en-AU"/>
        </w:rPr>
        <w:t>Youth Justice Administration Regulations 2016</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4—Variation of regulation 18—Application of section 21A of Act</w:t>
      </w:r>
    </w:p>
    <w:p w:rsidR="005C37EF" w:rsidRPr="005C37EF" w:rsidRDefault="005C37EF" w:rsidP="005C37E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Regulation 18—after subregulation (1a) insert:</w:t>
      </w:r>
    </w:p>
    <w:p w:rsidR="005C37EF" w:rsidRPr="005C37EF" w:rsidRDefault="005C37EF" w:rsidP="005C37E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7EF">
        <w:rPr>
          <w:rFonts w:eastAsia="Times New Roman"/>
          <w:color w:val="000000"/>
          <w:sz w:val="23"/>
          <w:szCs w:val="23"/>
          <w:lang w:eastAsia="en-AU"/>
        </w:rPr>
        <w:tab/>
        <w:t>(1b)</w:t>
      </w:r>
      <w:r w:rsidRPr="005C37EF">
        <w:rPr>
          <w:rFonts w:eastAsia="Times New Roman"/>
          <w:color w:val="000000"/>
          <w:sz w:val="23"/>
          <w:szCs w:val="23"/>
          <w:lang w:eastAsia="en-AU"/>
        </w:rPr>
        <w:tab/>
        <w:t>Subregulation (1a) expires on 30 September 2020.</w:t>
      </w:r>
    </w:p>
    <w:p w:rsidR="005C37EF" w:rsidRPr="005C37EF" w:rsidRDefault="005C37EF" w:rsidP="005C37E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C37EF">
        <w:rPr>
          <w:rFonts w:eastAsia="Times New Roman"/>
          <w:b/>
          <w:bCs/>
          <w:color w:val="000000"/>
          <w:sz w:val="20"/>
          <w:szCs w:val="20"/>
          <w:lang w:eastAsia="en-AU"/>
        </w:rPr>
        <w:t>Note—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0"/>
          <w:szCs w:val="20"/>
          <w:lang w:eastAsia="en-AU"/>
        </w:rPr>
      </w:pPr>
      <w:r w:rsidRPr="005C37EF">
        <w:rPr>
          <w:rFonts w:eastAsia="Times New Roman"/>
          <w:color w:val="000000"/>
          <w:sz w:val="20"/>
          <w:szCs w:val="20"/>
          <w:lang w:eastAsia="en-AU"/>
        </w:rPr>
        <w:t xml:space="preserve">As required by section 10AA(2) of the </w:t>
      </w:r>
      <w:hyperlink r:id="rId50" w:history="1">
        <w:r w:rsidRPr="005C37EF">
          <w:rPr>
            <w:rFonts w:eastAsia="Times New Roman"/>
            <w:i/>
            <w:iCs/>
            <w:color w:val="000000"/>
            <w:sz w:val="20"/>
            <w:szCs w:val="20"/>
            <w:lang w:eastAsia="en-AU"/>
          </w:rPr>
          <w:t>Subordinate Legislation Act 1978</w:t>
        </w:r>
      </w:hyperlink>
      <w:r w:rsidRPr="005C37E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C37EF" w:rsidRPr="005C37EF" w:rsidRDefault="005C37EF" w:rsidP="005C37E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C37EF">
        <w:rPr>
          <w:rFonts w:eastAsia="Times New Roman"/>
          <w:b/>
          <w:bCs/>
          <w:color w:val="000000"/>
          <w:sz w:val="26"/>
          <w:szCs w:val="26"/>
          <w:lang w:eastAsia="en-AU"/>
        </w:rPr>
        <w:t>Made by the Governor</w:t>
      </w:r>
    </w:p>
    <w:p w:rsidR="005C37EF" w:rsidRP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with the advice and consent of the Executive Council</w:t>
      </w:r>
    </w:p>
    <w:p w:rsidR="005C37EF" w:rsidRPr="005C37EF" w:rsidRDefault="005C37EF" w:rsidP="005C37EF">
      <w:pPr>
        <w:keepNext/>
        <w:keepLines/>
        <w:autoSpaceDE w:val="0"/>
        <w:autoSpaceDN w:val="0"/>
        <w:adjustRightInd w:val="0"/>
        <w:spacing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on 21 May 2020</w:t>
      </w:r>
    </w:p>
    <w:p w:rsid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No 74 of 2020</w:t>
      </w:r>
    </w:p>
    <w:p w:rsidR="005C37EF" w:rsidRDefault="005C37EF" w:rsidP="005C37EF">
      <w:pPr>
        <w:pBdr>
          <w:bottom w:val="single" w:sz="4" w:space="1" w:color="auto"/>
        </w:pBdr>
        <w:spacing w:after="0" w:line="52" w:lineRule="exact"/>
        <w:jc w:val="center"/>
        <w:rPr>
          <w:rFonts w:eastAsia="Times New Roman"/>
          <w:color w:val="000000"/>
          <w:sz w:val="23"/>
          <w:szCs w:val="23"/>
          <w:lang w:eastAsia="en-AU"/>
        </w:rPr>
      </w:pPr>
    </w:p>
    <w:p w:rsidR="005C37EF" w:rsidRDefault="005C37EF" w:rsidP="005C37EF">
      <w:pPr>
        <w:pBdr>
          <w:top w:val="single" w:sz="4" w:space="1" w:color="auto"/>
        </w:pBdr>
        <w:spacing w:before="34" w:after="0" w:line="14" w:lineRule="exact"/>
        <w:jc w:val="center"/>
        <w:rPr>
          <w:rFonts w:eastAsia="Times New Roman"/>
          <w:color w:val="000000"/>
          <w:sz w:val="23"/>
          <w:szCs w:val="23"/>
          <w:lang w:eastAsia="en-AU"/>
        </w:rPr>
      </w:pPr>
    </w:p>
    <w:p w:rsidR="005C37EF" w:rsidRPr="005C37EF" w:rsidRDefault="005C37EF" w:rsidP="005C37EF">
      <w:pPr>
        <w:keepLines/>
        <w:autoSpaceDE w:val="0"/>
        <w:autoSpaceDN w:val="0"/>
        <w:adjustRightInd w:val="0"/>
        <w:spacing w:before="240" w:after="0" w:line="240" w:lineRule="auto"/>
        <w:rPr>
          <w:rFonts w:eastAsia="Times New Roman"/>
          <w:color w:val="000000"/>
          <w:sz w:val="28"/>
          <w:szCs w:val="28"/>
          <w:lang w:eastAsia="en-AU"/>
        </w:rPr>
      </w:pPr>
      <w:r>
        <w:rPr>
          <w:rFonts w:eastAsia="Times New Roman"/>
          <w:color w:val="000000"/>
          <w:sz w:val="23"/>
          <w:szCs w:val="23"/>
          <w:lang w:eastAsia="en-AU"/>
        </w:rPr>
        <w:br w:type="page"/>
      </w:r>
      <w:r w:rsidRPr="005C37EF">
        <w:rPr>
          <w:rFonts w:eastAsia="Times New Roman"/>
          <w:color w:val="000000"/>
          <w:sz w:val="28"/>
          <w:szCs w:val="28"/>
          <w:lang w:eastAsia="en-AU"/>
        </w:rPr>
        <w:lastRenderedPageBreak/>
        <w:t>South Australia</w:t>
      </w:r>
    </w:p>
    <w:p w:rsidR="005C37EF" w:rsidRPr="005C37EF" w:rsidRDefault="005C37EF" w:rsidP="00BB557D">
      <w:pPr>
        <w:pStyle w:val="Heading3"/>
        <w:rPr>
          <w:lang w:eastAsia="en-AU"/>
        </w:rPr>
      </w:pPr>
      <w:bookmarkStart w:id="55" w:name="_Toc40954871"/>
      <w:r w:rsidRPr="005C37EF">
        <w:rPr>
          <w:lang w:eastAsia="en-AU"/>
        </w:rPr>
        <w:t>Disability Services (Assessment of Relevant History) Variation Regulations 2020</w:t>
      </w:r>
      <w:bookmarkEnd w:id="55"/>
    </w:p>
    <w:p w:rsidR="005C37EF" w:rsidRPr="005C37EF" w:rsidRDefault="005C37EF" w:rsidP="005C37EF">
      <w:pPr>
        <w:keepLines/>
        <w:autoSpaceDE w:val="0"/>
        <w:autoSpaceDN w:val="0"/>
        <w:adjustRightInd w:val="0"/>
        <w:spacing w:before="80" w:after="240" w:line="240" w:lineRule="auto"/>
        <w:jc w:val="left"/>
        <w:rPr>
          <w:rFonts w:eastAsia="Times New Roman"/>
          <w:color w:val="000000"/>
          <w:sz w:val="24"/>
          <w:szCs w:val="24"/>
          <w:lang w:eastAsia="en-AU"/>
        </w:rPr>
      </w:pPr>
      <w:r w:rsidRPr="005C37EF">
        <w:rPr>
          <w:rFonts w:eastAsia="Times New Roman"/>
          <w:color w:val="000000"/>
          <w:sz w:val="24"/>
          <w:szCs w:val="24"/>
          <w:lang w:eastAsia="en-AU"/>
        </w:rPr>
        <w:t xml:space="preserve">under the </w:t>
      </w:r>
      <w:r w:rsidRPr="005C37EF">
        <w:rPr>
          <w:rFonts w:eastAsia="Times New Roman"/>
          <w:i/>
          <w:iCs/>
          <w:color w:val="000000"/>
          <w:sz w:val="24"/>
          <w:szCs w:val="24"/>
          <w:lang w:eastAsia="en-AU"/>
        </w:rPr>
        <w:t>Disability Services Act 1993</w:t>
      </w:r>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Lines/>
        <w:autoSpaceDE w:val="0"/>
        <w:autoSpaceDN w:val="0"/>
        <w:adjustRightInd w:val="0"/>
        <w:spacing w:before="120" w:after="0" w:line="240" w:lineRule="auto"/>
        <w:jc w:val="left"/>
        <w:rPr>
          <w:rFonts w:eastAsia="Times New Roman"/>
          <w:b/>
          <w:bCs/>
          <w:color w:val="000000"/>
          <w:sz w:val="32"/>
          <w:szCs w:val="32"/>
          <w:lang w:eastAsia="en-AU"/>
        </w:rPr>
      </w:pPr>
      <w:r w:rsidRPr="005C37EF">
        <w:rPr>
          <w:rFonts w:eastAsia="Times New Roman"/>
          <w:b/>
          <w:bCs/>
          <w:color w:val="000000"/>
          <w:sz w:val="32"/>
          <w:szCs w:val="32"/>
          <w:lang w:eastAsia="en-AU"/>
        </w:rPr>
        <w:t>Contents</w:t>
      </w:r>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C37EF" w:rsidRPr="005C37EF">
          <w:rPr>
            <w:rFonts w:eastAsia="Times New Roman"/>
            <w:color w:val="000000"/>
            <w:sz w:val="28"/>
            <w:szCs w:val="28"/>
            <w:lang w:eastAsia="en-AU"/>
          </w:rPr>
          <w:t>Part 1—Preliminary</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C37EF" w:rsidRPr="005C37EF">
          <w:rPr>
            <w:rFonts w:eastAsia="Times New Roman"/>
            <w:color w:val="000000"/>
            <w:sz w:val="22"/>
            <w:lang w:eastAsia="en-AU"/>
          </w:rPr>
          <w:t>1</w:t>
        </w:r>
        <w:r w:rsidR="005C37EF" w:rsidRPr="005C37EF">
          <w:rPr>
            <w:rFonts w:eastAsia="Times New Roman"/>
            <w:color w:val="000000"/>
            <w:sz w:val="22"/>
            <w:lang w:eastAsia="en-AU"/>
          </w:rPr>
          <w:tab/>
          <w:t>Short title</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C37EF" w:rsidRPr="005C37EF">
          <w:rPr>
            <w:rFonts w:eastAsia="Times New Roman"/>
            <w:color w:val="000000"/>
            <w:sz w:val="22"/>
            <w:lang w:eastAsia="en-AU"/>
          </w:rPr>
          <w:t>2</w:t>
        </w:r>
        <w:r w:rsidR="005C37EF" w:rsidRPr="005C37EF">
          <w:rPr>
            <w:rFonts w:eastAsia="Times New Roman"/>
            <w:color w:val="000000"/>
            <w:sz w:val="22"/>
            <w:lang w:eastAsia="en-AU"/>
          </w:rPr>
          <w:tab/>
          <w:t>Commencement</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C37EF" w:rsidRPr="005C37EF">
          <w:rPr>
            <w:rFonts w:eastAsia="Times New Roman"/>
            <w:color w:val="000000"/>
            <w:sz w:val="22"/>
            <w:lang w:eastAsia="en-AU"/>
          </w:rPr>
          <w:t>3</w:t>
        </w:r>
        <w:r w:rsidR="005C37EF" w:rsidRPr="005C37EF">
          <w:rPr>
            <w:rFonts w:eastAsia="Times New Roman"/>
            <w:color w:val="000000"/>
            <w:sz w:val="22"/>
            <w:lang w:eastAsia="en-AU"/>
          </w:rPr>
          <w:tab/>
          <w:t>Variation provisions</w:t>
        </w:r>
      </w:hyperlink>
    </w:p>
    <w:p w:rsidR="005C37EF" w:rsidRPr="005C37EF" w:rsidRDefault="00827BA8" w:rsidP="005C37E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C37EF" w:rsidRPr="005C37EF">
          <w:rPr>
            <w:rFonts w:eastAsia="Times New Roman"/>
            <w:color w:val="000000"/>
            <w:sz w:val="28"/>
            <w:szCs w:val="28"/>
            <w:lang w:eastAsia="en-AU"/>
          </w:rPr>
          <w:t xml:space="preserve">Part 2—Variation of </w:t>
        </w:r>
        <w:r w:rsidR="005C37EF" w:rsidRPr="005C37EF">
          <w:rPr>
            <w:rFonts w:eastAsia="Times New Roman"/>
            <w:i/>
            <w:iCs/>
            <w:color w:val="000000"/>
            <w:sz w:val="28"/>
            <w:szCs w:val="28"/>
            <w:lang w:eastAsia="en-AU"/>
          </w:rPr>
          <w:t>Disability Services (Assessment of Relevant History) Regulations 2014</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C37EF" w:rsidRPr="005C37EF">
          <w:rPr>
            <w:rFonts w:eastAsia="Times New Roman"/>
            <w:color w:val="000000"/>
            <w:sz w:val="22"/>
            <w:lang w:eastAsia="en-AU"/>
          </w:rPr>
          <w:t>4</w:t>
        </w:r>
        <w:r w:rsidR="005C37EF" w:rsidRPr="005C37EF">
          <w:rPr>
            <w:rFonts w:eastAsia="Times New Roman"/>
            <w:color w:val="000000"/>
            <w:sz w:val="22"/>
            <w:lang w:eastAsia="en-AU"/>
          </w:rPr>
          <w:tab/>
          <w:t>Variation of regulation 15—Exemption—working with children check conducted</w:t>
        </w:r>
      </w:hyperlink>
    </w:p>
    <w:p w:rsidR="005C37EF" w:rsidRPr="005C37EF" w:rsidRDefault="00827BA8" w:rsidP="005C37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5C37EF" w:rsidRPr="005C37EF">
          <w:rPr>
            <w:rFonts w:eastAsia="Times New Roman"/>
            <w:color w:val="000000"/>
            <w:sz w:val="22"/>
            <w:lang w:eastAsia="en-AU"/>
          </w:rPr>
          <w:t>5</w:t>
        </w:r>
        <w:r w:rsidR="005C37EF" w:rsidRPr="005C37EF">
          <w:rPr>
            <w:rFonts w:eastAsia="Times New Roman"/>
            <w:color w:val="000000"/>
            <w:sz w:val="22"/>
            <w:lang w:eastAsia="en-AU"/>
          </w:rPr>
          <w:tab/>
          <w:t>Variation of regulation 16—Exemption—application for assessment of relevant history pending</w:t>
        </w:r>
      </w:hyperlink>
    </w:p>
    <w:p w:rsidR="005C37EF" w:rsidRPr="005C37EF" w:rsidRDefault="005C37EF" w:rsidP="005C37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Part 1—Preliminary</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1—Short title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 xml:space="preserve">These regulations may be cited as the </w:t>
      </w:r>
      <w:r w:rsidRPr="005C37EF">
        <w:rPr>
          <w:rFonts w:eastAsia="Times New Roman"/>
          <w:i/>
          <w:iCs/>
          <w:color w:val="000000"/>
          <w:sz w:val="23"/>
          <w:szCs w:val="23"/>
          <w:lang w:eastAsia="en-AU"/>
        </w:rPr>
        <w:t>Disability Services (Assessment of Relevant History) Variation Regulations 2020</w:t>
      </w:r>
      <w:r w:rsidRPr="005C37EF">
        <w:rPr>
          <w:rFonts w:eastAsia="Times New Roman"/>
          <w:color w:val="000000"/>
          <w:sz w:val="23"/>
          <w:szCs w:val="23"/>
          <w:lang w:eastAsia="en-AU"/>
        </w:rPr>
        <w:t>.</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2—Commencement</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These regulations come into operation on the day on which they are made.</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3—Variation provisions</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In these regulations, a provision under a heading referring to the variation of specified regulations varies the regulations so specified.</w:t>
      </w:r>
    </w:p>
    <w:p w:rsidR="005C37EF" w:rsidRPr="005C37EF" w:rsidRDefault="005C37EF" w:rsidP="005C37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C37EF">
        <w:rPr>
          <w:rFonts w:eastAsia="Times New Roman"/>
          <w:b/>
          <w:bCs/>
          <w:color w:val="000000"/>
          <w:sz w:val="32"/>
          <w:szCs w:val="32"/>
          <w:lang w:eastAsia="en-AU"/>
        </w:rPr>
        <w:t xml:space="preserve">Part 2—Variation of </w:t>
      </w:r>
      <w:r w:rsidRPr="005C37EF">
        <w:rPr>
          <w:rFonts w:eastAsia="Times New Roman"/>
          <w:b/>
          <w:bCs/>
          <w:i/>
          <w:iCs/>
          <w:color w:val="000000"/>
          <w:sz w:val="32"/>
          <w:szCs w:val="32"/>
          <w:lang w:eastAsia="en-AU"/>
        </w:rPr>
        <w:t>Disability Services (Assessment of Relevant History) Regulations 2014</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4—Variation of regulation 15—Exemption—working with children check conducted</w:t>
      </w:r>
    </w:p>
    <w:p w:rsidR="005C37EF" w:rsidRPr="005C37EF" w:rsidRDefault="005C37EF" w:rsidP="005C37E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Regulation 15—after its present contents (now to be designated as subregulation (1)) insert:</w:t>
      </w:r>
    </w:p>
    <w:p w:rsidR="005C37EF" w:rsidRPr="005C37EF" w:rsidRDefault="005C37EF" w:rsidP="005C37E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7EF">
        <w:rPr>
          <w:rFonts w:eastAsia="Times New Roman"/>
          <w:color w:val="000000"/>
          <w:sz w:val="23"/>
          <w:szCs w:val="23"/>
          <w:lang w:eastAsia="en-AU"/>
        </w:rPr>
        <w:tab/>
        <w:t>(2)</w:t>
      </w:r>
      <w:r w:rsidRPr="005C37EF">
        <w:rPr>
          <w:rFonts w:eastAsia="Times New Roman"/>
          <w:color w:val="000000"/>
          <w:sz w:val="23"/>
          <w:szCs w:val="23"/>
          <w:lang w:eastAsia="en-AU"/>
        </w:rPr>
        <w:tab/>
        <w:t>This regulation expires on 30 September 2020.</w:t>
      </w:r>
    </w:p>
    <w:p w:rsidR="005C37EF" w:rsidRPr="005C37EF" w:rsidRDefault="005C37EF" w:rsidP="005C37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C37EF">
        <w:rPr>
          <w:rFonts w:eastAsia="Times New Roman"/>
          <w:b/>
          <w:bCs/>
          <w:color w:val="000000"/>
          <w:sz w:val="26"/>
          <w:szCs w:val="26"/>
          <w:lang w:eastAsia="en-AU"/>
        </w:rPr>
        <w:t>5—Variation of regulation 16—Exemption—application for assessment of relevant history pending</w:t>
      </w:r>
    </w:p>
    <w:p w:rsidR="005C37EF" w:rsidRPr="005C37EF" w:rsidRDefault="005C37EF" w:rsidP="005C37E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C37EF">
        <w:rPr>
          <w:rFonts w:eastAsia="Times New Roman"/>
          <w:color w:val="000000"/>
          <w:sz w:val="23"/>
          <w:szCs w:val="23"/>
          <w:lang w:eastAsia="en-AU"/>
        </w:rPr>
        <w:t>Regulation 16—after subregulation (3) insert:</w:t>
      </w:r>
    </w:p>
    <w:p w:rsidR="005C37EF" w:rsidRPr="005C37EF" w:rsidRDefault="005C37EF" w:rsidP="005C37E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C37EF">
        <w:rPr>
          <w:rFonts w:eastAsia="Times New Roman"/>
          <w:color w:val="000000"/>
          <w:sz w:val="23"/>
          <w:szCs w:val="23"/>
          <w:lang w:eastAsia="en-AU"/>
        </w:rPr>
        <w:tab/>
        <w:t>(4)</w:t>
      </w:r>
      <w:r w:rsidRPr="005C37EF">
        <w:rPr>
          <w:rFonts w:eastAsia="Times New Roman"/>
          <w:color w:val="000000"/>
          <w:sz w:val="23"/>
          <w:szCs w:val="23"/>
          <w:lang w:eastAsia="en-AU"/>
        </w:rPr>
        <w:tab/>
        <w:t>This regulation expires on 30 September 2020.</w:t>
      </w:r>
    </w:p>
    <w:p w:rsidR="005C37EF" w:rsidRPr="005C37EF" w:rsidRDefault="005C37EF" w:rsidP="005C37E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C37EF">
        <w:rPr>
          <w:rFonts w:eastAsia="Times New Roman"/>
          <w:b/>
          <w:bCs/>
          <w:color w:val="000000"/>
          <w:sz w:val="20"/>
          <w:szCs w:val="20"/>
          <w:lang w:eastAsia="en-AU"/>
        </w:rPr>
        <w:lastRenderedPageBreak/>
        <w:t>Note—</w:t>
      </w:r>
    </w:p>
    <w:p w:rsidR="005C37EF" w:rsidRPr="005C37EF" w:rsidRDefault="005C37EF" w:rsidP="005C37EF">
      <w:pPr>
        <w:keepLines/>
        <w:autoSpaceDE w:val="0"/>
        <w:autoSpaceDN w:val="0"/>
        <w:adjustRightInd w:val="0"/>
        <w:spacing w:before="120" w:after="0" w:line="240" w:lineRule="auto"/>
        <w:ind w:left="794"/>
        <w:jc w:val="left"/>
        <w:rPr>
          <w:rFonts w:eastAsia="Times New Roman"/>
          <w:color w:val="000000"/>
          <w:sz w:val="20"/>
          <w:szCs w:val="20"/>
          <w:lang w:eastAsia="en-AU"/>
        </w:rPr>
      </w:pPr>
      <w:r w:rsidRPr="005C37EF">
        <w:rPr>
          <w:rFonts w:eastAsia="Times New Roman"/>
          <w:color w:val="000000"/>
          <w:sz w:val="20"/>
          <w:szCs w:val="20"/>
          <w:lang w:eastAsia="en-AU"/>
        </w:rPr>
        <w:t xml:space="preserve">As required by section 10AA(2) of the </w:t>
      </w:r>
      <w:hyperlink r:id="rId51" w:history="1">
        <w:r w:rsidRPr="005C37EF">
          <w:rPr>
            <w:rFonts w:eastAsia="Times New Roman"/>
            <w:i/>
            <w:iCs/>
            <w:color w:val="000000"/>
            <w:sz w:val="20"/>
            <w:szCs w:val="20"/>
            <w:lang w:eastAsia="en-AU"/>
          </w:rPr>
          <w:t>Subordinate Legislation Act 1978</w:t>
        </w:r>
      </w:hyperlink>
      <w:r w:rsidRPr="005C37E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C37EF" w:rsidRPr="005C37EF" w:rsidRDefault="005C37EF" w:rsidP="005C37E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C37EF">
        <w:rPr>
          <w:rFonts w:eastAsia="Times New Roman"/>
          <w:b/>
          <w:bCs/>
          <w:color w:val="000000"/>
          <w:sz w:val="26"/>
          <w:szCs w:val="26"/>
          <w:lang w:eastAsia="en-AU"/>
        </w:rPr>
        <w:t>Made by the Governor</w:t>
      </w:r>
    </w:p>
    <w:p w:rsidR="005C37EF" w:rsidRP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with the advice and consent of the Executive Council</w:t>
      </w:r>
    </w:p>
    <w:p w:rsidR="005C37EF" w:rsidRPr="005C37EF" w:rsidRDefault="005C37EF" w:rsidP="005C37EF">
      <w:pPr>
        <w:keepNext/>
        <w:keepLines/>
        <w:autoSpaceDE w:val="0"/>
        <w:autoSpaceDN w:val="0"/>
        <w:adjustRightInd w:val="0"/>
        <w:spacing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on 21 May 2020</w:t>
      </w:r>
    </w:p>
    <w:p w:rsidR="005C37EF" w:rsidRDefault="005C37EF" w:rsidP="005C37EF">
      <w:pPr>
        <w:keepNext/>
        <w:keepLines/>
        <w:autoSpaceDE w:val="0"/>
        <w:autoSpaceDN w:val="0"/>
        <w:adjustRightInd w:val="0"/>
        <w:spacing w:before="120" w:after="0" w:line="240" w:lineRule="auto"/>
        <w:jc w:val="left"/>
        <w:rPr>
          <w:rFonts w:eastAsia="Times New Roman"/>
          <w:color w:val="000000"/>
          <w:sz w:val="23"/>
          <w:szCs w:val="23"/>
          <w:lang w:eastAsia="en-AU"/>
        </w:rPr>
      </w:pPr>
      <w:r w:rsidRPr="005C37EF">
        <w:rPr>
          <w:rFonts w:eastAsia="Times New Roman"/>
          <w:color w:val="000000"/>
          <w:sz w:val="23"/>
          <w:szCs w:val="23"/>
          <w:lang w:eastAsia="en-AU"/>
        </w:rPr>
        <w:t>No 75 of 2020</w:t>
      </w:r>
    </w:p>
    <w:p w:rsidR="005C37EF" w:rsidRDefault="005C37EF" w:rsidP="005C37EF">
      <w:pPr>
        <w:pBdr>
          <w:bottom w:val="single" w:sz="4" w:space="1" w:color="auto"/>
        </w:pBdr>
        <w:spacing w:after="0" w:line="52" w:lineRule="exact"/>
        <w:jc w:val="center"/>
        <w:rPr>
          <w:rFonts w:eastAsia="Times New Roman"/>
          <w:color w:val="000000"/>
          <w:sz w:val="23"/>
          <w:szCs w:val="23"/>
          <w:lang w:eastAsia="en-AU"/>
        </w:rPr>
      </w:pPr>
    </w:p>
    <w:p w:rsidR="005C37EF" w:rsidRDefault="005C37EF" w:rsidP="005C37EF">
      <w:pPr>
        <w:pBdr>
          <w:top w:val="single" w:sz="4" w:space="1" w:color="auto"/>
        </w:pBdr>
        <w:spacing w:before="34" w:after="0" w:line="14" w:lineRule="exact"/>
        <w:jc w:val="center"/>
        <w:rPr>
          <w:rFonts w:eastAsia="Times New Roman"/>
          <w:color w:val="000000"/>
          <w:sz w:val="23"/>
          <w:szCs w:val="23"/>
          <w:lang w:eastAsia="en-AU"/>
        </w:rPr>
      </w:pPr>
    </w:p>
    <w:p w:rsidR="00000399" w:rsidRPr="00000399" w:rsidRDefault="00000399" w:rsidP="00000399">
      <w:pPr>
        <w:pStyle w:val="GG-body"/>
        <w:spacing w:after="0"/>
        <w:rPr>
          <w:rFonts w:eastAsia="Calibri"/>
        </w:rPr>
      </w:pPr>
    </w:p>
    <w:p w:rsidR="00000399" w:rsidRPr="0016463B" w:rsidRDefault="00000399" w:rsidP="00000399">
      <w:pPr>
        <w:pStyle w:val="GG-body"/>
        <w:spacing w:after="0"/>
      </w:pPr>
    </w:p>
    <w:p w:rsidR="009D1E2E" w:rsidRPr="009D1E2E" w:rsidRDefault="009D1E2E" w:rsidP="00F80EF5">
      <w:pPr>
        <w:pStyle w:val="Heading1"/>
      </w:pPr>
      <w:r>
        <w:rPr>
          <w:lang w:val="en-US"/>
        </w:rPr>
        <w:br w:type="page"/>
      </w:r>
      <w:bookmarkStart w:id="56" w:name="_Toc33707982"/>
      <w:bookmarkStart w:id="57" w:name="_Toc33708153"/>
      <w:bookmarkStart w:id="58" w:name="_Toc40954872"/>
      <w:r w:rsidRPr="009D1E2E">
        <w:lastRenderedPageBreak/>
        <w:t>State Government Instruments</w:t>
      </w:r>
      <w:bookmarkEnd w:id="56"/>
      <w:bookmarkEnd w:id="57"/>
      <w:bookmarkEnd w:id="58"/>
    </w:p>
    <w:p w:rsidR="005C37EF" w:rsidRPr="001E748D" w:rsidRDefault="005C37EF" w:rsidP="00BB557D">
      <w:pPr>
        <w:pStyle w:val="Heading2"/>
      </w:pPr>
      <w:bookmarkStart w:id="59" w:name="_Toc40954873"/>
      <w:r w:rsidRPr="001E748D">
        <w:t>Associations Incorporation Act 1985</w:t>
      </w:r>
      <w:bookmarkEnd w:id="59"/>
    </w:p>
    <w:p w:rsidR="005C37EF" w:rsidRDefault="005C37EF" w:rsidP="005C37EF">
      <w:pPr>
        <w:pStyle w:val="GG-Title2"/>
      </w:pPr>
      <w:r w:rsidRPr="001E748D">
        <w:t>Section 43A</w:t>
      </w:r>
    </w:p>
    <w:p w:rsidR="005C37EF" w:rsidRPr="001E748D" w:rsidRDefault="005C37EF" w:rsidP="005C37EF">
      <w:pPr>
        <w:pStyle w:val="GG-Title3"/>
      </w:pPr>
      <w:r w:rsidRPr="001E748D">
        <w:t>Deregistration of Associations</w:t>
      </w:r>
    </w:p>
    <w:p w:rsidR="005C37EF" w:rsidRDefault="005C37EF" w:rsidP="005C37EF">
      <w:pPr>
        <w:pStyle w:val="GG-body"/>
      </w:pPr>
      <w:r w:rsidRPr="001E748D">
        <w:t>NOTICE is hereby given that the Corporate Affairs Commission approves the applications for deregistration received from the associations named below pursuant to section 43A of the Associations Incorporation Act, 198</w:t>
      </w:r>
      <w:r>
        <w:t xml:space="preserve">5. </w:t>
      </w:r>
      <w:r w:rsidRPr="001E748D">
        <w:t>Deregistration takes effect on the date of publication of this notice.</w:t>
      </w:r>
    </w:p>
    <w:p w:rsidR="005C37EF" w:rsidRPr="001E748D" w:rsidRDefault="005C37EF" w:rsidP="005C37EF">
      <w:pPr>
        <w:pStyle w:val="GG-body"/>
        <w:spacing w:after="0"/>
        <w:ind w:left="160"/>
      </w:pPr>
      <w:r w:rsidRPr="001E748D">
        <w:t>Aldinga Community Centre Incorporated</w:t>
      </w:r>
    </w:p>
    <w:p w:rsidR="005C37EF" w:rsidRPr="001E748D" w:rsidRDefault="005C37EF" w:rsidP="005C37EF">
      <w:pPr>
        <w:pStyle w:val="GG-body"/>
        <w:spacing w:after="0"/>
        <w:ind w:left="160"/>
      </w:pPr>
      <w:r w:rsidRPr="001E748D">
        <w:t>Christian Counsellors Association of Australia (SA) Incorporated</w:t>
      </w:r>
    </w:p>
    <w:p w:rsidR="005C37EF" w:rsidRPr="001E748D" w:rsidRDefault="005C37EF" w:rsidP="005C37EF">
      <w:pPr>
        <w:pStyle w:val="GG-body"/>
        <w:spacing w:after="0"/>
        <w:ind w:left="160"/>
      </w:pPr>
      <w:r w:rsidRPr="001E748D">
        <w:t>Fleurieu Work Scheme Incorporated</w:t>
      </w:r>
    </w:p>
    <w:p w:rsidR="005C37EF" w:rsidRPr="001E748D" w:rsidRDefault="005C37EF" w:rsidP="005C37EF">
      <w:pPr>
        <w:pStyle w:val="GG-body"/>
        <w:spacing w:after="0"/>
        <w:ind w:left="160"/>
      </w:pPr>
      <w:r w:rsidRPr="001E748D">
        <w:t>Hawker Art Exhibition Incorporation</w:t>
      </w:r>
    </w:p>
    <w:p w:rsidR="005C37EF" w:rsidRPr="001E748D" w:rsidRDefault="005C37EF" w:rsidP="005C37EF">
      <w:pPr>
        <w:pStyle w:val="GG-body"/>
        <w:spacing w:after="0"/>
        <w:ind w:left="160"/>
      </w:pPr>
      <w:r w:rsidRPr="001E748D">
        <w:t>Korean Methodist Church in South Australia Incorporated</w:t>
      </w:r>
    </w:p>
    <w:p w:rsidR="005C37EF" w:rsidRPr="001E748D" w:rsidRDefault="005C37EF" w:rsidP="005C37EF">
      <w:pPr>
        <w:pStyle w:val="GG-body"/>
        <w:spacing w:after="0"/>
        <w:ind w:left="160"/>
      </w:pPr>
      <w:r w:rsidRPr="001E748D">
        <w:t>Lutheran St George's Tennis Club Incorporated</w:t>
      </w:r>
    </w:p>
    <w:p w:rsidR="005C37EF" w:rsidRPr="001E748D" w:rsidRDefault="005C37EF" w:rsidP="005C37EF">
      <w:pPr>
        <w:pStyle w:val="GG-body"/>
        <w:spacing w:after="0"/>
        <w:ind w:left="160"/>
      </w:pPr>
      <w:r w:rsidRPr="001E748D">
        <w:t xml:space="preserve">Masterpiece Users of South Australia Incorporated </w:t>
      </w:r>
    </w:p>
    <w:p w:rsidR="005C37EF" w:rsidRPr="001E748D" w:rsidRDefault="005C37EF" w:rsidP="005C37EF">
      <w:pPr>
        <w:pStyle w:val="GG-body"/>
        <w:spacing w:after="0"/>
        <w:ind w:left="160"/>
      </w:pPr>
      <w:r w:rsidRPr="001E748D">
        <w:t>Probus Club of Cowell Incorporated</w:t>
      </w:r>
    </w:p>
    <w:p w:rsidR="005C37EF" w:rsidRPr="001E748D" w:rsidRDefault="005C37EF" w:rsidP="005C37EF">
      <w:pPr>
        <w:pStyle w:val="GG-body"/>
        <w:spacing w:after="0"/>
        <w:ind w:left="160"/>
      </w:pPr>
      <w:r w:rsidRPr="001E748D">
        <w:t>Rocky River Garden Club Incorporated</w:t>
      </w:r>
    </w:p>
    <w:p w:rsidR="005C37EF" w:rsidRDefault="005C37EF" w:rsidP="005C37EF">
      <w:pPr>
        <w:pStyle w:val="GG-body"/>
        <w:ind w:left="160"/>
      </w:pPr>
      <w:r w:rsidRPr="001E748D">
        <w:t>The Probus Club of Gawler Para Incorporated</w:t>
      </w:r>
    </w:p>
    <w:p w:rsidR="005C37EF" w:rsidRPr="001E748D" w:rsidRDefault="005C37EF" w:rsidP="005C37EF">
      <w:pPr>
        <w:pStyle w:val="GG-SDated"/>
      </w:pPr>
      <w:r w:rsidRPr="001E748D">
        <w:t>Dated: 19 May 2020</w:t>
      </w:r>
    </w:p>
    <w:p w:rsidR="005C37EF" w:rsidRPr="001E748D" w:rsidRDefault="005C37EF" w:rsidP="005C37EF">
      <w:pPr>
        <w:pStyle w:val="GG-SName"/>
      </w:pPr>
      <w:r w:rsidRPr="001E748D">
        <w:t xml:space="preserve">Ann-Marie Banfield </w:t>
      </w:r>
    </w:p>
    <w:p w:rsidR="005C37EF" w:rsidRDefault="005C37EF" w:rsidP="005C37EF">
      <w:pPr>
        <w:pStyle w:val="GG-Signature"/>
      </w:pPr>
      <w:r w:rsidRPr="001E748D">
        <w:t>A Delegate of the</w:t>
      </w:r>
      <w:r>
        <w:t xml:space="preserve"> </w:t>
      </w:r>
      <w:r w:rsidRPr="001E748D">
        <w:t>Corporate Affairs Commission</w:t>
      </w:r>
    </w:p>
    <w:p w:rsidR="005C37EF" w:rsidRDefault="005C37EF" w:rsidP="005C37EF">
      <w:pPr>
        <w:pStyle w:val="GG-Signature"/>
        <w:pBdr>
          <w:top w:val="single" w:sz="4" w:space="1" w:color="auto"/>
        </w:pBdr>
        <w:spacing w:before="100" w:line="14" w:lineRule="exact"/>
        <w:jc w:val="center"/>
      </w:pPr>
    </w:p>
    <w:p w:rsidR="009D1E2E" w:rsidRDefault="009D1E2E" w:rsidP="005C37EF">
      <w:pPr>
        <w:pStyle w:val="GG-body"/>
        <w:spacing w:after="0"/>
        <w:rPr>
          <w:lang w:val="en-US"/>
        </w:rPr>
      </w:pPr>
    </w:p>
    <w:p w:rsidR="005C37EF" w:rsidRPr="00E332E9" w:rsidRDefault="005C37EF" w:rsidP="005C37EF">
      <w:pPr>
        <w:pStyle w:val="GG-Title1"/>
      </w:pPr>
      <w:r w:rsidRPr="00E332E9">
        <w:t>Associations Incorporation Act 1985</w:t>
      </w:r>
    </w:p>
    <w:p w:rsidR="005C37EF" w:rsidRDefault="005C37EF" w:rsidP="005C37EF">
      <w:pPr>
        <w:pStyle w:val="GG-Title2"/>
      </w:pPr>
      <w:r w:rsidRPr="00E332E9">
        <w:t>Section 42(2)</w:t>
      </w:r>
    </w:p>
    <w:p w:rsidR="005C37EF" w:rsidRPr="00E332E9" w:rsidRDefault="005C37EF" w:rsidP="005C37EF">
      <w:pPr>
        <w:pStyle w:val="GG-Title3"/>
      </w:pPr>
      <w:r w:rsidRPr="00E332E9">
        <w:t>Dissolution of Association</w:t>
      </w:r>
    </w:p>
    <w:p w:rsidR="005C37EF" w:rsidRPr="00E332E9" w:rsidRDefault="005C37EF" w:rsidP="005C37EF">
      <w:pPr>
        <w:pStyle w:val="GG-body"/>
      </w:pPr>
      <w:r w:rsidRPr="00E332E9">
        <w:t xml:space="preserve">WHEREAS the CORPORATE AFFAIRS COMMISSION (“the Commission’) pursuant to section 42(1) of the </w:t>
      </w:r>
      <w:r w:rsidRPr="00E332E9">
        <w:rPr>
          <w:i/>
        </w:rPr>
        <w:t>Associations Incorporation Act 1985</w:t>
      </w:r>
      <w:r w:rsidRPr="00E332E9">
        <w:t xml:space="preserve"> (“the Act”) is of the opinion that the undertaking or operations of AUSTRALIAN CRICKETERS' ASSOCIATION INCORPORATED (the Association) being an incorporated association under the Act are being carried on, or would more appropriately be carried on by a company limited by guarantee incorporated under the </w:t>
      </w:r>
      <w:r w:rsidRPr="00E332E9">
        <w:rPr>
          <w:i/>
        </w:rPr>
        <w:t xml:space="preserve">Corporations Act 2001 </w:t>
      </w:r>
      <w:r w:rsidRPr="00E332E9">
        <w:t>(Cth) AND WHEREAS the Commission was on 29 April 2020 requested by the Association to transfer its undertaking to AUSTRALIAN CRICKET PLAYERS LIMITED (Australian Company Number 639 455 824), the Commission pursuant to section 42(2) of the Act DOES HEREBY ORDER that on</w:t>
      </w:r>
      <w:r>
        <w:t xml:space="preserve"> 7 </w:t>
      </w:r>
      <w:r w:rsidRPr="00E332E9">
        <w:t>May 2020, the Association will be dissolved, the property of the Association becomes the property of AUSTRALIAN CRICKET PLAYERS LIMITED and the rights and liabilities of the Association become the rights and liabilities AUSTRALIAN CRICKET PLAYERS LIMITED</w:t>
      </w:r>
    </w:p>
    <w:p w:rsidR="005C37EF" w:rsidRDefault="005C37EF" w:rsidP="005C37EF">
      <w:pPr>
        <w:pStyle w:val="GG-body"/>
      </w:pPr>
      <w:r w:rsidRPr="00E332E9">
        <w:t>Given under the seal of the Commission at Adelaide</w:t>
      </w:r>
      <w:r>
        <w:t>.</w:t>
      </w:r>
    </w:p>
    <w:p w:rsidR="005C37EF" w:rsidRDefault="005C37EF" w:rsidP="005C37EF">
      <w:pPr>
        <w:pStyle w:val="GG-SDated"/>
      </w:pPr>
      <w:r>
        <w:t>Dated:</w:t>
      </w:r>
      <w:r w:rsidRPr="00E332E9">
        <w:t xml:space="preserve"> 19 May 2020</w:t>
      </w:r>
    </w:p>
    <w:p w:rsidR="005C37EF" w:rsidRPr="00E332E9" w:rsidRDefault="005C37EF" w:rsidP="005C37EF">
      <w:pPr>
        <w:pStyle w:val="GG-SName"/>
      </w:pPr>
      <w:r w:rsidRPr="00E332E9">
        <w:t xml:space="preserve">Ann-Marie Banfield </w:t>
      </w:r>
    </w:p>
    <w:p w:rsidR="005C37EF" w:rsidRDefault="005C37EF" w:rsidP="005C37EF">
      <w:pPr>
        <w:pStyle w:val="GG-Signature"/>
      </w:pPr>
      <w:r w:rsidRPr="00E332E9">
        <w:t>A delegate of the</w:t>
      </w:r>
      <w:r>
        <w:t xml:space="preserve"> </w:t>
      </w:r>
      <w:r w:rsidRPr="00E332E9">
        <w:t>Corporate Affairs Commission</w:t>
      </w:r>
    </w:p>
    <w:p w:rsidR="005C37EF" w:rsidRDefault="005C37EF" w:rsidP="005C37EF">
      <w:pPr>
        <w:pStyle w:val="GG-body"/>
        <w:pBdr>
          <w:top w:val="single" w:sz="4" w:space="1" w:color="auto"/>
        </w:pBdr>
        <w:spacing w:before="100" w:after="0" w:line="14" w:lineRule="exact"/>
        <w:jc w:val="center"/>
      </w:pPr>
    </w:p>
    <w:p w:rsidR="005C37EF" w:rsidRDefault="005C37EF" w:rsidP="005C37EF">
      <w:pPr>
        <w:pStyle w:val="GG-body"/>
        <w:spacing w:after="0"/>
        <w:rPr>
          <w:lang w:val="en-US"/>
        </w:rPr>
      </w:pPr>
    </w:p>
    <w:p w:rsidR="005C37EF" w:rsidRPr="00E332E9" w:rsidRDefault="005C37EF" w:rsidP="005C37EF">
      <w:pPr>
        <w:pStyle w:val="GG-Title1"/>
      </w:pPr>
      <w:r w:rsidRPr="00E332E9">
        <w:t>Associations Incorporation Act 1985</w:t>
      </w:r>
    </w:p>
    <w:p w:rsidR="005C37EF" w:rsidRDefault="005C37EF" w:rsidP="005C37EF">
      <w:pPr>
        <w:pStyle w:val="GG-Title2"/>
      </w:pPr>
      <w:r w:rsidRPr="00E332E9">
        <w:t>Section 42(2)</w:t>
      </w:r>
    </w:p>
    <w:p w:rsidR="005C37EF" w:rsidRPr="00DD5897" w:rsidRDefault="005C37EF" w:rsidP="005C37EF">
      <w:pPr>
        <w:pStyle w:val="GG-Title3"/>
      </w:pPr>
      <w:r w:rsidRPr="00DD5897">
        <w:t>Retraction of Dissolution of Association</w:t>
      </w:r>
    </w:p>
    <w:p w:rsidR="005C37EF" w:rsidRPr="00DD5897" w:rsidRDefault="005C37EF" w:rsidP="005C37EF">
      <w:pPr>
        <w:pStyle w:val="GG-body"/>
      </w:pPr>
      <w:r w:rsidRPr="00DD5897">
        <w:t xml:space="preserve">This notice retracts the order detailed below given under seal of the Commission on 5th May 2020 which effected the transfer of activities from an incorporated association under the </w:t>
      </w:r>
      <w:r w:rsidRPr="00DD5897">
        <w:rPr>
          <w:i/>
        </w:rPr>
        <w:t xml:space="preserve">Associations Incorporation Act 1985 </w:t>
      </w:r>
      <w:r w:rsidRPr="00DD5897">
        <w:t xml:space="preserve">to a company limited by guarantee under the </w:t>
      </w:r>
      <w:r w:rsidRPr="00DD5897">
        <w:rPr>
          <w:i/>
        </w:rPr>
        <w:t xml:space="preserve">Corporation Act 2001 (Cth) </w:t>
      </w:r>
      <w:r w:rsidRPr="00DD5897">
        <w:t>for AUSTRALIAN CRICKETERS' ASSOCIATION INCORPORATED.</w:t>
      </w:r>
    </w:p>
    <w:p w:rsidR="005C37EF" w:rsidRPr="00DD5897" w:rsidRDefault="005C37EF" w:rsidP="005C37EF">
      <w:pPr>
        <w:pStyle w:val="GG-body"/>
      </w:pPr>
      <w:r w:rsidRPr="00DD5897">
        <w:t xml:space="preserve">WHEREAS the CORPORATE AFFAIRS COMMISSION (“the Commission’) pursuant to section 42(1) of the </w:t>
      </w:r>
      <w:r w:rsidRPr="00DD5897">
        <w:rPr>
          <w:i/>
        </w:rPr>
        <w:t>Associations Incorporation Act 1985</w:t>
      </w:r>
      <w:r w:rsidRPr="00DD5897">
        <w:t xml:space="preserve"> (“the Act”) is of the opinion that the undertaking or operations of (the Association) being an incorporated association under the Act are being carried on, or would more appropriately be carried on by a company limited by guarantee incorporated under the </w:t>
      </w:r>
      <w:r w:rsidRPr="00DD5897">
        <w:rPr>
          <w:i/>
        </w:rPr>
        <w:t xml:space="preserve">Corporations Act 2001 </w:t>
      </w:r>
      <w:r w:rsidRPr="00DD5897">
        <w:t>(Cth) AND WHEREAS the Commission was on 29 April 2020 requested by the Association to transfer its undertaking to AUSTRALIAN CRICKET PLAYERS LIMITED (Australian Company Number 639 455 824), the Commission pursuant to section 42(2) of the Act DOES HEREBY ORDER that on 7 May 2020, the Association will be dissolved, the property of the Association becomes the property of AUSTRALIAN CRICKET PLAYERS LIMITED and the rights and liabilities of the Association become the rights and liabilities AUSTRALIAN CRICKET PLAYERS LIMITED</w:t>
      </w:r>
    </w:p>
    <w:p w:rsidR="005C37EF" w:rsidRDefault="005C37EF" w:rsidP="005C37EF">
      <w:pPr>
        <w:pStyle w:val="GG-body"/>
      </w:pPr>
      <w:r w:rsidRPr="00E332E9">
        <w:t>Given under the seal of the Commission at Adelaide</w:t>
      </w:r>
      <w:r>
        <w:t>.</w:t>
      </w:r>
    </w:p>
    <w:p w:rsidR="005C37EF" w:rsidRDefault="005C37EF" w:rsidP="005C37EF">
      <w:pPr>
        <w:pStyle w:val="GG-SDated"/>
      </w:pPr>
      <w:r>
        <w:t>Dated:</w:t>
      </w:r>
      <w:r w:rsidRPr="00E332E9">
        <w:t xml:space="preserve"> 19 May 2020</w:t>
      </w:r>
    </w:p>
    <w:p w:rsidR="005C37EF" w:rsidRPr="00E332E9" w:rsidRDefault="005C37EF" w:rsidP="005C37EF">
      <w:pPr>
        <w:pStyle w:val="GG-SName"/>
      </w:pPr>
      <w:r w:rsidRPr="00E332E9">
        <w:t xml:space="preserve">Ann-Marie Banfield </w:t>
      </w:r>
    </w:p>
    <w:p w:rsidR="005C37EF" w:rsidRDefault="005C37EF" w:rsidP="005C37EF">
      <w:pPr>
        <w:pStyle w:val="GG-Signature"/>
      </w:pPr>
      <w:r w:rsidRPr="00E332E9">
        <w:t>A delegate of the</w:t>
      </w:r>
      <w:r>
        <w:t xml:space="preserve"> </w:t>
      </w:r>
      <w:r w:rsidRPr="00E332E9">
        <w:t>Corporate Affairs Commission</w:t>
      </w:r>
    </w:p>
    <w:p w:rsidR="005C37EF" w:rsidRDefault="005C37EF" w:rsidP="005C37EF">
      <w:pPr>
        <w:pStyle w:val="GG-Signature"/>
        <w:pBdr>
          <w:bottom w:val="single" w:sz="4" w:space="1" w:color="auto"/>
        </w:pBdr>
        <w:spacing w:line="52" w:lineRule="exact"/>
        <w:jc w:val="center"/>
      </w:pPr>
    </w:p>
    <w:p w:rsidR="005C37EF" w:rsidRDefault="005C37EF" w:rsidP="005C37EF">
      <w:pPr>
        <w:pStyle w:val="GG-Signature"/>
        <w:pBdr>
          <w:top w:val="single" w:sz="4" w:space="1" w:color="auto"/>
        </w:pBdr>
        <w:spacing w:before="34" w:line="14" w:lineRule="exact"/>
        <w:jc w:val="center"/>
      </w:pPr>
    </w:p>
    <w:p w:rsidR="005C37EF" w:rsidRDefault="005C37EF" w:rsidP="005C37EF">
      <w:pPr>
        <w:pStyle w:val="GG-body"/>
        <w:spacing w:after="0"/>
        <w:rPr>
          <w:lang w:val="en-US"/>
        </w:rPr>
      </w:pPr>
    </w:p>
    <w:p w:rsidR="00E561E8" w:rsidRPr="00244DBD" w:rsidRDefault="00E561E8" w:rsidP="00BB557D">
      <w:pPr>
        <w:pStyle w:val="Heading2"/>
      </w:pPr>
      <w:bookmarkStart w:id="60" w:name="_Toc40954874"/>
      <w:r w:rsidRPr="00244DBD">
        <w:t>DEVELOPMENT ACT 1993</w:t>
      </w:r>
      <w:bookmarkEnd w:id="60"/>
    </w:p>
    <w:p w:rsidR="00E561E8" w:rsidRPr="00244DBD" w:rsidRDefault="00E561E8" w:rsidP="00E561E8">
      <w:pPr>
        <w:pStyle w:val="GG-Title2"/>
      </w:pPr>
      <w:r w:rsidRPr="00244DBD">
        <w:t>Section 29</w:t>
      </w:r>
    </w:p>
    <w:p w:rsidR="00E561E8" w:rsidRPr="00244DBD" w:rsidRDefault="00E561E8" w:rsidP="00E561E8">
      <w:pPr>
        <w:pStyle w:val="GG-Title3"/>
        <w:spacing w:after="0"/>
      </w:pPr>
      <w:r w:rsidRPr="00244DBD">
        <w:t>Amendment to Marion Council Development Plan</w:t>
      </w:r>
      <w:r>
        <w:t xml:space="preserve"> and </w:t>
      </w:r>
      <w:r w:rsidRPr="00244DBD">
        <w:t>West Torrens Council Development Plan</w:t>
      </w:r>
    </w:p>
    <w:p w:rsidR="00E561E8" w:rsidRPr="00244DBD" w:rsidRDefault="00E561E8" w:rsidP="00E561E8">
      <w:pPr>
        <w:pStyle w:val="GG-Sub2"/>
      </w:pPr>
      <w:r w:rsidRPr="00244DBD">
        <w:t>Preamble</w:t>
      </w:r>
    </w:p>
    <w:p w:rsidR="00E561E8" w:rsidRPr="00244DBD" w:rsidRDefault="00E561E8" w:rsidP="00E561E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244DBD">
        <w:t>It is necessary to amend the following Development Plans:</w:t>
      </w:r>
    </w:p>
    <w:p w:rsidR="00E561E8" w:rsidRPr="00244DBD" w:rsidRDefault="00E561E8" w:rsidP="00391865">
      <w:pPr>
        <w:pStyle w:val="GG-body"/>
        <w:numPr>
          <w:ilvl w:val="0"/>
          <w:numId w:val="7"/>
        </w:numPr>
        <w:tabs>
          <w:tab w:val="left" w:pos="16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hanging="750"/>
      </w:pPr>
      <w:r w:rsidRPr="00244DBD">
        <w:t>Marion Council Development Plan (consolidated 7 May 2020).</w:t>
      </w:r>
    </w:p>
    <w:p w:rsidR="00E561E8" w:rsidRPr="00244DBD" w:rsidRDefault="00E561E8" w:rsidP="00391865">
      <w:pPr>
        <w:pStyle w:val="GG-body"/>
        <w:numPr>
          <w:ilvl w:val="0"/>
          <w:numId w:val="7"/>
        </w:numPr>
        <w:tabs>
          <w:tab w:val="left" w:pos="160"/>
          <w:tab w:val="left" w:pos="640"/>
          <w:tab w:val="left" w:pos="800"/>
          <w:tab w:val="left" w:pos="960"/>
          <w:tab w:val="left" w:pos="1120"/>
          <w:tab w:val="left" w:pos="1280"/>
          <w:tab w:val="left" w:pos="1440"/>
          <w:tab w:val="left" w:pos="1600"/>
          <w:tab w:val="left" w:pos="1760"/>
          <w:tab w:val="left" w:pos="1920"/>
          <w:tab w:val="left" w:pos="2080"/>
          <w:tab w:val="left" w:pos="2240"/>
        </w:tabs>
        <w:ind w:hanging="750"/>
      </w:pPr>
      <w:r w:rsidRPr="00244DBD">
        <w:t>West Torrens Council Development Plan (consolidated 7 May 2020).</w:t>
      </w:r>
    </w:p>
    <w:p w:rsidR="00E561E8" w:rsidRPr="00244DBD" w:rsidRDefault="00E561E8" w:rsidP="00E561E8">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br w:type="page"/>
      </w:r>
      <w:r w:rsidRPr="00244DBD">
        <w:lastRenderedPageBreak/>
        <w:t xml:space="preserve">PURSUANT to section 29(2)(b)(ii) of the </w:t>
      </w:r>
      <w:r w:rsidRPr="00244DBD">
        <w:rPr>
          <w:i/>
        </w:rPr>
        <w:t>Development Act 1993</w:t>
      </w:r>
      <w:r w:rsidRPr="00244DBD">
        <w:t xml:space="preserve">, I — </w:t>
      </w:r>
    </w:p>
    <w:p w:rsidR="00E561E8" w:rsidRPr="00244DBD" w:rsidRDefault="00E561E8" w:rsidP="00391865">
      <w:pPr>
        <w:pStyle w:val="GG-body"/>
        <w:numPr>
          <w:ilvl w:val="1"/>
          <w:numId w:val="6"/>
        </w:numPr>
        <w:tabs>
          <w:tab w:val="left" w:pos="160"/>
          <w:tab w:val="left" w:pos="640"/>
          <w:tab w:val="left" w:pos="800"/>
          <w:tab w:val="left" w:pos="960"/>
          <w:tab w:val="left" w:pos="1120"/>
          <w:tab w:val="left" w:pos="1280"/>
          <w:tab w:val="left" w:pos="1440"/>
          <w:tab w:val="left" w:pos="1600"/>
          <w:tab w:val="left" w:pos="1760"/>
          <w:tab w:val="left" w:pos="1920"/>
          <w:tab w:val="left" w:pos="2080"/>
          <w:tab w:val="left" w:pos="2240"/>
        </w:tabs>
        <w:ind w:hanging="796"/>
        <w:rPr>
          <w:bCs/>
        </w:rPr>
      </w:pPr>
      <w:r w:rsidRPr="00244DBD">
        <w:rPr>
          <w:bCs/>
        </w:rPr>
        <w:t>Amend the Plan as follows:</w:t>
      </w:r>
    </w:p>
    <w:p w:rsidR="00E561E8" w:rsidRPr="00244DBD" w:rsidRDefault="00E561E8" w:rsidP="00391865">
      <w:pPr>
        <w:pStyle w:val="GG-body"/>
        <w:numPr>
          <w:ilvl w:val="0"/>
          <w:numId w:val="8"/>
        </w:numPr>
        <w:tabs>
          <w:tab w:val="left" w:pos="160"/>
          <w:tab w:val="left" w:pos="320"/>
          <w:tab w:val="left" w:pos="480"/>
          <w:tab w:val="left" w:pos="960"/>
          <w:tab w:val="left" w:pos="1120"/>
          <w:tab w:val="left" w:pos="1280"/>
          <w:tab w:val="left" w:pos="1440"/>
          <w:tab w:val="left" w:pos="1600"/>
          <w:tab w:val="left" w:pos="1760"/>
          <w:tab w:val="left" w:pos="1920"/>
          <w:tab w:val="left" w:pos="2080"/>
          <w:tab w:val="left" w:pos="2240"/>
        </w:tabs>
        <w:ind w:firstLine="284"/>
        <w:rPr>
          <w:spacing w:val="-2"/>
          <w:lang w:val="en-GB"/>
        </w:rPr>
      </w:pPr>
      <w:r w:rsidRPr="00244DBD">
        <w:rPr>
          <w:spacing w:val="-2"/>
          <w:lang w:val="en-GB"/>
        </w:rPr>
        <w:t>Replace Concept Plan Map Mar/10 Morphettville Racecourse in the Marion Council Development Plan (refer Attachment A).</w:t>
      </w:r>
    </w:p>
    <w:p w:rsidR="00E561E8" w:rsidRPr="00244DBD" w:rsidRDefault="00E561E8" w:rsidP="00391865">
      <w:pPr>
        <w:pStyle w:val="GG-body"/>
        <w:numPr>
          <w:ilvl w:val="0"/>
          <w:numId w:val="8"/>
        </w:numPr>
        <w:tabs>
          <w:tab w:val="left" w:pos="160"/>
          <w:tab w:val="left" w:pos="320"/>
          <w:tab w:val="left" w:pos="480"/>
          <w:tab w:val="left" w:pos="960"/>
          <w:tab w:val="left" w:pos="1120"/>
          <w:tab w:val="left" w:pos="1280"/>
          <w:tab w:val="left" w:pos="1440"/>
          <w:tab w:val="left" w:pos="1600"/>
          <w:tab w:val="left" w:pos="1760"/>
          <w:tab w:val="left" w:pos="1920"/>
          <w:tab w:val="left" w:pos="2080"/>
          <w:tab w:val="left" w:pos="2240"/>
        </w:tabs>
        <w:ind w:left="960" w:hanging="319"/>
        <w:rPr>
          <w:spacing w:val="-2"/>
          <w:lang w:val="en-GB"/>
        </w:rPr>
      </w:pPr>
      <w:r>
        <w:rPr>
          <w:spacing w:val="-2"/>
          <w:lang w:val="en-GB"/>
        </w:rPr>
        <w:t xml:space="preserve">Replace </w:t>
      </w:r>
      <w:r w:rsidRPr="00244DBD">
        <w:rPr>
          <w:spacing w:val="-2"/>
          <w:lang w:val="en-GB"/>
        </w:rPr>
        <w:t>Concept Plan Map WeTo/26 Morphettville Racecourse in the West Torrens Council Development Plan (refer Attachment B).</w:t>
      </w:r>
    </w:p>
    <w:p w:rsidR="00E561E8" w:rsidRPr="005533F9" w:rsidRDefault="00E561E8" w:rsidP="00391865">
      <w:pPr>
        <w:pStyle w:val="GG-body"/>
        <w:numPr>
          <w:ilvl w:val="1"/>
          <w:numId w:val="6"/>
        </w:numPr>
        <w:tabs>
          <w:tab w:val="left" w:pos="16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356"/>
        <w:rPr>
          <w:bCs/>
          <w:spacing w:val="-2"/>
        </w:rPr>
      </w:pPr>
      <w:r w:rsidRPr="005533F9">
        <w:rPr>
          <w:bCs/>
          <w:spacing w:val="-2"/>
        </w:rPr>
        <w:t>Fix the day on which this notice is published in the Gazette as the day on which the section 29 Amendment will come into operation.</w:t>
      </w:r>
    </w:p>
    <w:p w:rsidR="00E561E8" w:rsidRPr="00244DBD" w:rsidRDefault="00E561E8" w:rsidP="00E561E8">
      <w:pPr>
        <w:pStyle w:val="GG-SDated"/>
        <w:rPr>
          <w:lang w:val="en-GB"/>
        </w:rPr>
      </w:pPr>
      <w:r w:rsidRPr="00244DBD">
        <w:rPr>
          <w:lang w:val="en-GB"/>
        </w:rPr>
        <w:t>Dated:</w:t>
      </w:r>
      <w:r>
        <w:rPr>
          <w:lang w:val="en-GB"/>
        </w:rPr>
        <w:t xml:space="preserve"> 13 May</w:t>
      </w:r>
      <w:r w:rsidRPr="00244DBD">
        <w:rPr>
          <w:lang w:val="en-GB"/>
        </w:rPr>
        <w:t xml:space="preserve"> 2020</w:t>
      </w:r>
    </w:p>
    <w:p w:rsidR="00E561E8" w:rsidRPr="00244DBD" w:rsidRDefault="00E561E8" w:rsidP="00E561E8">
      <w:pPr>
        <w:pStyle w:val="GG-SName"/>
      </w:pPr>
      <w:r w:rsidRPr="00244DBD">
        <w:t>Sally Smith</w:t>
      </w:r>
    </w:p>
    <w:p w:rsidR="00E561E8" w:rsidRPr="00244DBD" w:rsidRDefault="00E561E8" w:rsidP="00E561E8">
      <w:pPr>
        <w:pStyle w:val="GG-Signature"/>
        <w:rPr>
          <w:lang w:val="en-GB"/>
        </w:rPr>
      </w:pPr>
      <w:r w:rsidRPr="00244DBD">
        <w:rPr>
          <w:lang w:val="en-GB"/>
        </w:rPr>
        <w:t>Executive Director</w:t>
      </w:r>
    </w:p>
    <w:p w:rsidR="00E561E8" w:rsidRPr="00244DBD" w:rsidRDefault="00E561E8" w:rsidP="00E561E8">
      <w:pPr>
        <w:pStyle w:val="GG-Signature"/>
        <w:rPr>
          <w:lang w:val="en-GB"/>
        </w:rPr>
      </w:pPr>
      <w:r w:rsidRPr="00244DBD">
        <w:rPr>
          <w:lang w:val="en-GB"/>
        </w:rPr>
        <w:t>Planning &amp; Land Use Services</w:t>
      </w:r>
    </w:p>
    <w:p w:rsidR="00E561E8" w:rsidRDefault="00E561E8" w:rsidP="00E561E8">
      <w:pPr>
        <w:pStyle w:val="GG-Signature"/>
        <w:spacing w:after="20"/>
        <w:rPr>
          <w:lang w:val="en-GB"/>
        </w:rPr>
      </w:pPr>
      <w:r w:rsidRPr="00244DBD">
        <w:rPr>
          <w:lang w:val="en-GB"/>
        </w:rPr>
        <w:t xml:space="preserve">As Delegate of </w:t>
      </w:r>
      <w:r w:rsidRPr="005533F9">
        <w:rPr>
          <w:lang w:val="en-GB"/>
        </w:rPr>
        <w:t>Hon Stephan Knoll MP</w:t>
      </w:r>
      <w:r w:rsidRPr="00244DBD">
        <w:rPr>
          <w:lang w:val="en-GB"/>
        </w:rPr>
        <w:t>, Minister for Planning</w:t>
      </w:r>
    </w:p>
    <w:p w:rsidR="00E561E8" w:rsidRDefault="00E561E8" w:rsidP="00E561E8">
      <w:pPr>
        <w:pStyle w:val="GG-Signature"/>
        <w:pBdr>
          <w:top w:val="single" w:sz="4" w:space="1" w:color="auto"/>
        </w:pBdr>
        <w:spacing w:before="100" w:after="80" w:line="14" w:lineRule="exact"/>
        <w:ind w:left="1080" w:right="1080"/>
        <w:jc w:val="center"/>
        <w:rPr>
          <w:lang w:val="en-GB"/>
        </w:rPr>
      </w:pPr>
    </w:p>
    <w:p w:rsidR="00E561E8" w:rsidRPr="00244DBD" w:rsidRDefault="00E561E8" w:rsidP="00E561E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val="en-GB"/>
        </w:rPr>
      </w:pPr>
    </w:p>
    <w:p w:rsidR="00E561E8" w:rsidRPr="007F1A19" w:rsidRDefault="00E561E8" w:rsidP="00E561E8">
      <w:pPr>
        <w:pStyle w:val="GG-Title2"/>
        <w:rPr>
          <w:lang w:val="en-GB"/>
        </w:rPr>
      </w:pPr>
      <w:r w:rsidRPr="00FF4F77">
        <w:rPr>
          <w:rFonts w:ascii="CG Times (W1)" w:hAnsi="CG Times (W1)"/>
          <w:bCs/>
          <w:lang w:val="en-GB"/>
        </w:rPr>
        <w:br w:type="page"/>
      </w:r>
      <w:r w:rsidRPr="007F1A19">
        <w:rPr>
          <w:lang w:val="en-GB"/>
        </w:rPr>
        <w:lastRenderedPageBreak/>
        <w:t>Attachment A</w:t>
      </w:r>
    </w:p>
    <w:p w:rsidR="00E561E8" w:rsidRPr="007F1A19" w:rsidRDefault="00827BA8" w:rsidP="00E561E8">
      <w:pPr>
        <w:keepNext/>
        <w:autoSpaceDE w:val="0"/>
        <w:autoSpaceDN w:val="0"/>
        <w:adjustRightInd w:val="0"/>
        <w:spacing w:after="0" w:line="240" w:lineRule="auto"/>
        <w:jc w:val="left"/>
        <w:rPr>
          <w:rFonts w:ascii="Arial" w:hAnsi="Arial" w:cs="Arial"/>
          <w:b/>
          <w:bCs/>
          <w:sz w:val="24"/>
          <w:szCs w:val="24"/>
          <w:lang w:val="en-GB"/>
        </w:rPr>
      </w:pPr>
      <w:r>
        <w:rPr>
          <w:rFonts w:ascii="Arial" w:hAnsi="Arial"/>
          <w:noProof/>
          <w:sz w:val="24"/>
          <w:lang w:eastAsia="en-AU"/>
        </w:rPr>
        <w:pict>
          <v:shape id="Picture 1" o:spid="_x0000_i1025" type="#_x0000_t75" style="width:454.55pt;height:655.5pt;visibility:visible;mso-wrap-style:square">
            <v:imagedata r:id="rId52" o:title=""/>
          </v:shape>
        </w:pict>
      </w:r>
    </w:p>
    <w:p w:rsidR="00E561E8" w:rsidRPr="005533F9" w:rsidRDefault="00E561E8" w:rsidP="00E561E8">
      <w:pPr>
        <w:pStyle w:val="GG-Title2"/>
        <w:rPr>
          <w:lang w:val="en-GB"/>
        </w:rPr>
      </w:pPr>
      <w:r>
        <w:rPr>
          <w:rFonts w:ascii="Arial" w:hAnsi="Arial" w:cs="Arial"/>
          <w:b/>
          <w:bCs/>
          <w:sz w:val="24"/>
          <w:szCs w:val="24"/>
          <w:lang w:val="en-GB"/>
        </w:rPr>
        <w:br w:type="page"/>
      </w:r>
      <w:r w:rsidRPr="005533F9">
        <w:rPr>
          <w:lang w:val="en-GB"/>
        </w:rPr>
        <w:lastRenderedPageBreak/>
        <w:t>Attachment B</w:t>
      </w:r>
    </w:p>
    <w:p w:rsidR="00E561E8" w:rsidRDefault="00827BA8" w:rsidP="00E561E8">
      <w:pPr>
        <w:spacing w:after="0" w:line="240" w:lineRule="auto"/>
        <w:jc w:val="left"/>
        <w:rPr>
          <w:rFonts w:ascii="Arial" w:hAnsi="Arial"/>
          <w:noProof/>
          <w:sz w:val="24"/>
          <w:lang w:eastAsia="en-AU"/>
        </w:rPr>
      </w:pPr>
      <w:r>
        <w:rPr>
          <w:rFonts w:ascii="Arial" w:hAnsi="Arial"/>
          <w:noProof/>
          <w:sz w:val="24"/>
          <w:lang w:eastAsia="en-AU"/>
        </w:rPr>
        <w:pict>
          <v:shape id="Picture 3" o:spid="_x0000_i1026" type="#_x0000_t75" style="width:451.35pt;height:643.7pt;visibility:visible;mso-wrap-style:square">
            <v:imagedata r:id="rId53" o:title=""/>
          </v:shape>
        </w:pict>
      </w:r>
    </w:p>
    <w:p w:rsidR="00E561E8" w:rsidRDefault="00E561E8" w:rsidP="00E561E8">
      <w:pPr>
        <w:pBdr>
          <w:bottom w:val="single" w:sz="4" w:space="1" w:color="auto"/>
        </w:pBdr>
        <w:spacing w:after="0" w:line="52" w:lineRule="exact"/>
        <w:jc w:val="center"/>
        <w:rPr>
          <w:rStyle w:val="GG-bodyChar"/>
          <w:rFonts w:eastAsia="Calibri"/>
        </w:rPr>
      </w:pPr>
    </w:p>
    <w:p w:rsidR="00E561E8" w:rsidRDefault="00E561E8" w:rsidP="00E561E8">
      <w:pPr>
        <w:pBdr>
          <w:top w:val="single" w:sz="4" w:space="1" w:color="auto"/>
        </w:pBdr>
        <w:spacing w:before="34" w:after="0" w:line="14" w:lineRule="exact"/>
        <w:jc w:val="center"/>
        <w:rPr>
          <w:rStyle w:val="GG-bodyChar"/>
          <w:rFonts w:eastAsia="Calibri"/>
        </w:rPr>
      </w:pPr>
    </w:p>
    <w:p w:rsidR="00E561E8" w:rsidRPr="00E561E8" w:rsidRDefault="00E561E8" w:rsidP="00BB557D">
      <w:pPr>
        <w:pStyle w:val="Heading2"/>
      </w:pPr>
      <w:r>
        <w:rPr>
          <w:rStyle w:val="GG-bodyChar"/>
          <w:rFonts w:eastAsia="Calibri"/>
        </w:rPr>
        <w:br w:type="page"/>
      </w:r>
      <w:bookmarkStart w:id="61" w:name="_Toc40954875"/>
      <w:r w:rsidRPr="00E561E8">
        <w:lastRenderedPageBreak/>
        <w:t>Gaming Machines Act 1992</w:t>
      </w:r>
      <w:bookmarkEnd w:id="61"/>
    </w:p>
    <w:p w:rsidR="00E561E8" w:rsidRPr="00E561E8" w:rsidRDefault="00E561E8" w:rsidP="00E561E8">
      <w:pPr>
        <w:jc w:val="center"/>
        <w:rPr>
          <w:smallCaps/>
          <w:szCs w:val="17"/>
        </w:rPr>
      </w:pPr>
      <w:r w:rsidRPr="00E561E8">
        <w:rPr>
          <w:smallCaps/>
          <w:szCs w:val="17"/>
        </w:rPr>
        <w:t>Section 72A(3) and (3aa)</w:t>
      </w:r>
    </w:p>
    <w:p w:rsidR="00E561E8" w:rsidRPr="00E561E8" w:rsidRDefault="00E561E8" w:rsidP="00E561E8">
      <w:pPr>
        <w:jc w:val="center"/>
        <w:rPr>
          <w:i/>
          <w:szCs w:val="17"/>
        </w:rPr>
      </w:pPr>
      <w:r w:rsidRPr="00E561E8">
        <w:rPr>
          <w:i/>
          <w:szCs w:val="17"/>
        </w:rPr>
        <w:t>Variation of Notice of Calculation and Payment of Monthly Instalments of Gaming Tax (Variation Notice)</w:t>
      </w:r>
    </w:p>
    <w:p w:rsidR="00E561E8" w:rsidRPr="00E561E8" w:rsidRDefault="00E561E8" w:rsidP="00391865">
      <w:pPr>
        <w:numPr>
          <w:ilvl w:val="0"/>
          <w:numId w:val="9"/>
        </w:numPr>
        <w:tabs>
          <w:tab w:val="left" w:pos="426"/>
        </w:tabs>
        <w:ind w:left="360"/>
        <w:rPr>
          <w:rFonts w:eastAsia="Times New Roman"/>
          <w:szCs w:val="17"/>
        </w:rPr>
      </w:pPr>
      <w:r w:rsidRPr="00E561E8">
        <w:rPr>
          <w:rFonts w:eastAsia="Times New Roman"/>
          <w:b/>
          <w:szCs w:val="17"/>
        </w:rPr>
        <w:t>Preliminary</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 xml:space="preserve">Section 72A of the </w:t>
      </w:r>
      <w:r w:rsidRPr="00E561E8">
        <w:rPr>
          <w:rFonts w:eastAsia="Times New Roman"/>
          <w:i/>
          <w:szCs w:val="17"/>
        </w:rPr>
        <w:t>Gaming Machines Act 1992</w:t>
      </w:r>
      <w:r w:rsidRPr="00E561E8">
        <w:rPr>
          <w:rFonts w:eastAsia="Times New Roman"/>
          <w:szCs w:val="17"/>
        </w:rPr>
        <w:t xml:space="preserve"> (the Act) requires holders of gaming machine licences (licensees) to pay to the Treasurer, for each financial year, the prescribed gaming tax, calculated in accordance with section 72 of the Act, on net gambling revenue derived in respect of the licensed premises in the financial year.</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Section 72A(3) of the Act provides that the tax to which a licensee is liable to pay in accordance with section 72 of the Act, is payable in monthly instalments to be calculated and paid in the manner specified by the Minister by notice in the Gazette.</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Several notices pursuant to section 72 and 72A of the Act have been published in the Gazette since the Act commenced; the most recent Notice of calculation and payment of monthly instalments of gaming tax (Notice) being published in the Gazette on 9 January 2003 (see page 6).</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Section 72A(3aa) of the Act provides that the Minister may, by further notice in the Gazette, vary or revoke a notice under section 72A(3) of the Act.</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 xml:space="preserve">On 22 March 2020, the Prime Minister of Australia (Prime Minister) announced a restriction on; inter alia, licensed hotels and clubs in Australia from opening from midday local time 23 March 2020 to assist in slowing down the spread of coronavirus (COVID-19). </w:t>
      </w:r>
    </w:p>
    <w:p w:rsidR="00E561E8" w:rsidRPr="00E561E8" w:rsidRDefault="00E561E8" w:rsidP="00391865">
      <w:pPr>
        <w:numPr>
          <w:ilvl w:val="1"/>
          <w:numId w:val="9"/>
        </w:numPr>
        <w:tabs>
          <w:tab w:val="left" w:pos="924"/>
        </w:tabs>
        <w:ind w:left="924" w:hanging="510"/>
        <w:rPr>
          <w:rFonts w:eastAsia="Times New Roman"/>
          <w:bCs/>
          <w:szCs w:val="17"/>
        </w:rPr>
      </w:pPr>
      <w:r w:rsidRPr="00E561E8">
        <w:rPr>
          <w:rFonts w:eastAsia="Times New Roman"/>
          <w:szCs w:val="17"/>
        </w:rPr>
        <w:t>In order to</w:t>
      </w:r>
      <w:r w:rsidRPr="00E561E8">
        <w:rPr>
          <w:rFonts w:eastAsia="Times New Roman"/>
          <w:bCs/>
          <w:szCs w:val="17"/>
        </w:rPr>
        <w:t xml:space="preserve"> put the Prime Minister’s announcement into effect in South Australia, on the same day, South Australia’s Commissioner of Police (Commissioner of Police), as State Co-ordinator for the State of South Australia pursuant to section 14 of the </w:t>
      </w:r>
      <w:r w:rsidRPr="00E561E8">
        <w:rPr>
          <w:rFonts w:eastAsia="Times New Roman"/>
          <w:bCs/>
          <w:i/>
          <w:szCs w:val="17"/>
        </w:rPr>
        <w:t>Emergency Management Act 2004</w:t>
      </w:r>
      <w:r w:rsidRPr="00E561E8">
        <w:rPr>
          <w:rFonts w:eastAsia="Times New Roman"/>
          <w:bCs/>
          <w:szCs w:val="17"/>
        </w:rPr>
        <w:t xml:space="preserve"> declared pursuant to section 23 of that Act that a Major Emergency is occurring in response of the outbreak of COVID-19 within South Australia.</w:t>
      </w:r>
    </w:p>
    <w:p w:rsidR="00E561E8" w:rsidRPr="00E561E8" w:rsidRDefault="00E561E8" w:rsidP="00391865">
      <w:pPr>
        <w:numPr>
          <w:ilvl w:val="1"/>
          <w:numId w:val="9"/>
        </w:numPr>
        <w:tabs>
          <w:tab w:val="left" w:pos="924"/>
        </w:tabs>
        <w:ind w:left="924" w:hanging="510"/>
        <w:rPr>
          <w:rFonts w:eastAsia="Times New Roman"/>
          <w:bCs/>
          <w:szCs w:val="17"/>
        </w:rPr>
      </w:pPr>
      <w:r w:rsidRPr="00E561E8">
        <w:rPr>
          <w:rFonts w:eastAsia="Times New Roman"/>
          <w:bCs/>
          <w:szCs w:val="17"/>
        </w:rPr>
        <w:t>The Commissioner of Police directed certain premises to close as far as it is necessary to prohibit access to consumers or members of the public.</w:t>
      </w:r>
    </w:p>
    <w:p w:rsidR="00E561E8" w:rsidRPr="00E561E8" w:rsidRDefault="00E561E8" w:rsidP="00391865">
      <w:pPr>
        <w:numPr>
          <w:ilvl w:val="1"/>
          <w:numId w:val="9"/>
        </w:numPr>
        <w:tabs>
          <w:tab w:val="left" w:pos="924"/>
        </w:tabs>
        <w:ind w:left="924" w:hanging="510"/>
        <w:rPr>
          <w:rFonts w:eastAsia="Times New Roman"/>
          <w:bCs/>
          <w:szCs w:val="17"/>
        </w:rPr>
      </w:pPr>
      <w:r w:rsidRPr="00E561E8">
        <w:rPr>
          <w:rFonts w:eastAsia="Times New Roman"/>
          <w:bCs/>
          <w:szCs w:val="17"/>
        </w:rPr>
        <w:t xml:space="preserve">Hotels and clubs were included in the list of premises the Commissioner of Police ordered to close. </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Having considered the Prime Minister’s announcement and the Commissioner of Police’s direction of 22 March 2020 aimed at reducing the impact of COVID-19 on Australia, I find that requiring licensees to pay the prescribed gaming tax for March, April, May, June, July, and August 2020 in accordance with the current Notice may cause undue financial hardship on those licensees.</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szCs w:val="17"/>
        </w:rPr>
        <w:t>Therefore, I have determined to vary the Notice in relation to the prescribed gaming tax required to be paid for March, April, May, June, July and August 2020 in the terms set out in clause 2 of this Variation Notice.</w:t>
      </w:r>
    </w:p>
    <w:p w:rsidR="00E561E8" w:rsidRPr="00E561E8" w:rsidRDefault="00E561E8" w:rsidP="00391865">
      <w:pPr>
        <w:numPr>
          <w:ilvl w:val="0"/>
          <w:numId w:val="9"/>
        </w:numPr>
        <w:tabs>
          <w:tab w:val="left" w:pos="426"/>
        </w:tabs>
        <w:ind w:left="360"/>
        <w:rPr>
          <w:rFonts w:eastAsia="Times New Roman"/>
          <w:b/>
          <w:szCs w:val="17"/>
        </w:rPr>
      </w:pPr>
      <w:r w:rsidRPr="00E561E8">
        <w:rPr>
          <w:rFonts w:eastAsia="Times New Roman"/>
          <w:b/>
          <w:szCs w:val="17"/>
        </w:rPr>
        <w:t xml:space="preserve">Variation of Notice of Grant of Exemption </w:t>
      </w:r>
    </w:p>
    <w:p w:rsidR="00E561E8" w:rsidRPr="00E561E8" w:rsidRDefault="00E561E8" w:rsidP="00391865">
      <w:pPr>
        <w:numPr>
          <w:ilvl w:val="1"/>
          <w:numId w:val="9"/>
        </w:numPr>
        <w:tabs>
          <w:tab w:val="left" w:pos="924"/>
        </w:tabs>
        <w:ind w:left="924" w:hanging="510"/>
        <w:rPr>
          <w:rFonts w:eastAsia="Times New Roman"/>
          <w:szCs w:val="17"/>
        </w:rPr>
      </w:pPr>
      <w:r w:rsidRPr="00E561E8">
        <w:rPr>
          <w:rFonts w:eastAsia="Times New Roman"/>
          <w:bCs/>
          <w:szCs w:val="17"/>
        </w:rPr>
        <w:t>PURSUANT</w:t>
      </w:r>
      <w:r w:rsidRPr="00E561E8">
        <w:rPr>
          <w:rFonts w:eastAsia="Times New Roman"/>
          <w:szCs w:val="17"/>
        </w:rPr>
        <w:t xml:space="preserve"> to section 72A(3aa) of the Act I, Vickie Chapman MP, Attorney-General, vary the Notice:</w:t>
      </w:r>
    </w:p>
    <w:p w:rsidR="00E561E8" w:rsidRPr="00E561E8" w:rsidRDefault="00E561E8" w:rsidP="00391865">
      <w:pPr>
        <w:numPr>
          <w:ilvl w:val="2"/>
          <w:numId w:val="9"/>
        </w:numPr>
        <w:tabs>
          <w:tab w:val="left" w:pos="1498"/>
        </w:tabs>
        <w:ind w:left="1483" w:hanging="578"/>
        <w:rPr>
          <w:rFonts w:eastAsia="Times New Roman"/>
          <w:szCs w:val="17"/>
        </w:rPr>
      </w:pPr>
      <w:r w:rsidRPr="00E561E8">
        <w:rPr>
          <w:rFonts w:eastAsia="Times New Roman"/>
          <w:szCs w:val="17"/>
        </w:rPr>
        <w:t>by declaring that payment by licensees to the Treasurer of the monthly instalment of the prescribed gaming tax, calculated in accordance with the Notice, for the months of March, April, May, June, July and August 2020, be deferred until:</w:t>
      </w:r>
    </w:p>
    <w:p w:rsidR="00E561E8" w:rsidRPr="00E561E8" w:rsidRDefault="00E561E8" w:rsidP="00E561E8">
      <w:pPr>
        <w:tabs>
          <w:tab w:val="left" w:pos="2268"/>
        </w:tabs>
        <w:ind w:left="1908" w:hanging="425"/>
        <w:rPr>
          <w:rFonts w:eastAsia="Times New Roman"/>
          <w:szCs w:val="17"/>
        </w:rPr>
      </w:pPr>
      <w:r w:rsidRPr="00E561E8">
        <w:rPr>
          <w:rFonts w:eastAsia="Times New Roman"/>
          <w:szCs w:val="17"/>
        </w:rPr>
        <w:t>(a)</w:t>
      </w:r>
      <w:r w:rsidRPr="00E561E8">
        <w:rPr>
          <w:rFonts w:eastAsia="Times New Roman"/>
          <w:szCs w:val="17"/>
        </w:rPr>
        <w:tab/>
        <w:t>7 October 2020 (the Deferred Payment Date); or</w:t>
      </w:r>
    </w:p>
    <w:p w:rsidR="00E561E8" w:rsidRPr="00E561E8" w:rsidRDefault="00E561E8" w:rsidP="00E561E8">
      <w:pPr>
        <w:tabs>
          <w:tab w:val="left" w:pos="2268"/>
        </w:tabs>
        <w:ind w:left="1908" w:hanging="425"/>
        <w:rPr>
          <w:rFonts w:eastAsia="Times New Roman"/>
          <w:szCs w:val="17"/>
        </w:rPr>
      </w:pPr>
      <w:r w:rsidRPr="00E561E8">
        <w:rPr>
          <w:rFonts w:eastAsia="Times New Roman"/>
          <w:szCs w:val="17"/>
        </w:rPr>
        <w:t>(b)</w:t>
      </w:r>
      <w:r w:rsidRPr="00E561E8">
        <w:rPr>
          <w:rFonts w:eastAsia="Times New Roman"/>
          <w:szCs w:val="17"/>
        </w:rPr>
        <w:tab/>
        <w:t>if the Treasurer, in his absolute discretion, by notice to licensees given on or before 30 September 2020, nominates a date after 7 October 2020 (but not after 7 April 2021) as the Deferred Payment Date for the purposes of this clause 2.1.1(a), the date so nominated.</w:t>
      </w:r>
    </w:p>
    <w:p w:rsidR="00E561E8" w:rsidRPr="00E561E8" w:rsidRDefault="00E561E8" w:rsidP="00391865">
      <w:pPr>
        <w:numPr>
          <w:ilvl w:val="2"/>
          <w:numId w:val="9"/>
        </w:numPr>
        <w:tabs>
          <w:tab w:val="left" w:pos="1498"/>
        </w:tabs>
        <w:ind w:left="1483" w:hanging="578"/>
        <w:rPr>
          <w:rFonts w:eastAsia="Times New Roman"/>
          <w:szCs w:val="17"/>
        </w:rPr>
      </w:pPr>
      <w:r w:rsidRPr="00E561E8">
        <w:rPr>
          <w:rFonts w:eastAsia="Times New Roman"/>
          <w:szCs w:val="17"/>
        </w:rPr>
        <w:t>at any time after financial year ending 30 June 2020 (“FY 19/20”) the Treasurer may, if he considers that the sum of the monthly amounts paid by a licensee calculated in accordance with the Notice for FY 19/20 is likely to exceed the annual liability calculated in accordance with the Notice for FY 19/20, in his absolute discretion and without any obligation, pay to a licensee the Treasurer’s estimate of the difference.</w:t>
      </w:r>
    </w:p>
    <w:p w:rsidR="00E561E8" w:rsidRPr="00E561E8" w:rsidRDefault="00E561E8" w:rsidP="00E561E8">
      <w:pPr>
        <w:spacing w:after="0"/>
        <w:rPr>
          <w:rFonts w:eastAsia="Times New Roman"/>
          <w:szCs w:val="17"/>
        </w:rPr>
      </w:pPr>
      <w:r w:rsidRPr="00E561E8">
        <w:rPr>
          <w:rFonts w:eastAsia="Times New Roman"/>
          <w:szCs w:val="17"/>
        </w:rPr>
        <w:t>Dated: 18 May 2020</w:t>
      </w:r>
    </w:p>
    <w:p w:rsidR="00E561E8" w:rsidRPr="00E561E8" w:rsidRDefault="00E561E8" w:rsidP="00E561E8">
      <w:pPr>
        <w:spacing w:after="0"/>
        <w:jc w:val="right"/>
        <w:rPr>
          <w:rFonts w:eastAsia="Times New Roman"/>
          <w:smallCaps/>
          <w:szCs w:val="20"/>
        </w:rPr>
      </w:pPr>
      <w:r w:rsidRPr="00E561E8">
        <w:rPr>
          <w:rFonts w:eastAsia="Times New Roman"/>
          <w:smallCaps/>
          <w:szCs w:val="20"/>
        </w:rPr>
        <w:t>Vickie Chapman MP</w:t>
      </w:r>
    </w:p>
    <w:p w:rsidR="00E561E8" w:rsidRDefault="00E561E8" w:rsidP="00E561E8">
      <w:pPr>
        <w:spacing w:after="0"/>
        <w:jc w:val="right"/>
        <w:rPr>
          <w:rFonts w:eastAsia="Times New Roman"/>
          <w:szCs w:val="17"/>
        </w:rPr>
      </w:pPr>
      <w:r w:rsidRPr="00E561E8">
        <w:rPr>
          <w:rFonts w:eastAsia="Times New Roman"/>
          <w:szCs w:val="17"/>
        </w:rPr>
        <w:t>Attorney-General</w:t>
      </w:r>
    </w:p>
    <w:p w:rsidR="00E561E8" w:rsidRDefault="00E561E8" w:rsidP="00E561E8">
      <w:pPr>
        <w:pBdr>
          <w:bottom w:val="single" w:sz="4" w:space="1" w:color="auto"/>
        </w:pBdr>
        <w:spacing w:after="0" w:line="52" w:lineRule="exact"/>
        <w:jc w:val="center"/>
        <w:rPr>
          <w:rFonts w:eastAsia="Times New Roman"/>
          <w:szCs w:val="17"/>
        </w:rPr>
      </w:pPr>
    </w:p>
    <w:p w:rsidR="00E561E8" w:rsidRDefault="00E561E8" w:rsidP="00E561E8">
      <w:pPr>
        <w:pBdr>
          <w:top w:val="single" w:sz="4" w:space="1" w:color="auto"/>
        </w:pBdr>
        <w:spacing w:before="34" w:after="0" w:line="14" w:lineRule="exact"/>
        <w:jc w:val="center"/>
        <w:rPr>
          <w:rFonts w:eastAsia="Times New Roman"/>
          <w:szCs w:val="17"/>
        </w:rPr>
      </w:pPr>
    </w:p>
    <w:p w:rsidR="005C37EF" w:rsidRDefault="005C37EF" w:rsidP="005C37EF">
      <w:pPr>
        <w:pStyle w:val="GG-body"/>
        <w:spacing w:after="0"/>
        <w:rPr>
          <w:lang w:val="en-US"/>
        </w:rPr>
      </w:pPr>
    </w:p>
    <w:p w:rsidR="00E561E8" w:rsidRDefault="00E561E8" w:rsidP="00BB557D">
      <w:pPr>
        <w:pStyle w:val="Heading2"/>
      </w:pPr>
      <w:bookmarkStart w:id="62" w:name="_Toc40954876"/>
      <w:r w:rsidRPr="00CC6125">
        <w:t>HOUSING IMPROVEMENT ACT 2016</w:t>
      </w:r>
      <w:bookmarkEnd w:id="62"/>
    </w:p>
    <w:p w:rsidR="00E561E8" w:rsidRPr="00CC6125" w:rsidRDefault="00E561E8" w:rsidP="00E561E8">
      <w:pPr>
        <w:tabs>
          <w:tab w:val="left" w:pos="5760"/>
          <w:tab w:val="left" w:pos="8730"/>
          <w:tab w:val="left" w:pos="9498"/>
          <w:tab w:val="left" w:pos="11520"/>
        </w:tabs>
        <w:jc w:val="center"/>
        <w:rPr>
          <w:i/>
          <w:szCs w:val="17"/>
          <w:lang w:val="en-US"/>
        </w:rPr>
      </w:pPr>
      <w:r w:rsidRPr="00CC6125">
        <w:rPr>
          <w:i/>
          <w:szCs w:val="17"/>
          <w:lang w:val="en-US"/>
        </w:rPr>
        <w:t>Rent Control</w:t>
      </w:r>
    </w:p>
    <w:p w:rsidR="00E561E8" w:rsidRPr="00E561E8" w:rsidRDefault="00E561E8" w:rsidP="00E561E8">
      <w:pPr>
        <w:tabs>
          <w:tab w:val="left" w:pos="5760"/>
          <w:tab w:val="left" w:pos="8730"/>
          <w:tab w:val="left" w:pos="9498"/>
          <w:tab w:val="left" w:pos="11520"/>
        </w:tabs>
        <w:rPr>
          <w:spacing w:val="-2"/>
          <w:szCs w:val="17"/>
          <w:lang w:val="en-US"/>
        </w:rPr>
      </w:pPr>
      <w:r w:rsidRPr="00E561E8">
        <w:rPr>
          <w:spacing w:val="-2"/>
          <w:szCs w:val="17"/>
          <w:lang w:val="en-US"/>
        </w:rPr>
        <w:t xml:space="preserve">The Minister for Human Services Delegate in the exercise of the powers conferred by the </w:t>
      </w:r>
      <w:r w:rsidRPr="00E561E8">
        <w:rPr>
          <w:i/>
          <w:spacing w:val="-2"/>
          <w:szCs w:val="17"/>
          <w:lang w:val="en-US"/>
        </w:rPr>
        <w:t>Housing Improvement Act 2016</w:t>
      </w:r>
      <w:r w:rsidRPr="00E561E8">
        <w:rPr>
          <w:spacing w:val="-2"/>
          <w:szCs w:val="17"/>
          <w:lang w:val="en-US"/>
        </w:rPr>
        <w:t xml:space="preserve">, does hereby fix the maximum rental per week which shall be payable subject to Section 55 of the </w:t>
      </w:r>
      <w:r w:rsidRPr="00E561E8">
        <w:rPr>
          <w:i/>
          <w:spacing w:val="-2"/>
          <w:szCs w:val="17"/>
          <w:lang w:val="en-US"/>
        </w:rPr>
        <w:t>Residential Tenancies Act 1995</w:t>
      </w:r>
      <w:r w:rsidRPr="00E561E8">
        <w:rPr>
          <w:spacing w:val="-2"/>
          <w:szCs w:val="17"/>
          <w:lang w:val="en-US"/>
        </w:rPr>
        <w:t>, in respect of each house described in the following table. The amount shown in the said table shall come into force on the date of this publication in the Gazette.</w:t>
      </w:r>
    </w:p>
    <w:tbl>
      <w:tblPr>
        <w:tblW w:w="5000" w:type="pct"/>
        <w:tblCellMar>
          <w:left w:w="0" w:type="dxa"/>
          <w:right w:w="0" w:type="dxa"/>
        </w:tblCellMar>
        <w:tblLook w:val="04A0" w:firstRow="1" w:lastRow="0" w:firstColumn="1" w:lastColumn="0" w:noHBand="0" w:noVBand="1"/>
      </w:tblPr>
      <w:tblGrid>
        <w:gridCol w:w="3143"/>
        <w:gridCol w:w="2706"/>
        <w:gridCol w:w="1855"/>
        <w:gridCol w:w="1710"/>
      </w:tblGrid>
      <w:tr w:rsidR="00E561E8" w:rsidRPr="00611580" w:rsidTr="00C96CE7">
        <w:trPr>
          <w:trHeight w:val="20"/>
        </w:trPr>
        <w:tc>
          <w:tcPr>
            <w:tcW w:w="1670" w:type="pct"/>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lang w:val="en-US"/>
              </w:rPr>
              <w:t>Address of Premises</w:t>
            </w:r>
          </w:p>
        </w:tc>
        <w:tc>
          <w:tcPr>
            <w:tcW w:w="1437" w:type="pct"/>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lang w:val="en-US"/>
              </w:rPr>
              <w:t>Allotment</w:t>
            </w:r>
            <w:r w:rsidRPr="004B520B">
              <w:rPr>
                <w:b/>
                <w:szCs w:val="17"/>
                <w:lang w:val="en-US"/>
              </w:rPr>
              <w:br/>
              <w:t>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u w:val="single"/>
                <w:lang w:val="en-US"/>
              </w:rPr>
              <w:t>Certificate of Title</w:t>
            </w:r>
          </w:p>
          <w:p w:rsidR="00E561E8" w:rsidRPr="004B520B" w:rsidRDefault="00E561E8" w:rsidP="00C96CE7">
            <w:pPr>
              <w:spacing w:before="20" w:after="20"/>
              <w:jc w:val="center"/>
              <w:rPr>
                <w:b/>
                <w:szCs w:val="17"/>
                <w:lang w:val="en-US"/>
              </w:rPr>
            </w:pPr>
            <w:r w:rsidRPr="004B520B">
              <w:rPr>
                <w:b/>
                <w:szCs w:val="17"/>
                <w:lang w:val="en-US"/>
              </w:rPr>
              <w:t>Volume/Folio</w:t>
            </w:r>
          </w:p>
        </w:tc>
        <w:tc>
          <w:tcPr>
            <w:tcW w:w="908" w:type="pct"/>
            <w:tcBorders>
              <w:top w:val="single" w:sz="4" w:space="0" w:color="auto"/>
              <w:bottom w:val="single" w:sz="4" w:space="0" w:color="auto"/>
            </w:tcBorders>
          </w:tcPr>
          <w:p w:rsidR="00E561E8" w:rsidRPr="004B520B" w:rsidRDefault="00E561E8" w:rsidP="00C96CE7">
            <w:pPr>
              <w:spacing w:before="20" w:after="20"/>
              <w:jc w:val="center"/>
              <w:rPr>
                <w:b/>
                <w:szCs w:val="17"/>
                <w:u w:val="single"/>
                <w:lang w:val="en-US"/>
              </w:rPr>
            </w:pPr>
            <w:r w:rsidRPr="004B520B">
              <w:rPr>
                <w:b/>
                <w:szCs w:val="17"/>
                <w:lang w:val="en-US"/>
              </w:rPr>
              <w:t xml:space="preserve">Maximum Rental </w:t>
            </w:r>
            <w:r w:rsidRPr="004B520B">
              <w:rPr>
                <w:b/>
                <w:szCs w:val="17"/>
                <w:lang w:val="en-US"/>
              </w:rPr>
              <w:br/>
              <w:t>per week payable</w:t>
            </w:r>
          </w:p>
        </w:tc>
      </w:tr>
      <w:tr w:rsidR="00E561E8" w:rsidRPr="008558E8" w:rsidTr="00C96CE7">
        <w:trPr>
          <w:trHeight w:val="20"/>
        </w:trPr>
        <w:tc>
          <w:tcPr>
            <w:tcW w:w="1670" w:type="pct"/>
            <w:tcBorders>
              <w:top w:val="single" w:sz="4" w:space="0" w:color="auto"/>
              <w:bottom w:val="single" w:sz="4" w:space="0" w:color="auto"/>
            </w:tcBorders>
            <w:shd w:val="clear" w:color="auto" w:fill="auto"/>
            <w:tcMar>
              <w:top w:w="0" w:type="dxa"/>
              <w:left w:w="60" w:type="dxa"/>
              <w:bottom w:w="0" w:type="dxa"/>
              <w:right w:w="60" w:type="dxa"/>
            </w:tcMar>
          </w:tcPr>
          <w:p w:rsidR="00E561E8" w:rsidRPr="003C14B2" w:rsidRDefault="00E561E8" w:rsidP="00C96CE7">
            <w:pPr>
              <w:spacing w:before="20" w:after="20"/>
              <w:jc w:val="left"/>
            </w:pPr>
            <w:r w:rsidRPr="003C14B2">
              <w:t xml:space="preserve">16A Francis Street, Balaklava SA 5461  </w:t>
            </w:r>
          </w:p>
        </w:tc>
        <w:tc>
          <w:tcPr>
            <w:tcW w:w="1437" w:type="pct"/>
            <w:tcBorders>
              <w:top w:val="single" w:sz="4" w:space="0" w:color="auto"/>
              <w:bottom w:val="single" w:sz="4" w:space="0" w:color="auto"/>
            </w:tcBorders>
            <w:shd w:val="clear" w:color="auto" w:fill="auto"/>
            <w:tcMar>
              <w:top w:w="0" w:type="dxa"/>
              <w:left w:w="60" w:type="dxa"/>
              <w:bottom w:w="0" w:type="dxa"/>
              <w:right w:w="60" w:type="dxa"/>
            </w:tcMar>
          </w:tcPr>
          <w:p w:rsidR="00E561E8" w:rsidRPr="003C14B2" w:rsidRDefault="00E561E8" w:rsidP="00C96CE7">
            <w:pPr>
              <w:spacing w:before="20" w:after="20"/>
              <w:jc w:val="left"/>
            </w:pPr>
            <w:r w:rsidRPr="003C14B2">
              <w:t xml:space="preserve">Allotment </w:t>
            </w:r>
            <w:r>
              <w:t>2 Deposited Plan 36750 Hundred o</w:t>
            </w:r>
            <w:r w:rsidRPr="003C14B2">
              <w:t>f Balaklava</w:t>
            </w:r>
          </w:p>
        </w:tc>
        <w:tc>
          <w:tcPr>
            <w:tcW w:w="985" w:type="pct"/>
            <w:tcBorders>
              <w:top w:val="single" w:sz="4" w:space="0" w:color="auto"/>
              <w:bottom w:val="single" w:sz="4" w:space="0" w:color="auto"/>
            </w:tcBorders>
            <w:shd w:val="clear" w:color="auto" w:fill="auto"/>
            <w:tcMar>
              <w:top w:w="0" w:type="dxa"/>
              <w:left w:w="60" w:type="dxa"/>
              <w:bottom w:w="0" w:type="dxa"/>
              <w:right w:w="60" w:type="dxa"/>
            </w:tcMar>
          </w:tcPr>
          <w:p w:rsidR="00E561E8" w:rsidRPr="003C14B2" w:rsidRDefault="00E561E8" w:rsidP="00C96CE7">
            <w:pPr>
              <w:spacing w:before="20" w:after="20"/>
              <w:jc w:val="left"/>
            </w:pPr>
            <w:r w:rsidRPr="003C14B2">
              <w:t>CT 5122/680</w:t>
            </w:r>
          </w:p>
        </w:tc>
        <w:tc>
          <w:tcPr>
            <w:tcW w:w="908" w:type="pct"/>
            <w:tcBorders>
              <w:top w:val="single" w:sz="4" w:space="0" w:color="auto"/>
              <w:bottom w:val="single" w:sz="4" w:space="0" w:color="auto"/>
            </w:tcBorders>
          </w:tcPr>
          <w:p w:rsidR="00E561E8" w:rsidRDefault="00E561E8" w:rsidP="00C96CE7">
            <w:pPr>
              <w:spacing w:before="20" w:after="20"/>
              <w:jc w:val="left"/>
            </w:pPr>
            <w:r w:rsidRPr="003C14B2">
              <w:t>$60.00</w:t>
            </w:r>
          </w:p>
        </w:tc>
      </w:tr>
    </w:tbl>
    <w:p w:rsidR="00E561E8" w:rsidRDefault="00E561E8" w:rsidP="00E561E8">
      <w:pPr>
        <w:pBdr>
          <w:top w:val="nil"/>
          <w:left w:val="nil"/>
          <w:bottom w:val="nil"/>
          <w:right w:val="nil"/>
        </w:pBd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21 May 2020</w:t>
      </w:r>
      <w:r w:rsidRPr="00611580">
        <w:rPr>
          <w:szCs w:val="17"/>
          <w:lang w:val="en-US"/>
        </w:rPr>
        <w:t xml:space="preserve"> </w:t>
      </w:r>
    </w:p>
    <w:p w:rsidR="00E561E8" w:rsidRDefault="00E561E8" w:rsidP="00E561E8">
      <w:pPr>
        <w:spacing w:after="0"/>
        <w:ind w:right="62"/>
        <w:jc w:val="right"/>
        <w:rPr>
          <w:smallCaps/>
          <w:szCs w:val="17"/>
          <w:lang w:val="en-US"/>
        </w:rPr>
      </w:pPr>
      <w:r>
        <w:rPr>
          <w:smallCaps/>
          <w:szCs w:val="17"/>
          <w:lang w:val="en-US"/>
        </w:rPr>
        <w:t>Craig Thompson</w:t>
      </w:r>
    </w:p>
    <w:p w:rsidR="00E561E8" w:rsidRDefault="00E561E8" w:rsidP="00E561E8">
      <w:pPr>
        <w:spacing w:after="0"/>
        <w:ind w:right="62"/>
        <w:jc w:val="right"/>
        <w:rPr>
          <w:szCs w:val="17"/>
          <w:lang w:val="en-US"/>
        </w:rPr>
      </w:pPr>
      <w:r>
        <w:rPr>
          <w:szCs w:val="17"/>
          <w:lang w:val="en-US"/>
        </w:rPr>
        <w:t xml:space="preserve">Acting </w:t>
      </w:r>
      <w:r w:rsidRPr="004D1161">
        <w:rPr>
          <w:szCs w:val="17"/>
          <w:lang w:val="en-US"/>
        </w:rPr>
        <w:t>Housing Regulator and Registrar</w:t>
      </w:r>
    </w:p>
    <w:p w:rsidR="00E561E8" w:rsidRDefault="00E561E8" w:rsidP="00E561E8">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E561E8" w:rsidRDefault="00E561E8" w:rsidP="00E561E8">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E561E8" w:rsidRDefault="00E561E8" w:rsidP="00E561E8">
      <w:pPr>
        <w:pBdr>
          <w:top w:val="single" w:sz="4" w:space="1" w:color="auto"/>
        </w:pBdr>
        <w:spacing w:before="100" w:after="0" w:line="14" w:lineRule="exact"/>
        <w:jc w:val="center"/>
        <w:rPr>
          <w:szCs w:val="17"/>
          <w:lang w:val="en-US"/>
        </w:rPr>
      </w:pPr>
    </w:p>
    <w:p w:rsidR="005C37EF" w:rsidRDefault="005C37EF" w:rsidP="005C37EF">
      <w:pPr>
        <w:pStyle w:val="GG-body"/>
        <w:spacing w:after="0"/>
        <w:rPr>
          <w:lang w:val="en-US"/>
        </w:rPr>
      </w:pPr>
    </w:p>
    <w:p w:rsidR="00E561E8" w:rsidRDefault="00E561E8" w:rsidP="00E561E8">
      <w:pPr>
        <w:tabs>
          <w:tab w:val="left" w:pos="5760"/>
          <w:tab w:val="left" w:pos="8730"/>
          <w:tab w:val="left" w:pos="9498"/>
          <w:tab w:val="left" w:pos="11520"/>
        </w:tabs>
        <w:jc w:val="center"/>
        <w:rPr>
          <w:szCs w:val="17"/>
          <w:lang w:val="en-US"/>
        </w:rPr>
      </w:pPr>
      <w:r>
        <w:rPr>
          <w:szCs w:val="17"/>
          <w:lang w:val="en-US"/>
        </w:rPr>
        <w:br w:type="page"/>
      </w:r>
      <w:r w:rsidRPr="00CC6125">
        <w:rPr>
          <w:szCs w:val="17"/>
          <w:lang w:val="en-US"/>
        </w:rPr>
        <w:lastRenderedPageBreak/>
        <w:t>HOUSING IMPROVEMENT ACT 2016</w:t>
      </w:r>
    </w:p>
    <w:p w:rsidR="00E561E8" w:rsidRPr="00CC6125" w:rsidRDefault="00E561E8" w:rsidP="00E561E8">
      <w:pPr>
        <w:tabs>
          <w:tab w:val="left" w:pos="5760"/>
          <w:tab w:val="left" w:pos="8730"/>
          <w:tab w:val="left" w:pos="9498"/>
          <w:tab w:val="left" w:pos="11520"/>
        </w:tabs>
        <w:jc w:val="center"/>
        <w:rPr>
          <w:i/>
          <w:szCs w:val="17"/>
          <w:lang w:val="en-US"/>
        </w:rPr>
      </w:pPr>
      <w:r w:rsidRPr="00CC6125">
        <w:rPr>
          <w:i/>
          <w:szCs w:val="17"/>
          <w:lang w:val="en-US"/>
        </w:rPr>
        <w:t>Rent Control Revocations</w:t>
      </w:r>
    </w:p>
    <w:p w:rsidR="00E561E8" w:rsidRPr="00293C3B" w:rsidRDefault="00E561E8" w:rsidP="00E561E8">
      <w:pPr>
        <w:tabs>
          <w:tab w:val="left" w:pos="5760"/>
          <w:tab w:val="left" w:pos="8730"/>
          <w:tab w:val="left" w:pos="9498"/>
          <w:tab w:val="left" w:pos="11520"/>
        </w:tabs>
        <w:rPr>
          <w:spacing w:val="-2"/>
          <w:szCs w:val="17"/>
          <w:lang w:val="en-US"/>
        </w:rPr>
      </w:pPr>
      <w:r w:rsidRPr="00293C3B">
        <w:rPr>
          <w:spacing w:val="-2"/>
          <w:szCs w:val="17"/>
          <w:lang w:val="en-US"/>
        </w:rPr>
        <w:t xml:space="preserve">Whereas the Minister for Human Services Delegate is satisfied that each of the houses described hereunder has ceased to be unsafe or unsuitable for human habitation for the purposes of the </w:t>
      </w:r>
      <w:r w:rsidRPr="00293C3B">
        <w:rPr>
          <w:i/>
          <w:spacing w:val="-2"/>
          <w:szCs w:val="17"/>
          <w:lang w:val="en-US"/>
        </w:rPr>
        <w:t>Housing Improvement Act 2016</w:t>
      </w:r>
      <w:r w:rsidRPr="00293C3B">
        <w:rPr>
          <w:spacing w:val="-2"/>
          <w:szCs w:val="17"/>
          <w:lang w:val="en-US"/>
        </w:rPr>
        <w:t xml:space="preserve">, notice is hereby given that, in exercise of the powers conferred by the said Act, the Minister for Human Services Delegate does hereby revoke the said Rent Control in respect of each property. </w:t>
      </w:r>
    </w:p>
    <w:tbl>
      <w:tblPr>
        <w:tblW w:w="4966" w:type="pct"/>
        <w:tblInd w:w="60" w:type="dxa"/>
        <w:tblLayout w:type="fixed"/>
        <w:tblCellMar>
          <w:left w:w="0" w:type="dxa"/>
          <w:right w:w="0" w:type="dxa"/>
        </w:tblCellMar>
        <w:tblLook w:val="04A0" w:firstRow="1" w:lastRow="0" w:firstColumn="1" w:lastColumn="0" w:noHBand="0" w:noVBand="1"/>
      </w:tblPr>
      <w:tblGrid>
        <w:gridCol w:w="3967"/>
        <w:gridCol w:w="2975"/>
        <w:gridCol w:w="2468"/>
      </w:tblGrid>
      <w:tr w:rsidR="00E561E8" w:rsidRPr="00611580" w:rsidTr="00C96CE7">
        <w:trPr>
          <w:trHeight w:val="20"/>
        </w:trPr>
        <w:tc>
          <w:tcPr>
            <w:tcW w:w="3916" w:type="dxa"/>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lang w:val="en-US"/>
              </w:rPr>
              <w:t>Address of Premises</w:t>
            </w:r>
          </w:p>
        </w:tc>
        <w:tc>
          <w:tcPr>
            <w:tcW w:w="2937" w:type="dxa"/>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lang w:val="en-US"/>
              </w:rPr>
              <w:t>Allotment</w:t>
            </w:r>
            <w:r w:rsidRPr="004B520B">
              <w:rPr>
                <w:b/>
                <w:szCs w:val="17"/>
                <w:lang w:val="en-US"/>
              </w:rPr>
              <w:br/>
              <w:t>Section</w:t>
            </w:r>
          </w:p>
        </w:tc>
        <w:tc>
          <w:tcPr>
            <w:tcW w:w="2437" w:type="dxa"/>
            <w:tcBorders>
              <w:top w:val="single" w:sz="4" w:space="0" w:color="auto"/>
              <w:bottom w:val="single" w:sz="4" w:space="0" w:color="auto"/>
            </w:tcBorders>
            <w:tcMar>
              <w:top w:w="0" w:type="dxa"/>
              <w:left w:w="60" w:type="dxa"/>
              <w:bottom w:w="0" w:type="dxa"/>
              <w:right w:w="60" w:type="dxa"/>
            </w:tcMar>
            <w:vAlign w:val="center"/>
          </w:tcPr>
          <w:p w:rsidR="00E561E8" w:rsidRPr="004B520B" w:rsidRDefault="00E561E8" w:rsidP="00C96CE7">
            <w:pPr>
              <w:spacing w:before="20" w:after="20"/>
              <w:jc w:val="center"/>
              <w:rPr>
                <w:b/>
                <w:szCs w:val="17"/>
                <w:lang w:val="en-US"/>
              </w:rPr>
            </w:pPr>
            <w:r w:rsidRPr="004B520B">
              <w:rPr>
                <w:b/>
                <w:szCs w:val="17"/>
                <w:u w:val="single"/>
                <w:lang w:val="en-US"/>
              </w:rPr>
              <w:t>Certificate of Title</w:t>
            </w:r>
          </w:p>
          <w:p w:rsidR="00E561E8" w:rsidRPr="004B520B" w:rsidRDefault="00E561E8" w:rsidP="00C96CE7">
            <w:pPr>
              <w:spacing w:before="20" w:after="20"/>
              <w:jc w:val="center"/>
              <w:rPr>
                <w:b/>
                <w:szCs w:val="17"/>
                <w:lang w:val="en-US"/>
              </w:rPr>
            </w:pPr>
            <w:r w:rsidRPr="004B520B">
              <w:rPr>
                <w:b/>
                <w:szCs w:val="17"/>
                <w:lang w:val="en-US"/>
              </w:rPr>
              <w:t>Volume/Folio</w:t>
            </w:r>
          </w:p>
        </w:tc>
      </w:tr>
      <w:tr w:rsidR="00E561E8" w:rsidRPr="008558E8" w:rsidTr="00C96CE7">
        <w:trPr>
          <w:trHeight w:val="20"/>
        </w:trPr>
        <w:tc>
          <w:tcPr>
            <w:tcW w:w="3916" w:type="dxa"/>
            <w:tcBorders>
              <w:top w:val="single" w:sz="4" w:space="0" w:color="auto"/>
            </w:tcBorders>
            <w:shd w:val="clear" w:color="auto" w:fill="auto"/>
            <w:tcMar>
              <w:top w:w="0" w:type="dxa"/>
              <w:left w:w="60" w:type="dxa"/>
              <w:bottom w:w="0" w:type="dxa"/>
              <w:right w:w="60" w:type="dxa"/>
            </w:tcMar>
          </w:tcPr>
          <w:p w:rsidR="00E561E8" w:rsidRPr="00661E62" w:rsidRDefault="00E561E8" w:rsidP="00C96CE7">
            <w:pPr>
              <w:spacing w:before="20" w:after="20"/>
              <w:jc w:val="left"/>
            </w:pPr>
            <w:r w:rsidRPr="00661E62">
              <w:t xml:space="preserve">80 Carlton Parade, Port Augusta SA 5700 </w:t>
            </w:r>
          </w:p>
        </w:tc>
        <w:tc>
          <w:tcPr>
            <w:tcW w:w="2937" w:type="dxa"/>
            <w:tcBorders>
              <w:top w:val="single" w:sz="4" w:space="0" w:color="auto"/>
            </w:tcBorders>
            <w:shd w:val="clear" w:color="auto" w:fill="auto"/>
            <w:tcMar>
              <w:top w:w="0" w:type="dxa"/>
              <w:left w:w="60" w:type="dxa"/>
              <w:bottom w:w="0" w:type="dxa"/>
              <w:right w:w="60" w:type="dxa"/>
            </w:tcMar>
          </w:tcPr>
          <w:p w:rsidR="00E561E8" w:rsidRPr="00661E62" w:rsidRDefault="00E561E8" w:rsidP="00C96CE7">
            <w:pPr>
              <w:spacing w:before="20" w:after="20"/>
              <w:jc w:val="left"/>
            </w:pPr>
            <w:r w:rsidRPr="00661E62">
              <w:t>Allotment 545 Filed Plan 186247 Hundred of Davenport</w:t>
            </w:r>
          </w:p>
        </w:tc>
        <w:tc>
          <w:tcPr>
            <w:tcW w:w="2437" w:type="dxa"/>
            <w:tcBorders>
              <w:top w:val="single" w:sz="4" w:space="0" w:color="auto"/>
            </w:tcBorders>
            <w:shd w:val="clear" w:color="auto" w:fill="auto"/>
            <w:tcMar>
              <w:top w:w="0" w:type="dxa"/>
              <w:left w:w="60" w:type="dxa"/>
              <w:bottom w:w="0" w:type="dxa"/>
              <w:right w:w="60" w:type="dxa"/>
            </w:tcMar>
          </w:tcPr>
          <w:p w:rsidR="00E561E8" w:rsidRPr="00661E62" w:rsidRDefault="00E561E8" w:rsidP="00C96CE7">
            <w:pPr>
              <w:spacing w:before="20" w:after="20"/>
              <w:jc w:val="left"/>
            </w:pPr>
            <w:r w:rsidRPr="00661E62">
              <w:t>CT3660/151, CT5565/184</w:t>
            </w:r>
          </w:p>
        </w:tc>
      </w:tr>
      <w:tr w:rsidR="00E561E8" w:rsidRPr="008558E8" w:rsidTr="00C96CE7">
        <w:trPr>
          <w:trHeight w:val="20"/>
        </w:trPr>
        <w:tc>
          <w:tcPr>
            <w:tcW w:w="3916" w:type="dxa"/>
            <w:tcBorders>
              <w:bottom w:val="single" w:sz="4" w:space="0" w:color="auto"/>
            </w:tcBorders>
            <w:shd w:val="clear" w:color="auto" w:fill="auto"/>
            <w:tcMar>
              <w:top w:w="0" w:type="dxa"/>
              <w:left w:w="60" w:type="dxa"/>
              <w:bottom w:w="0" w:type="dxa"/>
              <w:right w:w="60" w:type="dxa"/>
            </w:tcMar>
          </w:tcPr>
          <w:p w:rsidR="00E561E8" w:rsidRPr="00661E62" w:rsidRDefault="00E561E8" w:rsidP="00C96CE7">
            <w:pPr>
              <w:spacing w:before="20" w:after="20"/>
              <w:jc w:val="left"/>
            </w:pPr>
            <w:r w:rsidRPr="00661E62">
              <w:t xml:space="preserve">26 Hanson Road, Woodville Gardens SA 5012 </w:t>
            </w:r>
          </w:p>
        </w:tc>
        <w:tc>
          <w:tcPr>
            <w:tcW w:w="2937" w:type="dxa"/>
            <w:tcBorders>
              <w:bottom w:val="single" w:sz="4" w:space="0" w:color="auto"/>
            </w:tcBorders>
            <w:shd w:val="clear" w:color="auto" w:fill="auto"/>
            <w:tcMar>
              <w:top w:w="0" w:type="dxa"/>
              <w:left w:w="60" w:type="dxa"/>
              <w:bottom w:w="0" w:type="dxa"/>
              <w:right w:w="60" w:type="dxa"/>
            </w:tcMar>
          </w:tcPr>
          <w:p w:rsidR="00E561E8" w:rsidRPr="00661E62" w:rsidRDefault="00E561E8" w:rsidP="00C96CE7">
            <w:pPr>
              <w:spacing w:before="20" w:after="20"/>
              <w:jc w:val="left"/>
            </w:pPr>
            <w:r w:rsidRPr="00661E62">
              <w:t>Allotment 24 Deposited Plan 5101 Hundred of Yatala</w:t>
            </w:r>
          </w:p>
        </w:tc>
        <w:tc>
          <w:tcPr>
            <w:tcW w:w="2437" w:type="dxa"/>
            <w:tcBorders>
              <w:bottom w:val="single" w:sz="4" w:space="0" w:color="auto"/>
            </w:tcBorders>
            <w:shd w:val="clear" w:color="auto" w:fill="auto"/>
            <w:tcMar>
              <w:top w:w="0" w:type="dxa"/>
              <w:left w:w="60" w:type="dxa"/>
              <w:bottom w:w="0" w:type="dxa"/>
              <w:right w:w="60" w:type="dxa"/>
            </w:tcMar>
          </w:tcPr>
          <w:p w:rsidR="00E561E8" w:rsidRDefault="00E561E8" w:rsidP="00C96CE7">
            <w:pPr>
              <w:spacing w:before="20" w:after="20"/>
              <w:jc w:val="left"/>
            </w:pPr>
            <w:r w:rsidRPr="00661E62">
              <w:t>CT5685/955</w:t>
            </w:r>
          </w:p>
        </w:tc>
      </w:tr>
    </w:tbl>
    <w:p w:rsidR="00E561E8" w:rsidRDefault="00E561E8" w:rsidP="00E561E8">
      <w:pPr>
        <w:pBdr>
          <w:top w:val="nil"/>
          <w:left w:val="nil"/>
          <w:bottom w:val="nil"/>
          <w:right w:val="nil"/>
        </w:pBdr>
        <w:spacing w:before="80" w:after="0"/>
        <w:ind w:right="62"/>
        <w:rPr>
          <w:szCs w:val="17"/>
          <w:lang w:val="en-US"/>
        </w:rPr>
      </w:pPr>
      <w:r w:rsidRPr="00611580">
        <w:rPr>
          <w:szCs w:val="17"/>
          <w:lang w:val="en-US"/>
        </w:rPr>
        <w:t>Dated</w:t>
      </w:r>
      <w:r>
        <w:rPr>
          <w:szCs w:val="17"/>
          <w:lang w:val="en-US"/>
        </w:rPr>
        <w:t>:</w:t>
      </w:r>
      <w:r w:rsidRPr="00611580">
        <w:rPr>
          <w:szCs w:val="17"/>
          <w:lang w:val="en-US"/>
        </w:rPr>
        <w:t xml:space="preserve"> </w:t>
      </w:r>
      <w:r>
        <w:rPr>
          <w:szCs w:val="17"/>
          <w:lang w:val="en-US"/>
        </w:rPr>
        <w:t>21 May 2020</w:t>
      </w:r>
      <w:r w:rsidRPr="00611580">
        <w:rPr>
          <w:szCs w:val="17"/>
          <w:lang w:val="en-US"/>
        </w:rPr>
        <w:t xml:space="preserve"> </w:t>
      </w:r>
    </w:p>
    <w:p w:rsidR="00E561E8" w:rsidRDefault="00E561E8" w:rsidP="00E561E8">
      <w:pPr>
        <w:spacing w:after="0"/>
        <w:ind w:right="62"/>
        <w:jc w:val="right"/>
        <w:rPr>
          <w:smallCaps/>
          <w:szCs w:val="17"/>
          <w:lang w:val="en-US"/>
        </w:rPr>
      </w:pPr>
      <w:r>
        <w:rPr>
          <w:smallCaps/>
          <w:szCs w:val="17"/>
          <w:lang w:val="en-US"/>
        </w:rPr>
        <w:t>Craig Thompson</w:t>
      </w:r>
    </w:p>
    <w:p w:rsidR="00E561E8" w:rsidRDefault="00E561E8" w:rsidP="00E561E8">
      <w:pPr>
        <w:spacing w:after="0"/>
        <w:ind w:right="62"/>
        <w:jc w:val="right"/>
        <w:rPr>
          <w:szCs w:val="17"/>
          <w:lang w:val="en-US"/>
        </w:rPr>
      </w:pPr>
      <w:r>
        <w:rPr>
          <w:szCs w:val="17"/>
          <w:lang w:val="en-US"/>
        </w:rPr>
        <w:t xml:space="preserve">Acting </w:t>
      </w:r>
      <w:r w:rsidRPr="004D1161">
        <w:rPr>
          <w:szCs w:val="17"/>
          <w:lang w:val="en-US"/>
        </w:rPr>
        <w:t>Housing Regulator and Registrar</w:t>
      </w:r>
    </w:p>
    <w:p w:rsidR="00E561E8" w:rsidRDefault="00E561E8" w:rsidP="00E561E8">
      <w:pPr>
        <w:spacing w:after="0"/>
        <w:ind w:right="62"/>
        <w:jc w:val="right"/>
        <w:rPr>
          <w:szCs w:val="17"/>
          <w:lang w:val="en-US"/>
        </w:rPr>
      </w:pPr>
      <w:r w:rsidRPr="004D1161">
        <w:rPr>
          <w:szCs w:val="17"/>
          <w:lang w:val="en-US"/>
        </w:rPr>
        <w:t xml:space="preserve">Housing </w:t>
      </w:r>
      <w:r>
        <w:rPr>
          <w:szCs w:val="17"/>
          <w:lang w:val="en-US"/>
        </w:rPr>
        <w:t>Safety Authority,</w:t>
      </w:r>
      <w:r w:rsidRPr="008E6C99">
        <w:rPr>
          <w:szCs w:val="17"/>
          <w:lang w:val="en-US"/>
        </w:rPr>
        <w:t xml:space="preserve"> SA</w:t>
      </w:r>
      <w:r>
        <w:rPr>
          <w:szCs w:val="17"/>
          <w:lang w:val="en-US"/>
        </w:rPr>
        <w:t>HA</w:t>
      </w:r>
    </w:p>
    <w:p w:rsidR="00E561E8" w:rsidRDefault="00E561E8" w:rsidP="00E561E8">
      <w:pPr>
        <w:spacing w:after="0"/>
        <w:ind w:right="62"/>
        <w:jc w:val="right"/>
        <w:rPr>
          <w:szCs w:val="17"/>
          <w:lang w:val="en-US"/>
        </w:rPr>
      </w:pPr>
      <w:r w:rsidRPr="008E6C99">
        <w:rPr>
          <w:szCs w:val="17"/>
          <w:lang w:val="en-US"/>
        </w:rPr>
        <w:t xml:space="preserve">Delegate of Minister for </w:t>
      </w:r>
      <w:r w:rsidRPr="006477F7">
        <w:rPr>
          <w:szCs w:val="17"/>
          <w:lang w:val="en-US"/>
        </w:rPr>
        <w:t>Human Services</w:t>
      </w:r>
    </w:p>
    <w:p w:rsidR="00E561E8" w:rsidRDefault="00E561E8" w:rsidP="00E561E8">
      <w:pPr>
        <w:pBdr>
          <w:bottom w:val="single" w:sz="4" w:space="1" w:color="auto"/>
        </w:pBdr>
        <w:spacing w:after="0" w:line="52" w:lineRule="exact"/>
        <w:jc w:val="center"/>
        <w:rPr>
          <w:szCs w:val="17"/>
          <w:lang w:val="en-US"/>
        </w:rPr>
      </w:pPr>
    </w:p>
    <w:p w:rsidR="00E561E8" w:rsidRDefault="00E561E8" w:rsidP="00E561E8">
      <w:pPr>
        <w:pBdr>
          <w:top w:val="single" w:sz="4" w:space="1" w:color="auto"/>
        </w:pBdr>
        <w:spacing w:before="34" w:after="0" w:line="14" w:lineRule="exact"/>
        <w:jc w:val="center"/>
        <w:rPr>
          <w:szCs w:val="17"/>
          <w:lang w:val="en-US"/>
        </w:rPr>
      </w:pPr>
    </w:p>
    <w:p w:rsidR="005C37EF" w:rsidRDefault="005C37EF" w:rsidP="005C37EF">
      <w:pPr>
        <w:pStyle w:val="GG-body"/>
        <w:spacing w:after="0"/>
        <w:rPr>
          <w:lang w:val="en-US"/>
        </w:rPr>
      </w:pPr>
    </w:p>
    <w:p w:rsidR="00E561E8" w:rsidRPr="00DC725C" w:rsidRDefault="00E561E8" w:rsidP="00BB557D">
      <w:pPr>
        <w:pStyle w:val="Heading2"/>
      </w:pPr>
      <w:bookmarkStart w:id="63" w:name="_Toc40954877"/>
      <w:r w:rsidRPr="00DC725C">
        <w:t>LAND ACQUISITION ACT 1969</w:t>
      </w:r>
      <w:bookmarkEnd w:id="63"/>
    </w:p>
    <w:p w:rsidR="00E561E8" w:rsidRDefault="00E561E8" w:rsidP="00E561E8">
      <w:pPr>
        <w:pStyle w:val="GG-Title2"/>
      </w:pPr>
      <w:r>
        <w:t>Section 16</w:t>
      </w:r>
    </w:p>
    <w:p w:rsidR="00E561E8" w:rsidRDefault="00E561E8" w:rsidP="00E561E8">
      <w:pPr>
        <w:pStyle w:val="GG-Title3"/>
        <w:spacing w:after="0"/>
      </w:pPr>
      <w:r w:rsidRPr="00DC725C">
        <w:t>Notice of Acquisition</w:t>
      </w:r>
      <w:r>
        <w:t>—</w:t>
      </w:r>
      <w:r w:rsidRPr="00DC725C">
        <w:t>Form 5</w:t>
      </w:r>
    </w:p>
    <w:p w:rsidR="00E561E8" w:rsidRDefault="00E561E8" w:rsidP="00E561E8">
      <w:pPr>
        <w:pStyle w:val="GG-body"/>
        <w:tabs>
          <w:tab w:val="left" w:pos="350"/>
        </w:tabs>
        <w:rPr>
          <w:b/>
        </w:rPr>
      </w:pPr>
      <w:r w:rsidRPr="00DC725C">
        <w:rPr>
          <w:b/>
        </w:rPr>
        <w:t>1.</w:t>
      </w:r>
      <w:r w:rsidRPr="00DC725C">
        <w:rPr>
          <w:b/>
        </w:rPr>
        <w:tab/>
        <w:t>Notice of acquisition</w:t>
      </w:r>
    </w:p>
    <w:p w:rsidR="00E561E8" w:rsidRDefault="00E561E8" w:rsidP="00E561E8">
      <w:pPr>
        <w:pStyle w:val="GG-body"/>
        <w:ind w:left="320"/>
      </w:pPr>
      <w:r w:rsidRPr="00DC725C">
        <w:t>The Commissioner of Highways (the Authority), of 50 Flinders Street, Adelaide SA 5000, acquires the following interests in the following land:</w:t>
      </w:r>
    </w:p>
    <w:p w:rsidR="00E561E8" w:rsidRPr="00FE0368" w:rsidRDefault="00E561E8" w:rsidP="00E561E8">
      <w:pPr>
        <w:pStyle w:val="GG-body"/>
        <w:ind w:left="480"/>
      </w:pPr>
      <w:r w:rsidRPr="00FE0368">
        <w:t xml:space="preserve">Comprising an unencumbered estate in fee simple in that piece of land being the following: </w:t>
      </w:r>
    </w:p>
    <w:p w:rsidR="00E561E8" w:rsidRPr="00FE0368" w:rsidRDefault="00E561E8" w:rsidP="00E561E8">
      <w:pPr>
        <w:pStyle w:val="GG-body"/>
        <w:tabs>
          <w:tab w:val="left" w:pos="1701"/>
        </w:tabs>
        <w:spacing w:after="0"/>
        <w:ind w:left="640"/>
      </w:pPr>
      <w:r w:rsidRPr="00FE0368">
        <w:t>First:</w:t>
      </w:r>
      <w:r w:rsidRPr="00FE0368">
        <w:tab/>
        <w:t>Whole of Allotment 54 in Filed Plan No 139534 comprised in Certificate of Title Volume 5558 Folio 190</w:t>
      </w:r>
    </w:p>
    <w:p w:rsidR="00E561E8" w:rsidRPr="00FE0368" w:rsidRDefault="00E561E8" w:rsidP="00E561E8">
      <w:pPr>
        <w:pStyle w:val="GG-body"/>
        <w:tabs>
          <w:tab w:val="left" w:pos="1701"/>
        </w:tabs>
        <w:ind w:left="640"/>
      </w:pPr>
      <w:r>
        <w:t>Secondly:</w:t>
      </w:r>
      <w:r w:rsidRPr="00FE0368">
        <w:tab/>
        <w:t>Whole of Allotment 55 in Filed Plan No 139535 comprised in Certificate of Title Volume 5558 Folio 191</w:t>
      </w:r>
    </w:p>
    <w:p w:rsidR="00E561E8" w:rsidRDefault="00E561E8" w:rsidP="00E561E8">
      <w:pPr>
        <w:pStyle w:val="GG-body"/>
        <w:ind w:left="320"/>
      </w:pPr>
      <w:r w:rsidRPr="00DC725C">
        <w:t xml:space="preserve">This notice is given under section 16 of the </w:t>
      </w:r>
      <w:r w:rsidRPr="00DC725C">
        <w:rPr>
          <w:i/>
        </w:rPr>
        <w:t>Land Acquisition Act 1969.</w:t>
      </w:r>
    </w:p>
    <w:p w:rsidR="00E561E8" w:rsidRDefault="00E561E8" w:rsidP="00E561E8">
      <w:pPr>
        <w:pStyle w:val="GG-body"/>
        <w:tabs>
          <w:tab w:val="left" w:pos="350"/>
        </w:tabs>
        <w:rPr>
          <w:b/>
        </w:rPr>
      </w:pPr>
      <w:r w:rsidRPr="00DC725C">
        <w:rPr>
          <w:b/>
        </w:rPr>
        <w:t>2.</w:t>
      </w:r>
      <w:r w:rsidRPr="00DC725C">
        <w:rPr>
          <w:b/>
        </w:rPr>
        <w:tab/>
        <w:t>Compensation</w:t>
      </w:r>
    </w:p>
    <w:p w:rsidR="00E561E8" w:rsidRDefault="00E561E8" w:rsidP="00E561E8">
      <w:pPr>
        <w:pStyle w:val="GG-body"/>
        <w:ind w:left="320"/>
      </w:pPr>
      <w:r w:rsidRPr="00DC725C">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E561E8" w:rsidRDefault="00E561E8" w:rsidP="00E561E8">
      <w:pPr>
        <w:pStyle w:val="GG-body"/>
        <w:tabs>
          <w:tab w:val="left" w:pos="350"/>
        </w:tabs>
        <w:rPr>
          <w:b/>
        </w:rPr>
      </w:pPr>
      <w:r w:rsidRPr="00DC725C">
        <w:rPr>
          <w:b/>
        </w:rPr>
        <w:t>3.</w:t>
      </w:r>
      <w:r w:rsidRPr="00DC725C">
        <w:rPr>
          <w:b/>
        </w:rPr>
        <w:tab/>
        <w:t>Inquiries</w:t>
      </w:r>
    </w:p>
    <w:p w:rsidR="00E561E8" w:rsidRDefault="00E561E8" w:rsidP="00E561E8">
      <w:pPr>
        <w:pStyle w:val="GG-body"/>
        <w:ind w:left="320"/>
      </w:pPr>
      <w:r w:rsidRPr="00DC725C">
        <w:t>Inquiries should be directed to:</w:t>
      </w:r>
    </w:p>
    <w:p w:rsidR="00E561E8" w:rsidRDefault="00E561E8" w:rsidP="00E561E8">
      <w:pPr>
        <w:pStyle w:val="GG-body"/>
        <w:spacing w:after="0"/>
        <w:ind w:left="480"/>
      </w:pPr>
      <w:r>
        <w:t>Ric Lohmeyer</w:t>
      </w:r>
    </w:p>
    <w:p w:rsidR="00E561E8" w:rsidRDefault="00E561E8" w:rsidP="00E561E8">
      <w:pPr>
        <w:pStyle w:val="GG-body"/>
        <w:spacing w:after="0"/>
        <w:ind w:left="480"/>
      </w:pPr>
      <w:r>
        <w:t>GPO Box 1533</w:t>
      </w:r>
    </w:p>
    <w:p w:rsidR="00E561E8" w:rsidRDefault="00E561E8" w:rsidP="00E561E8">
      <w:pPr>
        <w:pStyle w:val="GG-body"/>
        <w:spacing w:after="0"/>
        <w:ind w:left="480"/>
      </w:pPr>
      <w:r>
        <w:t>Adelaide  SA  5001</w:t>
      </w:r>
    </w:p>
    <w:p w:rsidR="00E561E8" w:rsidRDefault="00E561E8" w:rsidP="00E561E8">
      <w:pPr>
        <w:pStyle w:val="GG-body"/>
        <w:ind w:left="480"/>
      </w:pPr>
      <w:r>
        <w:t>Telephone: (08) 8343 2554</w:t>
      </w:r>
    </w:p>
    <w:p w:rsidR="00E561E8" w:rsidRDefault="00E561E8" w:rsidP="00E561E8">
      <w:pPr>
        <w:pStyle w:val="GG-body"/>
      </w:pPr>
      <w:r>
        <w:t>Dated: 18 May 2020</w:t>
      </w:r>
    </w:p>
    <w:p w:rsidR="00E561E8" w:rsidRPr="00C3151C" w:rsidRDefault="00E561E8" w:rsidP="00E561E8">
      <w:pPr>
        <w:pStyle w:val="GG-body"/>
      </w:pPr>
      <w:r w:rsidRPr="00C3151C">
        <w:t>The Common Seal of the COMMISSIONER OF HIGHWAYS was hereto affixed by authority of the Commissioner in the presence of:</w:t>
      </w:r>
    </w:p>
    <w:p w:rsidR="00E561E8" w:rsidRPr="00DC725C" w:rsidRDefault="00E561E8" w:rsidP="00E561E8">
      <w:pPr>
        <w:pStyle w:val="GG-SName"/>
      </w:pPr>
      <w:r w:rsidRPr="00DC725C">
        <w:t>Rocco Caruso</w:t>
      </w:r>
    </w:p>
    <w:p w:rsidR="00E561E8" w:rsidRPr="00DC725C" w:rsidRDefault="00E561E8" w:rsidP="00E561E8">
      <w:pPr>
        <w:pStyle w:val="GG-Signature"/>
      </w:pPr>
      <w:r w:rsidRPr="00DC725C">
        <w:t>Manager, Property Acquisition</w:t>
      </w:r>
    </w:p>
    <w:p w:rsidR="00E561E8" w:rsidRPr="00DC725C" w:rsidRDefault="00E561E8" w:rsidP="00E561E8">
      <w:pPr>
        <w:pStyle w:val="GG-Signature"/>
      </w:pPr>
      <w:r>
        <w:t>Authorised Officer</w:t>
      </w:r>
    </w:p>
    <w:p w:rsidR="00E561E8" w:rsidRDefault="00E561E8" w:rsidP="00E561E8">
      <w:pPr>
        <w:pStyle w:val="GG-Signature"/>
      </w:pPr>
      <w:r w:rsidRPr="00DC725C">
        <w:t>Department of Planning, Transport and Infrastructure</w:t>
      </w:r>
    </w:p>
    <w:p w:rsidR="00E561E8" w:rsidRDefault="00E561E8" w:rsidP="00C96CE7">
      <w:pPr>
        <w:pStyle w:val="GG-SDated"/>
      </w:pPr>
      <w:r w:rsidRPr="00FE0368">
        <w:t>DPTI 2019/11309/01</w:t>
      </w:r>
    </w:p>
    <w:p w:rsidR="00C96CE7" w:rsidRDefault="00C96CE7" w:rsidP="00C96CE7">
      <w:pPr>
        <w:pStyle w:val="GG-body"/>
        <w:pBdr>
          <w:bottom w:val="single" w:sz="4" w:space="1" w:color="auto"/>
        </w:pBdr>
        <w:spacing w:after="0" w:line="52" w:lineRule="exact"/>
        <w:jc w:val="center"/>
      </w:pPr>
    </w:p>
    <w:p w:rsidR="00C96CE7" w:rsidRDefault="00C96CE7" w:rsidP="00C96CE7">
      <w:pPr>
        <w:pStyle w:val="GG-body"/>
        <w:pBdr>
          <w:top w:val="single" w:sz="4" w:space="1" w:color="auto"/>
        </w:pBdr>
        <w:spacing w:before="34" w:after="0" w:line="14" w:lineRule="exact"/>
        <w:jc w:val="center"/>
      </w:pPr>
    </w:p>
    <w:p w:rsidR="00E561E8" w:rsidRDefault="00E561E8" w:rsidP="005C37EF">
      <w:pPr>
        <w:pStyle w:val="GG-body"/>
        <w:spacing w:after="0"/>
        <w:rPr>
          <w:lang w:val="en-US"/>
        </w:rPr>
      </w:pPr>
    </w:p>
    <w:p w:rsidR="00C96CE7" w:rsidRPr="00BB23D2" w:rsidRDefault="00C96CE7" w:rsidP="00BB557D">
      <w:pPr>
        <w:pStyle w:val="Heading2"/>
      </w:pPr>
      <w:bookmarkStart w:id="64" w:name="_Toc40954878"/>
      <w:r w:rsidRPr="00BB23D2">
        <w:t>Livestock Act 1997</w:t>
      </w:r>
      <w:bookmarkEnd w:id="64"/>
      <w:r w:rsidRPr="00BB23D2">
        <w:t xml:space="preserve"> </w:t>
      </w:r>
    </w:p>
    <w:p w:rsidR="00C96CE7" w:rsidRPr="00BB23D2" w:rsidRDefault="00C96CE7" w:rsidP="00C96CE7">
      <w:pPr>
        <w:pStyle w:val="GG-Title2"/>
      </w:pPr>
      <w:r>
        <w:t>Sections 33 a</w:t>
      </w:r>
      <w:r w:rsidRPr="00BB23D2">
        <w:t xml:space="preserve">nd 87 </w:t>
      </w:r>
    </w:p>
    <w:p w:rsidR="00C96CE7" w:rsidRPr="00BB23D2" w:rsidRDefault="00C96CE7" w:rsidP="00C96CE7">
      <w:pPr>
        <w:pStyle w:val="GG-Title3"/>
      </w:pPr>
      <w:r w:rsidRPr="00BB23D2">
        <w:t>Notice by the Chief Inspector of</w:t>
      </w:r>
      <w:r>
        <w:t xml:space="preserve"> Stock—</w:t>
      </w:r>
      <w:r w:rsidRPr="00BB23D2">
        <w:t xml:space="preserve">Revocation of a Notice made in Relation to the </w:t>
      </w:r>
      <w:r>
        <w:br/>
      </w:r>
      <w:r w:rsidRPr="00BB23D2">
        <w:t xml:space="preserve">Entry of Livestock, Livestock Products and Other Property into South Australia or a Specified Part </w:t>
      </w:r>
      <w:r>
        <w:t>of the State</w:t>
      </w:r>
    </w:p>
    <w:p w:rsidR="00C96CE7" w:rsidRDefault="00C96CE7" w:rsidP="00C96CE7">
      <w:pPr>
        <w:pStyle w:val="GG-body"/>
      </w:pPr>
      <w:r w:rsidRPr="00BB23D2">
        <w:t xml:space="preserve">PURSUANT to Section 87 of the </w:t>
      </w:r>
      <w:r w:rsidRPr="00BB23D2">
        <w:rPr>
          <w:i/>
        </w:rPr>
        <w:t>Livestock Act 1997</w:t>
      </w:r>
      <w:r w:rsidRPr="00BB23D2">
        <w:t xml:space="preserve">, I, Mary Ruth Carr, Chief Inspector of Stock, delegate of the Minister for Primary Industries and Regional Development, revoke the notice made by the Minister for Primary Industries and Regional Development pursuant to section 33 of the </w:t>
      </w:r>
      <w:r w:rsidRPr="00BB23D2">
        <w:rPr>
          <w:i/>
        </w:rPr>
        <w:t>Livestock Act 1997</w:t>
      </w:r>
      <w:r w:rsidRPr="00BB23D2">
        <w:t xml:space="preserve"> on 26 June 2019, published on 4 July 2019, page 2599. </w:t>
      </w:r>
    </w:p>
    <w:p w:rsidR="00C96CE7" w:rsidRPr="00BB23D2" w:rsidRDefault="00C96CE7" w:rsidP="00C96CE7">
      <w:pPr>
        <w:pStyle w:val="GG-SDated"/>
      </w:pPr>
      <w:r w:rsidRPr="00BB23D2">
        <w:t xml:space="preserve">Dated: 13 May 2020  </w:t>
      </w:r>
    </w:p>
    <w:p w:rsidR="00C96CE7" w:rsidRPr="00BB23D2" w:rsidRDefault="00C96CE7" w:rsidP="00C96CE7">
      <w:pPr>
        <w:pStyle w:val="GG-SName"/>
      </w:pPr>
      <w:r w:rsidRPr="00BB23D2">
        <w:t xml:space="preserve">Mary Ruth Carr </w:t>
      </w:r>
    </w:p>
    <w:p w:rsidR="00C96CE7" w:rsidRPr="00BB23D2" w:rsidRDefault="00C96CE7" w:rsidP="00C96CE7">
      <w:pPr>
        <w:pStyle w:val="GG-Signature"/>
      </w:pPr>
      <w:r>
        <w:t>Chief Inspector of Stock</w:t>
      </w:r>
    </w:p>
    <w:p w:rsidR="00C96CE7" w:rsidRDefault="00C96CE7" w:rsidP="00C96CE7">
      <w:pPr>
        <w:pStyle w:val="GG-Signature"/>
      </w:pPr>
      <w:r w:rsidRPr="00BB23D2">
        <w:t>Delegate of the Minister for Primary Industries and Regional Development</w:t>
      </w:r>
    </w:p>
    <w:p w:rsidR="00C96CE7" w:rsidRDefault="00C96CE7" w:rsidP="00C96CE7">
      <w:pPr>
        <w:pStyle w:val="GG-Signature"/>
        <w:pBdr>
          <w:bottom w:val="single" w:sz="4" w:space="1" w:color="auto"/>
        </w:pBdr>
        <w:spacing w:line="52" w:lineRule="exact"/>
        <w:jc w:val="center"/>
      </w:pPr>
    </w:p>
    <w:p w:rsidR="00C96CE7" w:rsidRDefault="00C96CE7" w:rsidP="00C96CE7">
      <w:pPr>
        <w:pStyle w:val="GG-Signature"/>
        <w:pBdr>
          <w:top w:val="single" w:sz="4" w:space="1" w:color="auto"/>
        </w:pBdr>
        <w:spacing w:before="34" w:line="14" w:lineRule="exact"/>
        <w:jc w:val="center"/>
      </w:pPr>
    </w:p>
    <w:p w:rsidR="005C37EF" w:rsidRDefault="005C37EF" w:rsidP="005C37EF">
      <w:pPr>
        <w:pStyle w:val="GG-body"/>
        <w:spacing w:after="0"/>
        <w:rPr>
          <w:lang w:val="en-US"/>
        </w:rPr>
      </w:pPr>
    </w:p>
    <w:p w:rsidR="00C96CE7" w:rsidRPr="003C1132" w:rsidRDefault="00C96CE7" w:rsidP="00BB557D">
      <w:pPr>
        <w:pStyle w:val="Heading2"/>
      </w:pPr>
      <w:bookmarkStart w:id="65" w:name="_Toc40954879"/>
      <w:r w:rsidRPr="003C1132">
        <w:t>Motor Vehicle Accidents (Lifetime Support Scheme) Act 2013</w:t>
      </w:r>
      <w:bookmarkEnd w:id="65"/>
    </w:p>
    <w:p w:rsidR="00C96CE7" w:rsidRPr="003C1132" w:rsidRDefault="00C96CE7" w:rsidP="00C96CE7">
      <w:pPr>
        <w:pStyle w:val="GG-Title3"/>
        <w:rPr>
          <w:lang w:val="en-US"/>
        </w:rPr>
      </w:pPr>
      <w:r w:rsidRPr="003C1132">
        <w:rPr>
          <w:lang w:val="en-US"/>
        </w:rPr>
        <w:t xml:space="preserve">Notice of the 2020-21 Lifetime Support Scheme Fund Levy Schedule </w:t>
      </w:r>
    </w:p>
    <w:p w:rsidR="00C96CE7" w:rsidRPr="003C1132" w:rsidRDefault="00C96CE7" w:rsidP="00C96CE7">
      <w:pPr>
        <w:pStyle w:val="GG-body"/>
      </w:pPr>
      <w:r w:rsidRPr="003C1132">
        <w:t xml:space="preserve">PURSUANT to section 44 of the </w:t>
      </w:r>
      <w:r w:rsidRPr="003C1132">
        <w:rPr>
          <w:i/>
          <w:iCs/>
        </w:rPr>
        <w:t>Motor Vehicle Accidents (Lifetime Support Scheme) Act 2013,</w:t>
      </w:r>
      <w:r w:rsidRPr="003C1132">
        <w:t xml:space="preserve"> I, Stephen Wade, Minister for Health and Wellbeing, having determined, after consultation with the Lifetime Support Authority and the Treasurer, the scheme for the LSS Fund levy, hereby give notice that the amounts in the schedule below are payable by all persons who apply for any of the following under the </w:t>
      </w:r>
      <w:r w:rsidRPr="003C1132">
        <w:rPr>
          <w:i/>
          <w:iCs/>
        </w:rPr>
        <w:t>Motor Vehicles Act 1959</w:t>
      </w:r>
      <w:r w:rsidRPr="003C1132">
        <w:t xml:space="preserve"> from 1 July 2020 to 30 June 2021:</w:t>
      </w:r>
    </w:p>
    <w:p w:rsidR="00C96CE7" w:rsidRPr="003C1132" w:rsidRDefault="00C96CE7" w:rsidP="00391865">
      <w:pPr>
        <w:pStyle w:val="GG-body"/>
        <w:numPr>
          <w:ilvl w:val="0"/>
          <w:numId w:val="10"/>
        </w:numPr>
        <w:ind w:hanging="412"/>
      </w:pPr>
      <w:r>
        <w:br w:type="page"/>
      </w:r>
      <w:r w:rsidRPr="003C1132">
        <w:lastRenderedPageBreak/>
        <w:t>the registration of a motor vehicle;</w:t>
      </w:r>
    </w:p>
    <w:p w:rsidR="00C96CE7" w:rsidRPr="003C1132" w:rsidRDefault="00C96CE7" w:rsidP="00391865">
      <w:pPr>
        <w:pStyle w:val="GG-body"/>
        <w:numPr>
          <w:ilvl w:val="0"/>
          <w:numId w:val="10"/>
        </w:numPr>
        <w:ind w:hanging="412"/>
      </w:pPr>
      <w:r w:rsidRPr="003C1132">
        <w:t>an exemption from registration in respect of a motor vehicle;</w:t>
      </w:r>
    </w:p>
    <w:p w:rsidR="00C96CE7" w:rsidRPr="003C1132" w:rsidRDefault="00C96CE7" w:rsidP="00391865">
      <w:pPr>
        <w:pStyle w:val="GG-body"/>
        <w:numPr>
          <w:ilvl w:val="0"/>
          <w:numId w:val="10"/>
        </w:numPr>
        <w:ind w:hanging="412"/>
      </w:pPr>
      <w:r w:rsidRPr="003C1132">
        <w:t>a permit in respect of a motor vehicle</w:t>
      </w:r>
    </w:p>
    <w:p w:rsidR="00C96CE7" w:rsidRPr="003C1132" w:rsidRDefault="00C96CE7" w:rsidP="00C96CE7">
      <w:pPr>
        <w:pStyle w:val="GG-SDated"/>
      </w:pPr>
      <w:r w:rsidRPr="003C1132">
        <w:t>Dated</w:t>
      </w:r>
      <w:r>
        <w:t xml:space="preserve">: 2 </w:t>
      </w:r>
      <w:r w:rsidRPr="003C1132">
        <w:t xml:space="preserve">May 2020 </w:t>
      </w:r>
    </w:p>
    <w:p w:rsidR="00C96CE7" w:rsidRPr="003C1132" w:rsidRDefault="00C96CE7" w:rsidP="00C96CE7">
      <w:pPr>
        <w:pStyle w:val="GG-SName"/>
      </w:pPr>
      <w:r w:rsidRPr="003C1132">
        <w:t>Hon Stephen Wade MLC</w:t>
      </w:r>
    </w:p>
    <w:p w:rsidR="00C96CE7" w:rsidRDefault="00C96CE7" w:rsidP="00C96CE7">
      <w:pPr>
        <w:pStyle w:val="GG-Signature"/>
      </w:pPr>
      <w:r w:rsidRPr="003C1132">
        <w:t>Minister for Health and Wellbeing</w:t>
      </w:r>
    </w:p>
    <w:p w:rsidR="00C96CE7" w:rsidRDefault="00C96CE7" w:rsidP="00C96CE7">
      <w:pPr>
        <w:pStyle w:val="GG-Signature"/>
        <w:pBdr>
          <w:top w:val="single" w:sz="4" w:space="1" w:color="auto"/>
        </w:pBdr>
        <w:spacing w:before="100" w:after="80" w:line="14" w:lineRule="exact"/>
        <w:ind w:left="1080" w:right="1080"/>
        <w:jc w:val="center"/>
      </w:pPr>
    </w:p>
    <w:tbl>
      <w:tblPr>
        <w:tblpPr w:leftFromText="180" w:rightFromText="180" w:vertAnchor="text" w:horzAnchor="margin" w:tblpX="108" w:tblpY="325"/>
        <w:tblW w:w="4905" w:type="pct"/>
        <w:tblBorders>
          <w:top w:val="single" w:sz="4" w:space="0" w:color="auto"/>
          <w:bottom w:val="single" w:sz="4" w:space="0" w:color="auto"/>
        </w:tblBorders>
        <w:tblLayout w:type="fixed"/>
        <w:tblLook w:val="04A0" w:firstRow="1" w:lastRow="0" w:firstColumn="1" w:lastColumn="0" w:noHBand="0" w:noVBand="1"/>
      </w:tblPr>
      <w:tblGrid>
        <w:gridCol w:w="1034"/>
        <w:gridCol w:w="3052"/>
        <w:gridCol w:w="884"/>
        <w:gridCol w:w="884"/>
        <w:gridCol w:w="884"/>
        <w:gridCol w:w="884"/>
        <w:gridCol w:w="884"/>
        <w:gridCol w:w="882"/>
      </w:tblGrid>
      <w:tr w:rsidR="00C96CE7" w:rsidRPr="003C1132" w:rsidTr="00C96CE7">
        <w:trPr>
          <w:trHeight w:val="227"/>
        </w:trPr>
        <w:tc>
          <w:tcPr>
            <w:tcW w:w="550"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Levy Class</w:t>
            </w:r>
          </w:p>
        </w:tc>
        <w:tc>
          <w:tcPr>
            <w:tcW w:w="1625"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Vehicle Description</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District</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1 month</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3 months</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6 months</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9 months</w:t>
            </w:r>
          </w:p>
        </w:tc>
        <w:tc>
          <w:tcPr>
            <w:tcW w:w="471" w:type="pct"/>
            <w:tcBorders>
              <w:top w:val="single" w:sz="4" w:space="0" w:color="auto"/>
              <w:bottom w:val="nil"/>
            </w:tcBorders>
            <w:shd w:val="clear" w:color="auto" w:fill="auto"/>
            <w:vAlign w:val="center"/>
            <w:hideMark/>
          </w:tcPr>
          <w:p w:rsidR="00C96CE7" w:rsidRPr="003C1132" w:rsidRDefault="00C96CE7" w:rsidP="00C96CE7">
            <w:pPr>
              <w:pStyle w:val="GG-body"/>
              <w:spacing w:before="20" w:after="20"/>
              <w:jc w:val="center"/>
              <w:rPr>
                <w:b/>
              </w:rPr>
            </w:pPr>
            <w:r w:rsidRPr="003C1132">
              <w:rPr>
                <w:b/>
              </w:rPr>
              <w:t>Annual</w:t>
            </w:r>
          </w:p>
        </w:tc>
      </w:tr>
      <w:tr w:rsidR="00C96CE7" w:rsidRPr="003C1132" w:rsidTr="00C96CE7">
        <w:trPr>
          <w:trHeight w:val="227"/>
        </w:trPr>
        <w:tc>
          <w:tcPr>
            <w:tcW w:w="550"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p>
        </w:tc>
        <w:tc>
          <w:tcPr>
            <w:tcW w:w="1625" w:type="pct"/>
            <w:tcBorders>
              <w:top w:val="nil"/>
              <w:bottom w:val="single" w:sz="4" w:space="0" w:color="auto"/>
            </w:tcBorders>
            <w:shd w:val="clear" w:color="auto" w:fill="auto"/>
            <w:noWrap/>
            <w:vAlign w:val="bottom"/>
          </w:tcPr>
          <w:p w:rsidR="00C96CE7" w:rsidRPr="003C1132" w:rsidRDefault="00C96CE7" w:rsidP="00C96CE7">
            <w:pPr>
              <w:pStyle w:val="GG-body"/>
              <w:spacing w:before="20" w:after="20"/>
              <w:jc w:val="center"/>
              <w:rPr>
                <w:b/>
              </w:rPr>
            </w:pP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r w:rsidRPr="003C1132">
              <w:rPr>
                <w:b/>
              </w:rPr>
              <w:t>$</w:t>
            </w: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r w:rsidRPr="003C1132">
              <w:rPr>
                <w:b/>
              </w:rPr>
              <w:t>$</w:t>
            </w: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r w:rsidRPr="003C1132">
              <w:rPr>
                <w:b/>
              </w:rPr>
              <w:t>$</w:t>
            </w: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r w:rsidRPr="003C1132">
              <w:rPr>
                <w:b/>
              </w:rPr>
              <w:t>$</w:t>
            </w:r>
          </w:p>
        </w:tc>
        <w:tc>
          <w:tcPr>
            <w:tcW w:w="471" w:type="pct"/>
            <w:tcBorders>
              <w:top w:val="nil"/>
              <w:bottom w:val="single" w:sz="4" w:space="0" w:color="auto"/>
            </w:tcBorders>
            <w:shd w:val="clear" w:color="auto" w:fill="auto"/>
            <w:noWrap/>
            <w:vAlign w:val="bottom"/>
            <w:hideMark/>
          </w:tcPr>
          <w:p w:rsidR="00C96CE7" w:rsidRPr="003C1132" w:rsidRDefault="00C96CE7" w:rsidP="00C96CE7">
            <w:pPr>
              <w:pStyle w:val="GG-body"/>
              <w:spacing w:before="20" w:after="20"/>
              <w:jc w:val="center"/>
              <w:rPr>
                <w:b/>
              </w:rPr>
            </w:pPr>
            <w:r w:rsidRPr="003C1132">
              <w:rPr>
                <w:b/>
              </w:rPr>
              <w:t>$</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A</w:t>
            </w:r>
          </w:p>
        </w:tc>
        <w:tc>
          <w:tcPr>
            <w:tcW w:w="1625" w:type="pct"/>
            <w:shd w:val="clear" w:color="auto" w:fill="auto"/>
            <w:noWrap/>
            <w:vAlign w:val="bottom"/>
            <w:hideMark/>
          </w:tcPr>
          <w:p w:rsidR="00C96CE7" w:rsidRPr="003C1132" w:rsidRDefault="00C96CE7" w:rsidP="00C96CE7">
            <w:pPr>
              <w:pStyle w:val="GG-body"/>
              <w:spacing w:before="20" w:after="20"/>
            </w:pPr>
            <w:r w:rsidRPr="003C1132">
              <w:t>Private or business passenger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29.40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58.79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88.19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117.59</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B</w:t>
            </w:r>
          </w:p>
        </w:tc>
        <w:tc>
          <w:tcPr>
            <w:tcW w:w="1625" w:type="pct"/>
            <w:shd w:val="clear" w:color="auto" w:fill="auto"/>
            <w:noWrap/>
            <w:vAlign w:val="bottom"/>
            <w:hideMark/>
          </w:tcPr>
          <w:p w:rsidR="00C96CE7" w:rsidRPr="003C1132" w:rsidRDefault="00C96CE7" w:rsidP="00C96CE7">
            <w:pPr>
              <w:pStyle w:val="GG-body"/>
              <w:spacing w:before="20" w:after="20"/>
            </w:pPr>
            <w:r w:rsidRPr="003C1132">
              <w:t>Private or business passenger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7.77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23.30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46.59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69.89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93.18</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C</w:t>
            </w:r>
          </w:p>
        </w:tc>
        <w:tc>
          <w:tcPr>
            <w:tcW w:w="1625" w:type="pct"/>
            <w:shd w:val="clear" w:color="auto" w:fill="auto"/>
            <w:noWrap/>
            <w:vAlign w:val="bottom"/>
            <w:hideMark/>
          </w:tcPr>
          <w:p w:rsidR="00C96CE7" w:rsidRPr="003C1132" w:rsidRDefault="00C96CE7" w:rsidP="00C96CE7">
            <w:pPr>
              <w:pStyle w:val="GG-body"/>
              <w:spacing w:before="20" w:after="20"/>
            </w:pPr>
            <w:r w:rsidRPr="003C1132">
              <w:t>Goods carrying vehicles - light</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11.56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34.67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104.00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138.66</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D</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Goods carrying vehicles - light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62.40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83.20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E</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Taxis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39.28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117.83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235.65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353.48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471.30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F</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Taxis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18.12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54.36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108.72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163.08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217.44</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G</w:t>
            </w:r>
          </w:p>
        </w:tc>
        <w:tc>
          <w:tcPr>
            <w:tcW w:w="1625" w:type="pct"/>
            <w:shd w:val="clear" w:color="auto" w:fill="auto"/>
            <w:noWrap/>
            <w:vAlign w:val="bottom"/>
            <w:hideMark/>
          </w:tcPr>
          <w:p w:rsidR="00C96CE7" w:rsidRPr="003C1132" w:rsidRDefault="00C96CE7" w:rsidP="00C96CE7">
            <w:pPr>
              <w:pStyle w:val="GG-body"/>
              <w:spacing w:before="20" w:after="20"/>
            </w:pPr>
            <w:r w:rsidRPr="003C1132">
              <w:t>Hire and drive yourself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16.64</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49.92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99.84</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149.76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199.67</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H</w:t>
            </w:r>
          </w:p>
        </w:tc>
        <w:tc>
          <w:tcPr>
            <w:tcW w:w="1625" w:type="pct"/>
            <w:shd w:val="clear" w:color="auto" w:fill="auto"/>
            <w:noWrap/>
            <w:vAlign w:val="bottom"/>
            <w:hideMark/>
          </w:tcPr>
          <w:p w:rsidR="00C96CE7" w:rsidRPr="003C1132" w:rsidRDefault="00C96CE7" w:rsidP="00C96CE7">
            <w:pPr>
              <w:pStyle w:val="GG-body"/>
              <w:spacing w:before="20" w:after="20"/>
            </w:pPr>
            <w:r w:rsidRPr="003C1132">
              <w:t>Public passenger vehicles - no fare</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9.71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29.12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58.24</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87.36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116.48</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I</w:t>
            </w:r>
          </w:p>
        </w:tc>
        <w:tc>
          <w:tcPr>
            <w:tcW w:w="1625" w:type="pct"/>
            <w:shd w:val="clear" w:color="auto" w:fill="auto"/>
            <w:noWrap/>
            <w:vAlign w:val="bottom"/>
            <w:hideMark/>
          </w:tcPr>
          <w:p w:rsidR="00C96CE7" w:rsidRPr="003C1132" w:rsidRDefault="00C96CE7" w:rsidP="00C96CE7">
            <w:pPr>
              <w:pStyle w:val="GG-body"/>
              <w:spacing w:before="20" w:after="20"/>
            </w:pPr>
            <w:r w:rsidRPr="003C1132">
              <w:t>Public passenger vehicles - small</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83.20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124.80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166.39</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J</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Public passenger vehicles - medium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23.11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138.66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207.99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277.32</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K</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Public passenger vehicles - large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38.83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116.48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232.95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349.43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465.91</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L</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Public municipal omnibuses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120.17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360.52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721.04</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1,081.57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1,442.09</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M</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Goods carrying vehicles- medium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15.72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47.15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94.29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141.44</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188.58</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N</w:t>
            </w:r>
          </w:p>
        </w:tc>
        <w:tc>
          <w:tcPr>
            <w:tcW w:w="1625" w:type="pct"/>
            <w:shd w:val="clear" w:color="auto" w:fill="auto"/>
            <w:noWrap/>
            <w:vAlign w:val="bottom"/>
            <w:hideMark/>
          </w:tcPr>
          <w:p w:rsidR="00C96CE7" w:rsidRPr="003C1132" w:rsidRDefault="00C96CE7" w:rsidP="00C96CE7">
            <w:pPr>
              <w:pStyle w:val="GG-body"/>
              <w:spacing w:before="20" w:after="20"/>
            </w:pPr>
            <w:r w:rsidRPr="003C1132">
              <w:t>Goods carrying vehicles - heavy</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36.98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110.93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221.86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332.79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443.72</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O</w:t>
            </w:r>
          </w:p>
        </w:tc>
        <w:tc>
          <w:tcPr>
            <w:tcW w:w="1625" w:type="pct"/>
            <w:shd w:val="clear" w:color="auto" w:fill="auto"/>
            <w:noWrap/>
            <w:vAlign w:val="bottom"/>
            <w:hideMark/>
          </w:tcPr>
          <w:p w:rsidR="00C96CE7" w:rsidRPr="003C1132" w:rsidRDefault="00C96CE7" w:rsidP="00C96CE7">
            <w:pPr>
              <w:pStyle w:val="GG-body"/>
              <w:spacing w:before="20" w:after="20"/>
            </w:pPr>
            <w:r w:rsidRPr="003C1132">
              <w:t>Goods carrying vehicles - primary</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62.40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83.20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P</w:t>
            </w:r>
          </w:p>
        </w:tc>
        <w:tc>
          <w:tcPr>
            <w:tcW w:w="1625" w:type="pct"/>
            <w:shd w:val="clear" w:color="auto" w:fill="auto"/>
            <w:noWrap/>
            <w:vAlign w:val="bottom"/>
            <w:hideMark/>
          </w:tcPr>
          <w:p w:rsidR="00C96CE7" w:rsidRPr="003C1132" w:rsidRDefault="00C96CE7" w:rsidP="00C96CE7">
            <w:pPr>
              <w:pStyle w:val="GG-body"/>
              <w:spacing w:before="20" w:after="20"/>
            </w:pPr>
            <w:r w:rsidRPr="003C1132">
              <w:t>Small motorcycles (not exceeding 250cc)</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27.73</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Q</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Large motorcycles (exceeding 250cc)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6.01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18.03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36.05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54.08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72.10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R</w:t>
            </w:r>
          </w:p>
        </w:tc>
        <w:tc>
          <w:tcPr>
            <w:tcW w:w="1625" w:type="pct"/>
            <w:shd w:val="clear" w:color="auto" w:fill="auto"/>
            <w:noWrap/>
            <w:vAlign w:val="bottom"/>
            <w:hideMark/>
          </w:tcPr>
          <w:p w:rsidR="00C96CE7" w:rsidRPr="003C1132" w:rsidRDefault="00C96CE7" w:rsidP="00C96CE7">
            <w:pPr>
              <w:pStyle w:val="GG-body"/>
              <w:spacing w:before="20" w:after="20"/>
            </w:pPr>
            <w:r w:rsidRPr="003C1132">
              <w:t>Tractors &amp; other farm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3.05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6.10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9.15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12.20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S</w:t>
            </w:r>
          </w:p>
        </w:tc>
        <w:tc>
          <w:tcPr>
            <w:tcW w:w="1625" w:type="pct"/>
            <w:shd w:val="clear" w:color="auto" w:fill="auto"/>
            <w:noWrap/>
            <w:vAlign w:val="bottom"/>
            <w:hideMark/>
          </w:tcPr>
          <w:p w:rsidR="00C96CE7" w:rsidRPr="003C1132" w:rsidRDefault="00C96CE7" w:rsidP="00C96CE7">
            <w:pPr>
              <w:pStyle w:val="GG-body"/>
              <w:spacing w:before="20" w:after="20"/>
            </w:pPr>
            <w:r w:rsidRPr="003C1132">
              <w:t>Historic left hand drive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2.31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27.73</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T</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Special purpose vehicles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4.62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27.73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55.46</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U</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Car carrier extension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6.93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62.40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83.20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V</w:t>
            </w:r>
          </w:p>
        </w:tc>
        <w:tc>
          <w:tcPr>
            <w:tcW w:w="1625" w:type="pct"/>
            <w:shd w:val="clear" w:color="auto" w:fill="auto"/>
            <w:noWrap/>
            <w:vAlign w:val="bottom"/>
            <w:hideMark/>
          </w:tcPr>
          <w:p w:rsidR="00C96CE7" w:rsidRPr="003C1132" w:rsidRDefault="00C96CE7" w:rsidP="00C96CE7">
            <w:pPr>
              <w:pStyle w:val="GG-body"/>
              <w:spacing w:before="20" w:after="20"/>
            </w:pPr>
            <w:r w:rsidRPr="003C1132">
              <w:t>Goods carrying vehicles - primary</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5.08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15.25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30.51</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45.76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61.01</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W</w:t>
            </w:r>
          </w:p>
        </w:tc>
        <w:tc>
          <w:tcPr>
            <w:tcW w:w="1625" w:type="pct"/>
            <w:shd w:val="clear" w:color="auto" w:fill="auto"/>
            <w:noWrap/>
            <w:vAlign w:val="bottom"/>
            <w:hideMark/>
          </w:tcPr>
          <w:p w:rsidR="00C96CE7" w:rsidRPr="003C1132" w:rsidRDefault="00C96CE7" w:rsidP="00C96CE7">
            <w:pPr>
              <w:pStyle w:val="GG-body"/>
              <w:spacing w:before="20" w:after="20"/>
            </w:pPr>
            <w:r w:rsidRPr="003C1132">
              <w:t>Public passenger vehicles - medium</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12.02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36.05</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72.10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108.16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144.21</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X</w:t>
            </w:r>
          </w:p>
        </w:tc>
        <w:tc>
          <w:tcPr>
            <w:tcW w:w="1625" w:type="pct"/>
            <w:shd w:val="clear" w:color="auto" w:fill="auto"/>
            <w:noWrap/>
            <w:vAlign w:val="bottom"/>
            <w:hideMark/>
          </w:tcPr>
          <w:p w:rsidR="00C96CE7" w:rsidRPr="003C1132" w:rsidRDefault="00C96CE7" w:rsidP="00C96CE7">
            <w:pPr>
              <w:pStyle w:val="GG-body"/>
              <w:spacing w:before="20" w:after="20"/>
            </w:pPr>
            <w:r w:rsidRPr="003C1132">
              <w:t>Public passenger vehicles - large</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17.56</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52.69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105.38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158.07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210.77</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Y</w:t>
            </w:r>
          </w:p>
        </w:tc>
        <w:tc>
          <w:tcPr>
            <w:tcW w:w="1625" w:type="pct"/>
            <w:shd w:val="clear" w:color="auto" w:fill="auto"/>
            <w:noWrap/>
            <w:vAlign w:val="bottom"/>
            <w:hideMark/>
          </w:tcPr>
          <w:p w:rsidR="00C96CE7" w:rsidRPr="003C1132" w:rsidRDefault="00C96CE7" w:rsidP="00C96CE7">
            <w:pPr>
              <w:pStyle w:val="GG-body"/>
              <w:spacing w:before="20" w:after="20"/>
            </w:pPr>
            <w:r w:rsidRPr="003C1132">
              <w:t>Goods carrying vehicles - medium</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10.63</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31.89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63.78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95.68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127.57</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Z</w:t>
            </w:r>
          </w:p>
        </w:tc>
        <w:tc>
          <w:tcPr>
            <w:tcW w:w="1625" w:type="pct"/>
            <w:shd w:val="clear" w:color="auto" w:fill="auto"/>
            <w:noWrap/>
            <w:vAlign w:val="bottom"/>
            <w:hideMark/>
          </w:tcPr>
          <w:p w:rsidR="00C96CE7" w:rsidRPr="003C1132" w:rsidRDefault="00C96CE7" w:rsidP="00C96CE7">
            <w:pPr>
              <w:pStyle w:val="GG-body"/>
              <w:spacing w:before="20" w:after="20"/>
            </w:pPr>
            <w:r w:rsidRPr="003C1132">
              <w:t xml:space="preserve">Special purpose vehicles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3.70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11.09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22.19</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33.28</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44.37</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AA</w:t>
            </w:r>
          </w:p>
        </w:tc>
        <w:tc>
          <w:tcPr>
            <w:tcW w:w="1625" w:type="pct"/>
            <w:shd w:val="clear" w:color="auto" w:fill="auto"/>
            <w:noWrap/>
            <w:vAlign w:val="bottom"/>
            <w:hideMark/>
          </w:tcPr>
          <w:p w:rsidR="00C96CE7" w:rsidRPr="003C1132" w:rsidRDefault="00C96CE7" w:rsidP="00C96CE7">
            <w:pPr>
              <w:pStyle w:val="GG-body"/>
              <w:spacing w:before="20" w:after="20"/>
            </w:pPr>
            <w:r w:rsidRPr="003C1132">
              <w:t>Rideshare vehicles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13.87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41.60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83.20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124.80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166.39</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Permit</w:t>
            </w:r>
          </w:p>
        </w:tc>
        <w:tc>
          <w:tcPr>
            <w:tcW w:w="1625" w:type="pct"/>
            <w:shd w:val="clear" w:color="auto" w:fill="auto"/>
            <w:noWrap/>
            <w:vAlign w:val="bottom"/>
            <w:hideMark/>
          </w:tcPr>
          <w:p w:rsidR="00C96CE7" w:rsidRPr="003C1132" w:rsidRDefault="00C96CE7" w:rsidP="00C96CE7">
            <w:pPr>
              <w:pStyle w:val="GG-body"/>
              <w:spacing w:before="20" w:after="20"/>
            </w:pPr>
            <w:r w:rsidRPr="003C1132">
              <w:t>Unregistered vehicle permits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 </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0.67</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2.00</w:t>
            </w:r>
          </w:p>
        </w:tc>
      </w:tr>
      <w:tr w:rsidR="00C96CE7" w:rsidRPr="003C1132" w:rsidTr="00C96CE7">
        <w:trPr>
          <w:trHeight w:val="227"/>
        </w:trPr>
        <w:tc>
          <w:tcPr>
            <w:tcW w:w="550" w:type="pct"/>
            <w:shd w:val="clear" w:color="auto" w:fill="auto"/>
            <w:noWrap/>
            <w:vAlign w:val="bottom"/>
            <w:hideMark/>
          </w:tcPr>
          <w:p w:rsidR="00C96CE7" w:rsidRPr="003C1132" w:rsidRDefault="00C96CE7" w:rsidP="00C96CE7">
            <w:pPr>
              <w:pStyle w:val="GG-body"/>
              <w:spacing w:before="20" w:after="20"/>
            </w:pPr>
            <w:r w:rsidRPr="003C1132">
              <w:t>Trailers</w:t>
            </w:r>
          </w:p>
        </w:tc>
        <w:tc>
          <w:tcPr>
            <w:tcW w:w="1625" w:type="pct"/>
            <w:shd w:val="clear" w:color="auto" w:fill="auto"/>
            <w:noWrap/>
            <w:vAlign w:val="bottom"/>
            <w:hideMark/>
          </w:tcPr>
          <w:p w:rsidR="00C96CE7" w:rsidRPr="003C1132" w:rsidRDefault="00C96CE7" w:rsidP="00C96CE7">
            <w:pPr>
              <w:pStyle w:val="GG-body"/>
              <w:spacing w:before="20" w:after="20"/>
            </w:pPr>
            <w:r w:rsidRPr="003C1132">
              <w:t>Trailers</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1&amp;2</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0.00</w:t>
            </w:r>
          </w:p>
        </w:tc>
        <w:tc>
          <w:tcPr>
            <w:tcW w:w="471" w:type="pct"/>
            <w:shd w:val="clear" w:color="auto" w:fill="auto"/>
            <w:noWrap/>
            <w:vAlign w:val="bottom"/>
            <w:hideMark/>
          </w:tcPr>
          <w:p w:rsidR="00C96CE7" w:rsidRPr="003C1132" w:rsidRDefault="00C96CE7" w:rsidP="00C96CE7">
            <w:pPr>
              <w:pStyle w:val="GG-body"/>
              <w:spacing w:before="20" w:after="20"/>
              <w:jc w:val="right"/>
            </w:pPr>
            <w:r w:rsidRPr="003C1132">
              <w:t>0.00</w:t>
            </w:r>
          </w:p>
        </w:tc>
      </w:tr>
    </w:tbl>
    <w:p w:rsidR="00C96CE7" w:rsidRDefault="00C96CE7" w:rsidP="00C96CE7">
      <w:pPr>
        <w:pStyle w:val="GG-Title2"/>
      </w:pPr>
      <w:r w:rsidRPr="003C1132">
        <w:t>2020-21 Lifetime Support Scheme Fund Levy Schedule</w:t>
      </w:r>
    </w:p>
    <w:p w:rsidR="00C96CE7" w:rsidRDefault="00C96CE7" w:rsidP="005C37EF">
      <w:pPr>
        <w:pStyle w:val="GG-body"/>
        <w:spacing w:after="0"/>
        <w:rPr>
          <w:lang w:val="en-US"/>
        </w:rPr>
      </w:pPr>
    </w:p>
    <w:p w:rsidR="00C96CE7" w:rsidRDefault="00C96CE7" w:rsidP="00C96CE7">
      <w:pPr>
        <w:pStyle w:val="GG-body"/>
        <w:pBdr>
          <w:bottom w:val="single" w:sz="4" w:space="1" w:color="auto"/>
        </w:pBdr>
        <w:spacing w:after="0" w:line="52" w:lineRule="exact"/>
        <w:jc w:val="center"/>
        <w:rPr>
          <w:lang w:val="en-US"/>
        </w:rPr>
      </w:pPr>
    </w:p>
    <w:p w:rsidR="00C96CE7" w:rsidRDefault="00C96CE7" w:rsidP="00C96CE7">
      <w:pPr>
        <w:pStyle w:val="GG-body"/>
        <w:pBdr>
          <w:top w:val="single" w:sz="4" w:space="1" w:color="auto"/>
        </w:pBdr>
        <w:spacing w:before="34" w:after="0" w:line="14" w:lineRule="exact"/>
        <w:jc w:val="center"/>
        <w:rPr>
          <w:lang w:val="en-US"/>
        </w:rPr>
      </w:pPr>
    </w:p>
    <w:p w:rsidR="005C37EF" w:rsidRDefault="005C37EF" w:rsidP="005C37EF">
      <w:pPr>
        <w:pStyle w:val="GG-body"/>
        <w:spacing w:after="0"/>
        <w:rPr>
          <w:lang w:val="en-US"/>
        </w:rPr>
      </w:pPr>
    </w:p>
    <w:p w:rsidR="00821269" w:rsidRDefault="00821269" w:rsidP="00BB557D">
      <w:pPr>
        <w:pStyle w:val="Heading2"/>
      </w:pPr>
      <w:bookmarkStart w:id="66" w:name="_Toc40954880"/>
      <w:r w:rsidRPr="001A555C">
        <w:t>Petroleum and Geothermal Energy Act 2000</w:t>
      </w:r>
      <w:bookmarkEnd w:id="66"/>
    </w:p>
    <w:p w:rsidR="00821269" w:rsidRPr="001A555C" w:rsidRDefault="00821269" w:rsidP="00821269">
      <w:pPr>
        <w:pStyle w:val="GG-Title3"/>
      </w:pPr>
      <w:r w:rsidRPr="001A555C">
        <w:t>Application for the Renewal of Associated Activities Licence AAL 258</w:t>
      </w:r>
    </w:p>
    <w:p w:rsidR="00821269" w:rsidRPr="009D0CD9" w:rsidRDefault="00821269" w:rsidP="00821269">
      <w:pPr>
        <w:pStyle w:val="GG-body"/>
        <w:rPr>
          <w:spacing w:val="-2"/>
        </w:rPr>
      </w:pPr>
      <w:r w:rsidRPr="009D0CD9">
        <w:rPr>
          <w:spacing w:val="-2"/>
        </w:rPr>
        <w:t xml:space="preserve">Pursuant to section 65(6) of the </w:t>
      </w:r>
      <w:r w:rsidRPr="009D0CD9">
        <w:rPr>
          <w:i/>
          <w:spacing w:val="-2"/>
        </w:rPr>
        <w:t>Petroleum and Geothermal Energy Act 2000</w:t>
      </w:r>
      <w:r w:rsidRPr="009D0CD9">
        <w:rPr>
          <w:spacing w:val="-2"/>
        </w:rPr>
        <w:t xml:space="preserve"> (the Act) and Delegation dated 29 June 2018, notice is hereby given that an application for the renewal of Associated Activities Licence AAL 258 within the area described below has been received from:</w:t>
      </w:r>
    </w:p>
    <w:p w:rsidR="00821269" w:rsidRPr="001A555C" w:rsidRDefault="00821269" w:rsidP="00821269">
      <w:pPr>
        <w:pStyle w:val="GG-body"/>
        <w:spacing w:after="0"/>
        <w:ind w:left="160"/>
      </w:pPr>
      <w:r w:rsidRPr="001A555C">
        <w:t>Santos Limited</w:t>
      </w:r>
    </w:p>
    <w:p w:rsidR="00821269" w:rsidRPr="001A555C" w:rsidRDefault="00821269" w:rsidP="00821269">
      <w:pPr>
        <w:pStyle w:val="GG-body"/>
        <w:spacing w:after="0"/>
        <w:ind w:left="160"/>
      </w:pPr>
      <w:r w:rsidRPr="001A555C">
        <w:t>Vamgas Pty Ltd</w:t>
      </w:r>
    </w:p>
    <w:p w:rsidR="00821269" w:rsidRPr="001A555C" w:rsidRDefault="00821269" w:rsidP="00821269">
      <w:pPr>
        <w:pStyle w:val="GG-body"/>
        <w:spacing w:after="0"/>
        <w:ind w:left="160"/>
      </w:pPr>
      <w:r w:rsidRPr="001A555C">
        <w:t>Delhi Petroleum Pty Ltd</w:t>
      </w:r>
    </w:p>
    <w:p w:rsidR="00821269" w:rsidRPr="001A555C" w:rsidRDefault="00821269" w:rsidP="00821269">
      <w:pPr>
        <w:pStyle w:val="GG-body"/>
        <w:spacing w:after="0"/>
        <w:ind w:left="160"/>
      </w:pPr>
      <w:r w:rsidRPr="001A555C">
        <w:t>Beach Energy (Operations) Limited</w:t>
      </w:r>
    </w:p>
    <w:p w:rsidR="00821269" w:rsidRDefault="00821269" w:rsidP="00821269">
      <w:pPr>
        <w:pStyle w:val="GG-body"/>
        <w:ind w:left="160"/>
        <w:rPr>
          <w:b/>
        </w:rPr>
      </w:pPr>
      <w:r w:rsidRPr="001A555C">
        <w:t>Santos (NARNL Cooper) Pty Ltd</w:t>
      </w:r>
    </w:p>
    <w:p w:rsidR="00821269" w:rsidRDefault="00821269" w:rsidP="00821269">
      <w:pPr>
        <w:pStyle w:val="GG-body"/>
      </w:pPr>
      <w:r w:rsidRPr="001A555C">
        <w:t>The renewal application will be determined on or after 18 June 2020.</w:t>
      </w:r>
    </w:p>
    <w:p w:rsidR="00821269" w:rsidRDefault="00821269" w:rsidP="00821269">
      <w:pPr>
        <w:pStyle w:val="GG-Sub1"/>
      </w:pPr>
      <w:r w:rsidRPr="001A555C">
        <w:t>Description of Renewal Area</w:t>
      </w:r>
    </w:p>
    <w:p w:rsidR="00821269" w:rsidRDefault="00821269" w:rsidP="00821269">
      <w:pPr>
        <w:pStyle w:val="GG-body"/>
      </w:pPr>
      <w:r w:rsidRPr="001A555C">
        <w:t>All that part of the State of South Australia, bounded as follows:</w:t>
      </w:r>
    </w:p>
    <w:p w:rsidR="00821269" w:rsidRDefault="00821269" w:rsidP="00821269">
      <w:pPr>
        <w:pStyle w:val="GG-body"/>
        <w:ind w:firstLine="160"/>
      </w:pPr>
      <w:r w:rsidRPr="001A555C">
        <w:t>All coordinates in GDA94, Zone 54</w:t>
      </w:r>
    </w:p>
    <w:tbl>
      <w:tblPr>
        <w:tblW w:w="0" w:type="auto"/>
        <w:tblInd w:w="142" w:type="dxa"/>
        <w:tblLook w:val="04A0" w:firstRow="1" w:lastRow="0" w:firstColumn="1" w:lastColumn="0" w:noHBand="0" w:noVBand="1"/>
      </w:tblPr>
      <w:tblGrid>
        <w:gridCol w:w="4459"/>
        <w:gridCol w:w="4459"/>
      </w:tblGrid>
      <w:tr w:rsidR="00821269" w:rsidTr="00C96140">
        <w:trPr>
          <w:trHeight w:val="119"/>
        </w:trPr>
        <w:tc>
          <w:tcPr>
            <w:tcW w:w="4459" w:type="dxa"/>
            <w:shd w:val="clear" w:color="auto" w:fill="auto"/>
          </w:tcPr>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436823.45mE</w:t>
            </w:r>
            <w:r w:rsidRPr="001A555C">
              <w:tab/>
              <w:t>6949861.36mN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436816.61mE</w:t>
            </w:r>
            <w:r w:rsidRPr="001A555C">
              <w:tab/>
              <w:t>6949886.25mN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436798.25mE</w:t>
            </w:r>
            <w:r w:rsidRPr="001A555C">
              <w:tab/>
              <w:t>6949904.32mN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436792.12mE</w:t>
            </w:r>
            <w:r w:rsidRPr="001A555C">
              <w:tab/>
              <w:t>6949905.95mN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436768.01mE</w:t>
            </w:r>
            <w:r w:rsidRPr="001A555C">
              <w:tab/>
              <w:t>6949930.31mN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436751.85mE</w:t>
            </w:r>
            <w:r w:rsidRPr="001A555C">
              <w:tab/>
              <w:t>6949943.96mN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436747.10mE</w:t>
            </w:r>
            <w:r w:rsidRPr="001A555C">
              <w:tab/>
              <w:t>6949946.93mN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436729.47mE</w:t>
            </w:r>
            <w:r w:rsidRPr="001A555C">
              <w:tab/>
              <w:t>6949957.03mN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436727.69mE</w:t>
            </w:r>
            <w:r w:rsidRPr="001A555C">
              <w:tab/>
              <w:t>6949958.12mN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436727.59mE</w:t>
            </w:r>
            <w:r w:rsidRPr="001A555C">
              <w:tab/>
              <w:t>6949958.12mN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lastRenderedPageBreak/>
              <w:t>436729.83mE</w:t>
            </w:r>
            <w:r w:rsidRPr="001A555C">
              <w:tab/>
              <w:t>6949963.67mN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436731.69mE</w:t>
            </w:r>
            <w:r w:rsidRPr="001A555C">
              <w:tab/>
              <w:t>6949968.00mN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436737.03mE</w:t>
            </w:r>
            <w:r w:rsidRPr="001A555C">
              <w:tab/>
              <w:t>6949985.09mN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436739.61mE</w:t>
            </w:r>
            <w:r w:rsidRPr="001A555C">
              <w:tab/>
              <w:t>6950000.17mN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436739.50mE</w:t>
            </w:r>
            <w:r w:rsidRPr="001A555C">
              <w:tab/>
              <w:t>6950002.61mN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436738.19mE</w:t>
            </w:r>
            <w:r w:rsidRPr="001A555C">
              <w:tab/>
              <w:t>6950026.64mN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436732.07mE</w:t>
            </w:r>
            <w:r w:rsidRPr="001A555C">
              <w:tab/>
              <w:t>6950046.55mN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436728.69mE</w:t>
            </w:r>
            <w:r w:rsidRPr="001A555C">
              <w:tab/>
              <w:t>6950051.62mN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436716.35mE</w:t>
            </w:r>
            <w:r w:rsidRPr="001A555C">
              <w:tab/>
              <w:t>6950069.28mN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436703.17mE</w:t>
            </w:r>
            <w:r w:rsidRPr="001A555C">
              <w:tab/>
              <w:t>6950080.51mN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436697.03mE</w:t>
            </w:r>
            <w:r w:rsidRPr="001A555C">
              <w:tab/>
              <w:t>6950083.47mN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436677.05mE</w:t>
            </w:r>
            <w:r w:rsidRPr="001A555C">
              <w:tab/>
              <w:t>6950092.12mN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436660.64mE</w:t>
            </w:r>
            <w:r w:rsidRPr="001A555C">
              <w:tab/>
              <w:t>6950095.14mN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436653.83mE</w:t>
            </w:r>
            <w:r w:rsidRPr="001A555C">
              <w:tab/>
              <w:t>6950094.55mN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436632.04mE</w:t>
            </w:r>
            <w:r w:rsidRPr="001A555C">
              <w:tab/>
              <w:t>6950090.67mN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436616.37mE</w:t>
            </w:r>
            <w:r w:rsidRPr="001A555C">
              <w:tab/>
              <w:t>6950085.05mN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436608.31mE</w:t>
            </w:r>
            <w:r w:rsidRPr="001A555C">
              <w:tab/>
              <w:t>6950079.14mN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436590.93mE</w:t>
            </w:r>
            <w:r w:rsidRPr="001A555C">
              <w:tab/>
              <w:t>6950060.88mN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436588.68mE</w:t>
            </w:r>
            <w:r w:rsidRPr="001A555C">
              <w:tab/>
              <w:t>6950057.99mN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436587.87mE</w:t>
            </w:r>
            <w:r w:rsidRPr="001A555C">
              <w:tab/>
              <w:t>6950060.75mN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436577.84mE</w:t>
            </w:r>
            <w:r w:rsidRPr="001A555C">
              <w:tab/>
              <w:t>6950072.66mN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436565.94mE</w:t>
            </w:r>
            <w:r w:rsidRPr="001A555C">
              <w:tab/>
              <w:t>6950083.79mN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436559.40mE</w:t>
            </w:r>
            <w:r w:rsidRPr="001A555C">
              <w:tab/>
              <w:t>6950088.19mN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436553.56mE</w:t>
            </w:r>
            <w:r w:rsidRPr="001A555C">
              <w:tab/>
              <w:t>6950091.04mN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436458.28mE</w:t>
            </w:r>
            <w:r w:rsidRPr="001A555C">
              <w:tab/>
              <w:t>6950133.08mN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436441.58mE</w:t>
            </w:r>
            <w:r w:rsidRPr="001A555C">
              <w:tab/>
              <w:t>6950136.21mN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436435.57mE</w:t>
            </w:r>
            <w:r w:rsidRPr="001A555C">
              <w:tab/>
              <w:t>6950134.51mN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436435.94mE</w:t>
            </w:r>
            <w:r w:rsidRPr="001A555C">
              <w:tab/>
              <w:t>6950138.39mN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436436.21mE</w:t>
            </w:r>
            <w:r w:rsidRPr="001A555C">
              <w:tab/>
              <w:t>6950143.05mN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436431.87mE</w:t>
            </w:r>
            <w:r w:rsidRPr="001A555C">
              <w:tab/>
              <w:t>6950161.86mN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436426.07mE</w:t>
            </w:r>
            <w:r w:rsidRPr="001A555C">
              <w:tab/>
              <w:t>6950175.67mN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436424.18mE</w:t>
            </w:r>
            <w:r w:rsidRPr="001A555C">
              <w:tab/>
              <w:t>6950179.21mN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436417.62mE</w:t>
            </w:r>
            <w:r w:rsidRPr="001A555C">
              <w:tab/>
              <w:t>6950187.92mN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436409.47mE</w:t>
            </w:r>
            <w:r w:rsidRPr="001A555C">
              <w:tab/>
              <w:t>6950197.30mN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436399.46mE</w:t>
            </w:r>
            <w:r w:rsidRPr="001A555C">
              <w:tab/>
              <w:t>6950204.89mN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436389.56mE</w:t>
            </w:r>
            <w:r w:rsidRPr="001A555C">
              <w:tab/>
              <w:t>6950210.82mN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436388.47mE</w:t>
            </w:r>
            <w:r w:rsidRPr="001A555C">
              <w:tab/>
              <w:t>6950211.48mN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436376.01mE</w:t>
            </w:r>
            <w:r w:rsidRPr="001A555C">
              <w:tab/>
              <w:t>6950215.96mN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436356.54mE</w:t>
            </w:r>
            <w:r w:rsidRPr="001A555C">
              <w:tab/>
              <w:t>6950220.28mN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436349.43mE</w:t>
            </w:r>
            <w:r w:rsidRPr="001A555C">
              <w:tab/>
              <w:t>6950221.02mN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436339.85mE</w:t>
            </w:r>
            <w:r w:rsidRPr="001A555C">
              <w:tab/>
              <w:t>6950221.42mN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436337.98mE</w:t>
            </w:r>
            <w:r w:rsidRPr="001A555C">
              <w:tab/>
              <w:t>6950221.52mN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436321.71mE</w:t>
            </w:r>
            <w:r w:rsidRPr="001A555C">
              <w:tab/>
              <w:t>6950218.33mN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436312.55mE</w:t>
            </w:r>
            <w:r w:rsidRPr="001A555C">
              <w:tab/>
              <w:t>6950214.30mN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436306.34mE</w:t>
            </w:r>
            <w:r w:rsidRPr="001A555C">
              <w:tab/>
              <w:t>6950211.27mN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436299.65mE</w:t>
            </w:r>
            <w:r w:rsidRPr="001A555C">
              <w:tab/>
              <w:t>6950206.58mN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436290.32mE</w:t>
            </w:r>
            <w:r w:rsidRPr="001A555C">
              <w:tab/>
              <w:t>6950197.56mN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436281.88mE</w:t>
            </w:r>
            <w:r w:rsidRPr="001A555C">
              <w:tab/>
              <w:t>6950187.99mN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436280.61mE</w:t>
            </w:r>
            <w:r w:rsidRPr="001A555C">
              <w:tab/>
              <w:t>6950185.77mN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436267.21mE</w:t>
            </w:r>
            <w:r w:rsidRPr="001A555C">
              <w:tab/>
              <w:t>6950162.55mN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436263.31mE</w:t>
            </w:r>
            <w:r w:rsidRPr="001A555C">
              <w:tab/>
              <w:t>6950153.67mN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436259.43mE</w:t>
            </w:r>
            <w:r w:rsidRPr="001A555C">
              <w:tab/>
              <w:t>6950139.58mN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436257.33mE</w:t>
            </w:r>
            <w:r w:rsidRPr="001A555C">
              <w:tab/>
              <w:t>6950126.05mN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436257.54mE</w:t>
            </w:r>
            <w:r w:rsidRPr="001A555C">
              <w:tab/>
              <w:t>6950122.95mN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436258.51mE</w:t>
            </w:r>
            <w:r w:rsidRPr="001A555C">
              <w:tab/>
              <w:t>6950108.44mN</w:t>
            </w:r>
          </w:p>
          <w:p w:rsidR="00821269"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436261.64mE</w:t>
            </w:r>
            <w:r w:rsidRPr="001A555C">
              <w:tab/>
              <w:t>6950094.95mN</w:t>
            </w:r>
          </w:p>
        </w:tc>
        <w:tc>
          <w:tcPr>
            <w:tcW w:w="4459" w:type="dxa"/>
            <w:shd w:val="clear" w:color="auto" w:fill="auto"/>
          </w:tcPr>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lastRenderedPageBreak/>
              <w:t>436265.44mE</w:t>
            </w:r>
            <w:r w:rsidRPr="001A555C">
              <w:tab/>
              <w:t>6950084.44mN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436268.34mE</w:t>
            </w:r>
            <w:r w:rsidRPr="001A555C">
              <w:tab/>
              <w:t>6950078.70mN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436276.80mE</w:t>
            </w:r>
            <w:r w:rsidRPr="001A555C">
              <w:tab/>
              <w:t>6950065.12mN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436278.69mE</w:t>
            </w:r>
            <w:r w:rsidRPr="001A555C">
              <w:tab/>
              <w:t>6950062.02mN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436284.65mE</w:t>
            </w:r>
            <w:r w:rsidRPr="001A555C">
              <w:tab/>
              <w:t>6950055.19mN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436294.18mE</w:t>
            </w:r>
            <w:r w:rsidRPr="001A555C">
              <w:tab/>
              <w:t>6950045.05mN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436299.14mE</w:t>
            </w:r>
            <w:r w:rsidRPr="001A555C">
              <w:tab/>
              <w:t>6950040.97mN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436314.10mE</w:t>
            </w:r>
            <w:r w:rsidRPr="001A555C">
              <w:tab/>
              <w:t>6950029.09mN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436317.87mE</w:t>
            </w:r>
            <w:r w:rsidRPr="001A555C">
              <w:tab/>
              <w:t>6950026.78mN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436331.33mE</w:t>
            </w:r>
            <w:r w:rsidRPr="001A555C">
              <w:tab/>
              <w:t>6950019.65mN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lastRenderedPageBreak/>
              <w:t>436334.40mE</w:t>
            </w:r>
            <w:r w:rsidRPr="001A555C">
              <w:tab/>
              <w:t>6950018.00mN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436340.83mE</w:t>
            </w:r>
            <w:r w:rsidRPr="001A555C">
              <w:tab/>
              <w:t>6950015.60mN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436353.88mE</w:t>
            </w:r>
            <w:r w:rsidRPr="001A555C">
              <w:tab/>
              <w:t>6950011.24mN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436358.13mE</w:t>
            </w:r>
            <w:r w:rsidRPr="001A555C">
              <w:tab/>
              <w:t>6950010.15mN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436354.56mE</w:t>
            </w:r>
            <w:r w:rsidRPr="001A555C">
              <w:tab/>
              <w:t>6949995.07mN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436360.79mE</w:t>
            </w:r>
            <w:r w:rsidRPr="001A555C">
              <w:tab/>
              <w:t>6949972.72mN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436377.36mE</w:t>
            </w:r>
            <w:r w:rsidRPr="001A555C">
              <w:tab/>
              <w:t>6949956.42mN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436452.97mE</w:t>
            </w:r>
            <w:r w:rsidRPr="001A555C">
              <w:tab/>
              <w:t>6949956.92mN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436583.08mE</w:t>
            </w:r>
            <w:r w:rsidRPr="001A555C">
              <w:tab/>
              <w:t>6949824.55mN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436494.87mE</w:t>
            </w:r>
            <w:r w:rsidRPr="001A555C">
              <w:tab/>
              <w:t>6949854.67mN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436494.38mE</w:t>
            </w:r>
            <w:r w:rsidRPr="001A555C">
              <w:tab/>
              <w:t>6949854.34mN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436476.27mE</w:t>
            </w:r>
            <w:r w:rsidRPr="001A555C">
              <w:tab/>
              <w:t>6949843.83mN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436459.93mE</w:t>
            </w:r>
            <w:r w:rsidRPr="001A555C">
              <w:tab/>
              <w:t>6949834.44mN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436458.75mE</w:t>
            </w:r>
            <w:r w:rsidRPr="001A555C">
              <w:tab/>
              <w:t>6949833.77mN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436422.16mE</w:t>
            </w:r>
            <w:r w:rsidRPr="001A555C">
              <w:tab/>
              <w:t>6949808.21mN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436404.46mE</w:t>
            </w:r>
            <w:r w:rsidRPr="001A555C">
              <w:tab/>
              <w:t>6949795.71mN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436370.71mE</w:t>
            </w:r>
            <w:r w:rsidRPr="001A555C">
              <w:tab/>
              <w:t>6949773.82mN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436352.55mE</w:t>
            </w:r>
            <w:r w:rsidRPr="001A555C">
              <w:tab/>
              <w:t>6949755.56mN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436345.96mE</w:t>
            </w:r>
            <w:r w:rsidRPr="001A555C">
              <w:tab/>
              <w:t>6949730.60mN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436352.81mE</w:t>
            </w:r>
            <w:r w:rsidRPr="001A555C">
              <w:tab/>
              <w:t>6949705.71mN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436369.78mE</w:t>
            </w:r>
            <w:r w:rsidRPr="001A555C">
              <w:tab/>
              <w:t>6949688.41mN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436382.46mE</w:t>
            </w:r>
            <w:r w:rsidRPr="001A555C">
              <w:tab/>
              <w:t>6949679.61mN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436398.12mE</w:t>
            </w:r>
            <w:r w:rsidRPr="001A555C">
              <w:tab/>
              <w:t>6949666.62mN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436403.07mE</w:t>
            </w:r>
            <w:r w:rsidRPr="001A555C">
              <w:tab/>
              <w:t>6949663.44mN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436408.52mE</w:t>
            </w:r>
            <w:r w:rsidRPr="001A555C">
              <w:tab/>
              <w:t>6949660.70mN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436427.32mE</w:t>
            </w:r>
            <w:r w:rsidRPr="001A555C">
              <w:tab/>
              <w:t>6949651.82mN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436442.44mE</w:t>
            </w:r>
            <w:r w:rsidRPr="001A555C">
              <w:tab/>
              <w:t>6949648.13mN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436463.08mE</w:t>
            </w:r>
            <w:r w:rsidRPr="001A555C">
              <w:tab/>
              <w:t>6949646.14mN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436467.62mE</w:t>
            </w:r>
            <w:r w:rsidRPr="001A555C">
              <w:tab/>
              <w:t>6949645.94mN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436474.43mE</w:t>
            </w:r>
            <w:r w:rsidRPr="001A555C">
              <w:tab/>
              <w:t>6949646.53mN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436494.55mE</w:t>
            </w:r>
            <w:r w:rsidRPr="001A555C">
              <w:tab/>
              <w:t>6949649.73mN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436496.33mE</w:t>
            </w:r>
            <w:r w:rsidRPr="001A555C">
              <w:tab/>
              <w:t>6949649.97mN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436516.74mE</w:t>
            </w:r>
            <w:r w:rsidRPr="001A555C">
              <w:tab/>
              <w:t>6949654.06mN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436537.15mE</w:t>
            </w:r>
            <w:r w:rsidRPr="001A555C">
              <w:tab/>
              <w:t>6949658.49mN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436557.36mE</w:t>
            </w:r>
            <w:r w:rsidRPr="001A555C">
              <w:tab/>
              <w:t>6949662.58mN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436577.78mE</w:t>
            </w:r>
            <w:r w:rsidRPr="001A555C">
              <w:tab/>
              <w:t>6949666.34mN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436598.19mE</w:t>
            </w:r>
            <w:r w:rsidRPr="001A555C">
              <w:tab/>
              <w:t>6949669.99mN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436619.29mE</w:t>
            </w:r>
            <w:r w:rsidRPr="001A555C">
              <w:tab/>
              <w:t>6949673.98mN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436623.93mE</w:t>
            </w:r>
            <w:r w:rsidRPr="001A555C">
              <w:tab/>
              <w:t>6949675.00mN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436643.44mE</w:t>
            </w:r>
            <w:r w:rsidRPr="001A555C">
              <w:tab/>
              <w:t>6949680.86mN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436651.23mE</w:t>
            </w:r>
            <w:r w:rsidRPr="001A555C">
              <w:tab/>
              <w:t>6949683.67mN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436669.44mE</w:t>
            </w:r>
            <w:r w:rsidRPr="001A555C">
              <w:tab/>
              <w:t>6949692.96mN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436673.97mE</w:t>
            </w:r>
            <w:r w:rsidRPr="001A555C">
              <w:tab/>
              <w:t>6949695.31mN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436677.12mE</w:t>
            </w:r>
            <w:r w:rsidRPr="001A555C">
              <w:tab/>
              <w:t>6949697.32mN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436697.37mE</w:t>
            </w:r>
            <w:r w:rsidRPr="001A555C">
              <w:tab/>
              <w:t>6949712.93mN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436713.87mE</w:t>
            </w:r>
            <w:r w:rsidRPr="001A555C">
              <w:tab/>
              <w:t>6949728.42mN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436728.70mE</w:t>
            </w:r>
            <w:r w:rsidRPr="001A555C">
              <w:tab/>
              <w:t>6949743.23mN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436742.84mE</w:t>
            </w:r>
            <w:r w:rsidRPr="001A555C">
              <w:tab/>
              <w:t>6949757.92mN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436756.88mE</w:t>
            </w:r>
            <w:r w:rsidRPr="001A555C">
              <w:tab/>
              <w:t>6949772.39mN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436771.32mE</w:t>
            </w:r>
            <w:r w:rsidRPr="001A555C">
              <w:tab/>
              <w:t>6949787.20mN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436786.14mE</w:t>
            </w:r>
            <w:r w:rsidRPr="001A555C">
              <w:tab/>
              <w:t>6949802.46mN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436800.87mE</w:t>
            </w:r>
            <w:r w:rsidRPr="001A555C">
              <w:tab/>
              <w:t>6949817.82mN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436807.35mE</w:t>
            </w:r>
            <w:r w:rsidRPr="001A555C">
              <w:tab/>
              <w:t>6949824.50mN</w:t>
            </w:r>
          </w:p>
          <w:p w:rsidR="00821269" w:rsidRPr="001A555C"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436816.86mE</w:t>
            </w:r>
            <w:r w:rsidRPr="001A555C">
              <w:tab/>
              <w:t>6949836.40mN</w:t>
            </w:r>
          </w:p>
          <w:p w:rsidR="00821269" w:rsidRDefault="00821269" w:rsidP="00C9614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r w:rsidRPr="001A555C">
              <w:t>436823.45mE</w:t>
            </w:r>
            <w:r w:rsidRPr="001A555C">
              <w:tab/>
              <w:t>6949861.36mN</w:t>
            </w:r>
          </w:p>
        </w:tc>
      </w:tr>
    </w:tbl>
    <w:p w:rsidR="00821269" w:rsidRDefault="00821269" w:rsidP="00821269">
      <w:pPr>
        <w:pStyle w:val="GG-body"/>
        <w:spacing w:before="80"/>
      </w:pPr>
      <w:r w:rsidRPr="001A555C">
        <w:lastRenderedPageBreak/>
        <w:t xml:space="preserve">AREA: </w:t>
      </w:r>
      <w:r w:rsidRPr="001A555C">
        <w:rPr>
          <w:b/>
        </w:rPr>
        <w:t>0.17</w:t>
      </w:r>
      <w:r w:rsidRPr="001A555C">
        <w:t xml:space="preserve"> square kilometres approximately</w:t>
      </w:r>
    </w:p>
    <w:p w:rsidR="00821269" w:rsidRDefault="00821269" w:rsidP="00821269">
      <w:pPr>
        <w:pStyle w:val="GG-SDated"/>
      </w:pPr>
      <w:r w:rsidRPr="001A555C">
        <w:t>Dated:</w:t>
      </w:r>
      <w:r>
        <w:t xml:space="preserve"> </w:t>
      </w:r>
      <w:r w:rsidRPr="001A555C">
        <w:t>15 May 2020</w:t>
      </w:r>
    </w:p>
    <w:p w:rsidR="00821269" w:rsidRPr="001A555C" w:rsidRDefault="00821269" w:rsidP="00821269">
      <w:pPr>
        <w:pStyle w:val="GG-SName"/>
      </w:pPr>
      <w:r w:rsidRPr="001A555C">
        <w:t>Barry A. Goldstein</w:t>
      </w:r>
    </w:p>
    <w:p w:rsidR="00821269" w:rsidRPr="001A555C" w:rsidRDefault="00821269" w:rsidP="00821269">
      <w:pPr>
        <w:pStyle w:val="GG-Signature"/>
      </w:pPr>
      <w:r w:rsidRPr="001A555C">
        <w:t>Executive Director</w:t>
      </w:r>
    </w:p>
    <w:p w:rsidR="00821269" w:rsidRPr="001A555C" w:rsidRDefault="00821269" w:rsidP="00821269">
      <w:pPr>
        <w:pStyle w:val="GG-Signature"/>
      </w:pPr>
      <w:r w:rsidRPr="001A555C">
        <w:t>Energy Resources Division</w:t>
      </w:r>
    </w:p>
    <w:p w:rsidR="00821269" w:rsidRPr="001A555C" w:rsidRDefault="00821269" w:rsidP="00821269">
      <w:pPr>
        <w:pStyle w:val="GG-Signature"/>
      </w:pPr>
      <w:r w:rsidRPr="001A555C">
        <w:t>Department for Energy and Mining</w:t>
      </w:r>
    </w:p>
    <w:p w:rsidR="00821269" w:rsidRDefault="00821269" w:rsidP="00821269">
      <w:pPr>
        <w:pStyle w:val="GG-Signature"/>
      </w:pPr>
      <w:r w:rsidRPr="001A555C">
        <w:t>Delegate of the Minister for Energy and Mining</w:t>
      </w:r>
    </w:p>
    <w:p w:rsidR="00821269" w:rsidRDefault="00821269" w:rsidP="00821269">
      <w:pPr>
        <w:pStyle w:val="GG-Signature"/>
        <w:pBdr>
          <w:bottom w:val="single" w:sz="4" w:space="1" w:color="auto"/>
        </w:pBdr>
        <w:spacing w:line="52" w:lineRule="exact"/>
        <w:jc w:val="center"/>
      </w:pPr>
    </w:p>
    <w:p w:rsidR="00821269" w:rsidRDefault="00821269" w:rsidP="00821269">
      <w:pPr>
        <w:pStyle w:val="GG-Signature"/>
        <w:pBdr>
          <w:top w:val="single" w:sz="4" w:space="1" w:color="auto"/>
        </w:pBdr>
        <w:spacing w:before="34" w:line="14" w:lineRule="exact"/>
        <w:jc w:val="center"/>
      </w:pPr>
    </w:p>
    <w:p w:rsidR="00C96CE7" w:rsidRDefault="00C96CE7" w:rsidP="005C37EF">
      <w:pPr>
        <w:pStyle w:val="GG-body"/>
        <w:spacing w:after="0"/>
        <w:rPr>
          <w:lang w:val="en-US"/>
        </w:rPr>
      </w:pPr>
    </w:p>
    <w:p w:rsidR="00821269" w:rsidRPr="00ED7DF1" w:rsidRDefault="00821269" w:rsidP="00BB557D">
      <w:pPr>
        <w:pStyle w:val="Heading2"/>
      </w:pPr>
      <w:bookmarkStart w:id="67" w:name="_Toc40954881"/>
      <w:r>
        <w:t>Roads (Opening a</w:t>
      </w:r>
      <w:r w:rsidRPr="00ED7DF1">
        <w:t>nd Closing) Act 1991</w:t>
      </w:r>
      <w:bookmarkEnd w:id="67"/>
    </w:p>
    <w:p w:rsidR="00821269" w:rsidRDefault="00821269" w:rsidP="00821269">
      <w:pPr>
        <w:pStyle w:val="GG-Title2"/>
      </w:pPr>
      <w:r w:rsidRPr="00ED7DF1">
        <w:t>Section 24</w:t>
      </w:r>
    </w:p>
    <w:p w:rsidR="00821269" w:rsidRDefault="00821269" w:rsidP="00821269">
      <w:pPr>
        <w:pStyle w:val="GG-Title3"/>
        <w:rPr>
          <w:i w:val="0"/>
        </w:rPr>
      </w:pPr>
      <w:r w:rsidRPr="00ED7DF1">
        <w:t>Notice of Confirmation of Road</w:t>
      </w:r>
      <w:r>
        <w:t xml:space="preserve"> </w:t>
      </w:r>
      <w:r w:rsidRPr="00ED7DF1">
        <w:t>Process Order</w:t>
      </w:r>
      <w:r>
        <w:br/>
      </w:r>
      <w:r w:rsidRPr="00ED7DF1">
        <w:t>Road Closure</w:t>
      </w:r>
      <w:r>
        <w:t>—</w:t>
      </w:r>
      <w:r w:rsidRPr="00ED7DF1">
        <w:t>Finniss Vale Drive, Second Valley</w:t>
      </w:r>
    </w:p>
    <w:p w:rsidR="00821269" w:rsidRDefault="00821269" w:rsidP="00821269">
      <w:pPr>
        <w:pStyle w:val="GG-body"/>
      </w:pPr>
      <w:r w:rsidRPr="00ED7DF1">
        <w:t>BY Road Process Order made on 6 February 2020, The District Council of Yankalilla ordered that:</w:t>
      </w:r>
    </w:p>
    <w:p w:rsidR="00821269" w:rsidRDefault="00821269" w:rsidP="00391865">
      <w:pPr>
        <w:pStyle w:val="GG-body"/>
        <w:numPr>
          <w:ilvl w:val="0"/>
          <w:numId w:val="1"/>
        </w:numPr>
        <w:tabs>
          <w:tab w:val="left" w:pos="567"/>
        </w:tabs>
        <w:ind w:left="567"/>
      </w:pPr>
      <w:r w:rsidRPr="00ED7DF1">
        <w:t>Portion of Finniss Vale Drive, Second Valley, situated adjoining the western boundary of Allotment 100 in Deposited Plan 50879, Hundred of Yankalilla, more particularly delineated and lettered ‘A’ in Preliminary Plan 19/0028 be closed.</w:t>
      </w:r>
    </w:p>
    <w:p w:rsidR="00821269" w:rsidRDefault="00821269" w:rsidP="00391865">
      <w:pPr>
        <w:pStyle w:val="GG-body"/>
        <w:numPr>
          <w:ilvl w:val="0"/>
          <w:numId w:val="1"/>
        </w:numPr>
        <w:tabs>
          <w:tab w:val="left" w:pos="567"/>
        </w:tabs>
        <w:ind w:left="567"/>
      </w:pPr>
      <w:r w:rsidRPr="00ED7DF1">
        <w:t>Issue a Certificate of Title to The District Council of Yankalilla for the whole of the land subject to closure in accordance with the Application for Document of Title dated 6 February 2020.</w:t>
      </w:r>
    </w:p>
    <w:p w:rsidR="00821269" w:rsidRDefault="00821269" w:rsidP="00821269">
      <w:pPr>
        <w:pStyle w:val="GG-body"/>
      </w:pPr>
      <w:r w:rsidRPr="00ED7DF1">
        <w:t xml:space="preserve">On 25 April 2020 that order was confirmed by the Minister for Transport, Infrastructure and Local Government conditionally upon the deposit by the Registrar-General of Deposited Plan </w:t>
      </w:r>
      <w:r w:rsidRPr="00ED7DF1">
        <w:rPr>
          <w:iCs/>
        </w:rPr>
        <w:t>123498</w:t>
      </w:r>
      <w:r w:rsidRPr="00ED7DF1">
        <w:t xml:space="preserve"> being the authority for the new boundaries.</w:t>
      </w:r>
    </w:p>
    <w:p w:rsidR="00821269" w:rsidRDefault="00821269" w:rsidP="00821269">
      <w:pPr>
        <w:pStyle w:val="GG-body"/>
      </w:pPr>
      <w:r>
        <w:br w:type="page"/>
      </w:r>
      <w:r w:rsidRPr="00ED7DF1">
        <w:lastRenderedPageBreak/>
        <w:t>Pursuant to section 24(5) of the Roads (Opening and Closing) Act 1991, NOTICE of the Order referred to above and its confirmation is hereby given.</w:t>
      </w:r>
    </w:p>
    <w:p w:rsidR="00821269" w:rsidRDefault="00821269" w:rsidP="00821269">
      <w:pPr>
        <w:pStyle w:val="GG-SDated"/>
      </w:pPr>
      <w:r w:rsidRPr="00ED7DF1">
        <w:t>Dated: 21 May 2020</w:t>
      </w:r>
    </w:p>
    <w:p w:rsidR="00821269" w:rsidRDefault="00821269" w:rsidP="00821269">
      <w:pPr>
        <w:pStyle w:val="GG-SName"/>
      </w:pPr>
      <w:r w:rsidRPr="00ED7DF1">
        <w:rPr>
          <w:szCs w:val="17"/>
        </w:rPr>
        <w:t xml:space="preserve">M. P. </w:t>
      </w:r>
      <w:r w:rsidRPr="00ED7DF1">
        <w:t>Burdett</w:t>
      </w:r>
    </w:p>
    <w:p w:rsidR="00821269" w:rsidRDefault="00821269" w:rsidP="00821269">
      <w:pPr>
        <w:pStyle w:val="GG-Signature"/>
      </w:pPr>
      <w:r w:rsidRPr="00ED7DF1">
        <w:t>Surveyor-General</w:t>
      </w:r>
    </w:p>
    <w:p w:rsidR="00821269" w:rsidRDefault="00821269" w:rsidP="00821269">
      <w:pPr>
        <w:pStyle w:val="GG-SDated"/>
      </w:pPr>
      <w:r w:rsidRPr="00ED7DF1">
        <w:t>DPTI: 2019/11422/01</w:t>
      </w:r>
    </w:p>
    <w:p w:rsidR="00821269" w:rsidRDefault="00821269" w:rsidP="00821269">
      <w:pPr>
        <w:pStyle w:val="GG-body"/>
        <w:pBdr>
          <w:top w:val="single" w:sz="4" w:space="1" w:color="auto"/>
        </w:pBdr>
        <w:spacing w:before="100" w:after="0" w:line="14" w:lineRule="exact"/>
        <w:jc w:val="center"/>
      </w:pPr>
    </w:p>
    <w:p w:rsidR="00821269" w:rsidRDefault="00821269" w:rsidP="005C37EF">
      <w:pPr>
        <w:pStyle w:val="GG-body"/>
        <w:spacing w:after="0"/>
        <w:rPr>
          <w:lang w:val="en-US"/>
        </w:rPr>
      </w:pPr>
    </w:p>
    <w:p w:rsidR="00821269" w:rsidRPr="00ED7DF1" w:rsidRDefault="00821269" w:rsidP="00821269">
      <w:pPr>
        <w:pStyle w:val="GG-Title1"/>
      </w:pPr>
      <w:r>
        <w:t>Roads (Opening a</w:t>
      </w:r>
      <w:r w:rsidRPr="00ED7DF1">
        <w:t>nd Closing) Act 1991</w:t>
      </w:r>
    </w:p>
    <w:p w:rsidR="00821269" w:rsidRDefault="00821269" w:rsidP="00821269">
      <w:pPr>
        <w:pStyle w:val="GG-Title2"/>
      </w:pPr>
      <w:r w:rsidRPr="00ED7DF1">
        <w:t>Section 24</w:t>
      </w:r>
    </w:p>
    <w:p w:rsidR="00821269" w:rsidRDefault="00821269" w:rsidP="00821269">
      <w:pPr>
        <w:pStyle w:val="GG-Title3"/>
      </w:pPr>
      <w:r w:rsidRPr="00ED7DF1">
        <w:t>Notice of Confirmation of Road</w:t>
      </w:r>
      <w:r>
        <w:t xml:space="preserve"> </w:t>
      </w:r>
      <w:r w:rsidRPr="00ED7DF1">
        <w:t>Process Order</w:t>
      </w:r>
      <w:r>
        <w:br/>
      </w:r>
      <w:r w:rsidRPr="001A3D5C">
        <w:t>Road Closure</w:t>
      </w:r>
      <w:r>
        <w:t>—</w:t>
      </w:r>
      <w:r w:rsidRPr="001A3D5C">
        <w:t>Queen Place, Moonta Bay</w:t>
      </w:r>
    </w:p>
    <w:p w:rsidR="00821269" w:rsidRDefault="00821269" w:rsidP="00821269">
      <w:pPr>
        <w:pStyle w:val="GG-body"/>
      </w:pPr>
      <w:r w:rsidRPr="001A3D5C">
        <w:t>BY Road Process Order made on 18 March 2020, the Copper Coast Council ordered that:</w:t>
      </w:r>
    </w:p>
    <w:p w:rsidR="00821269" w:rsidRDefault="00821269" w:rsidP="00391865">
      <w:pPr>
        <w:pStyle w:val="GG-body"/>
        <w:numPr>
          <w:ilvl w:val="0"/>
          <w:numId w:val="11"/>
        </w:numPr>
        <w:tabs>
          <w:tab w:val="left" w:pos="567"/>
        </w:tabs>
        <w:ind w:left="567"/>
      </w:pPr>
      <w:r w:rsidRPr="001A3D5C">
        <w:t>Portion of Queen Place, Moonta Bay, situated adjoining Allotment 10 in Deposited Plan 35513 and Allotment 3 in Filed Plan 148220, Hundred of Wallaroo, more particularly delineated and lettered ‘A’ and ‘B’ in Preliminary Plan 18/0016 be closed.</w:t>
      </w:r>
    </w:p>
    <w:p w:rsidR="00821269" w:rsidRDefault="00821269" w:rsidP="00391865">
      <w:pPr>
        <w:pStyle w:val="GG-body"/>
        <w:numPr>
          <w:ilvl w:val="0"/>
          <w:numId w:val="11"/>
        </w:numPr>
        <w:tabs>
          <w:tab w:val="left" w:pos="567"/>
        </w:tabs>
        <w:ind w:left="567"/>
      </w:pPr>
      <w:r w:rsidRPr="001A3D5C">
        <w:t>Transfer portion of the land subject to closure lettered ‘A’ to Elizabeth Louise Minge in accordance with the Agreement for Transfer dated 20 February 2018 entered into between the Copper Coast Council and Elizabeth Louise Minge.</w:t>
      </w:r>
    </w:p>
    <w:p w:rsidR="00821269" w:rsidRDefault="00821269" w:rsidP="00391865">
      <w:pPr>
        <w:pStyle w:val="GG-body"/>
        <w:numPr>
          <w:ilvl w:val="0"/>
          <w:numId w:val="11"/>
        </w:numPr>
        <w:tabs>
          <w:tab w:val="left" w:pos="567"/>
        </w:tabs>
        <w:ind w:left="567"/>
      </w:pPr>
      <w:r w:rsidRPr="001A3D5C">
        <w:t>Transfer portion of the land subject to closure lettered ‘B’ to Marieanne Teresa Gadaleta in accordance with the Agreement for Transfer dated 20 February 2018 entered into between the Copper Coast Council and Marieanne Teresa Gadaleta.</w:t>
      </w:r>
    </w:p>
    <w:p w:rsidR="00821269" w:rsidRDefault="00821269" w:rsidP="00821269">
      <w:pPr>
        <w:pStyle w:val="GG-body"/>
      </w:pPr>
      <w:r w:rsidRPr="001A3D5C">
        <w:t xml:space="preserve">On 19 May 2020 that order was confirmed by the Minister for Transport, Infrastructure and Local Government conditionally upon the deposit by the Registrar-General of Deposited Plan </w:t>
      </w:r>
      <w:r w:rsidRPr="001A3D5C">
        <w:rPr>
          <w:iCs/>
        </w:rPr>
        <w:t>123811</w:t>
      </w:r>
      <w:r w:rsidRPr="001A3D5C">
        <w:t xml:space="preserve"> being the authority for the new boundaries.</w:t>
      </w:r>
    </w:p>
    <w:p w:rsidR="00821269" w:rsidRDefault="00821269" w:rsidP="00821269">
      <w:pPr>
        <w:pStyle w:val="GG-body"/>
      </w:pPr>
      <w:r w:rsidRPr="001A3D5C">
        <w:t>Pursuant to section 24 of the Roads (Opening and Closing) Act 1991, NOTICE of the Order referred to above and its confirmation is hereby given.</w:t>
      </w:r>
    </w:p>
    <w:p w:rsidR="00821269" w:rsidRDefault="00821269" w:rsidP="00821269">
      <w:pPr>
        <w:pStyle w:val="GG-SDated"/>
      </w:pPr>
      <w:r w:rsidRPr="001A3D5C">
        <w:t>Dated: 21 May 2020</w:t>
      </w:r>
    </w:p>
    <w:p w:rsidR="00821269" w:rsidRDefault="00821269" w:rsidP="00821269">
      <w:pPr>
        <w:pStyle w:val="GG-SName"/>
      </w:pPr>
      <w:r w:rsidRPr="00ED7DF1">
        <w:rPr>
          <w:szCs w:val="17"/>
        </w:rPr>
        <w:t xml:space="preserve">M. P. </w:t>
      </w:r>
      <w:r w:rsidRPr="00ED7DF1">
        <w:t>Burdett</w:t>
      </w:r>
    </w:p>
    <w:p w:rsidR="00821269" w:rsidRDefault="00821269" w:rsidP="00821269">
      <w:pPr>
        <w:pStyle w:val="GG-Signature"/>
      </w:pPr>
      <w:r w:rsidRPr="00ED7DF1">
        <w:t>Surveyor-General</w:t>
      </w:r>
    </w:p>
    <w:p w:rsidR="00821269" w:rsidRDefault="00821269" w:rsidP="00821269">
      <w:pPr>
        <w:pStyle w:val="GG-SDated"/>
      </w:pPr>
      <w:r w:rsidRPr="001A3D5C">
        <w:t>DPTI: 2018/11758/01</w:t>
      </w:r>
    </w:p>
    <w:p w:rsidR="00821269" w:rsidRDefault="00821269" w:rsidP="00821269">
      <w:pPr>
        <w:pBdr>
          <w:bottom w:val="single" w:sz="4" w:space="1" w:color="auto"/>
        </w:pBdr>
        <w:spacing w:after="0" w:line="52" w:lineRule="exact"/>
        <w:jc w:val="center"/>
      </w:pPr>
    </w:p>
    <w:p w:rsidR="00821269" w:rsidRDefault="00821269" w:rsidP="00821269">
      <w:pPr>
        <w:pBdr>
          <w:top w:val="single" w:sz="4" w:space="1" w:color="auto"/>
        </w:pBdr>
        <w:spacing w:before="34" w:after="0" w:line="14" w:lineRule="exact"/>
        <w:jc w:val="center"/>
      </w:pPr>
    </w:p>
    <w:p w:rsidR="00821269" w:rsidRDefault="00821269" w:rsidP="005C37EF">
      <w:pPr>
        <w:pStyle w:val="GG-body"/>
        <w:spacing w:after="0"/>
        <w:rPr>
          <w:lang w:val="en-US"/>
        </w:rPr>
      </w:pPr>
    </w:p>
    <w:p w:rsidR="00821269" w:rsidRPr="00EF6746" w:rsidRDefault="00821269" w:rsidP="00BB557D">
      <w:pPr>
        <w:pStyle w:val="Heading2"/>
      </w:pPr>
      <w:bookmarkStart w:id="68" w:name="_Toc40954882"/>
      <w:r w:rsidRPr="00EF6746">
        <w:t>THE DISTRICT COURT OF SOUTH AUSTRALIA</w:t>
      </w:r>
      <w:bookmarkEnd w:id="68"/>
    </w:p>
    <w:p w:rsidR="00821269" w:rsidRPr="00EF6746" w:rsidRDefault="00821269" w:rsidP="00821269">
      <w:pPr>
        <w:pStyle w:val="GG-Title2"/>
      </w:pPr>
      <w:r w:rsidRPr="00EF6746">
        <w:t>Mount Gambier Circuit Court</w:t>
      </w:r>
    </w:p>
    <w:p w:rsidR="00821269" w:rsidRPr="00EF6746" w:rsidRDefault="00821269" w:rsidP="00821269">
      <w:pPr>
        <w:pStyle w:val="GG-Title3"/>
      </w:pPr>
      <w:r w:rsidRPr="00EF6746">
        <w:t>Sheriff’s Office, Adelaide, 7 July 2020</w:t>
      </w:r>
    </w:p>
    <w:p w:rsidR="00821269" w:rsidRPr="00EF6746"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808080"/>
        </w:rPr>
      </w:pPr>
      <w:r w:rsidRPr="00EF6746">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rsidR="00821269" w:rsidRPr="00EF6746"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pPr>
      <w:r w:rsidRPr="00EF6746">
        <w:t xml:space="preserve">Tuesday 7 July 2020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EF6746">
        <w:rPr>
          <w:i/>
        </w:rPr>
        <w:t>ex officio</w:t>
      </w:r>
      <w:r w:rsidRPr="00EF6746">
        <w:t xml:space="preserve"> informations or of persons on bail and committed for trial who have signified their intentions to plead guilty and the passing of sentences for all matters listed for disposition by the District Court.</w:t>
      </w:r>
    </w:p>
    <w:p w:rsidR="00821269" w:rsidRPr="00EF6746"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EF6746">
        <w:t>Juries will be summoned for 7 July 2020 and persons will be tried on this and subsequent days of the sittings.</w:t>
      </w:r>
    </w:p>
    <w:p w:rsidR="00821269" w:rsidRPr="00EF6746" w:rsidRDefault="00821269" w:rsidP="00821269">
      <w:pPr>
        <w:pStyle w:val="GG-Title3"/>
      </w:pPr>
      <w:r w:rsidRPr="00EF6746">
        <w:t xml:space="preserve">Prisoners in H.M. Gaol and on bail for sentence and for trial </w:t>
      </w:r>
      <w:r>
        <w:br/>
      </w:r>
      <w:r w:rsidRPr="00EF6746">
        <w:t>at the sittings of the Mount Gambier Courthouse, commencing 7 July</w:t>
      </w:r>
      <w:r>
        <w:t xml:space="preserve"> 2020</w:t>
      </w:r>
    </w:p>
    <w:tbl>
      <w:tblPr>
        <w:tblW w:w="9365" w:type="dxa"/>
        <w:tblLayout w:type="fixed"/>
        <w:tblCellMar>
          <w:left w:w="5" w:type="dxa"/>
          <w:right w:w="5" w:type="dxa"/>
        </w:tblCellMar>
        <w:tblLook w:val="0000" w:firstRow="0" w:lastRow="0" w:firstColumn="0" w:lastColumn="0" w:noHBand="0" w:noVBand="0"/>
      </w:tblPr>
      <w:tblGrid>
        <w:gridCol w:w="1701"/>
        <w:gridCol w:w="142"/>
        <w:gridCol w:w="6946"/>
        <w:gridCol w:w="576"/>
      </w:tblGrid>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Barry, Daniel Luke</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Dangerous driving; leave accident scene after causing death; due care – aggravated offence</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Bott, John Lewis</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Application for enforcement of a breached bond</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F, B A</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Persistent sexual exploitation of a child; assault occasioning actual bodily harm</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Harkins, Matthew Allen</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Rape (2)</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Kostera, Bradley John</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Possess an unregistered firearm (5); contravene a provision of the code of practice – category c (5); possess firearm (not prescribed) without a license (5); possess prescribed firearm without a licence</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Melino, Henri Joseph</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Escape from custody</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In gaol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Rolph, Benjamin Dean</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Attempted aggravated commit theft using force</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In gaol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Rolph, Benjamin Dean</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Application for enforcement of a breached bond</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In gaol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Rolph, Benjamin Dean</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Application for enforcement of a breached bond</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In gaol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Steer, Brenton Edward</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Maintaining an unlawful sexual relationship with a child</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Tilley, Nigel Graham</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Aggravated indecent assault (3); persistent sexual exploitation of a child</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r w:rsidR="00821269" w:rsidRPr="00EF6746" w:rsidTr="00BB557D">
        <w:tc>
          <w:tcPr>
            <w:tcW w:w="1701"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Williams, Narissa Kym Prakesh, Vishel</w:t>
            </w:r>
          </w:p>
        </w:tc>
        <w:tc>
          <w:tcPr>
            <w:tcW w:w="142"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tc>
        <w:tc>
          <w:tcPr>
            <w:tcW w:w="694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pPr>
            <w:r w:rsidRPr="00EF6746">
              <w:t>Trafficking in a controlled drug</w:t>
            </w:r>
          </w:p>
        </w:tc>
        <w:tc>
          <w:tcPr>
            <w:tcW w:w="576" w:type="dxa"/>
          </w:tcPr>
          <w:p w:rsidR="00821269" w:rsidRPr="00EF6746" w:rsidRDefault="00821269" w:rsidP="00BB55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On bail</w:t>
            </w:r>
          </w:p>
        </w:tc>
      </w:tr>
    </w:tbl>
    <w:p w:rsidR="00821269"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pPr>
      <w:r w:rsidRPr="00EF6746">
        <w:t>Prisoners on bail must surrender at 10 a.m. of the day appointed for their respective trials. If they do not appear when called upon their recognizances and those of their bail will be estreated and a bench warrant will be issued forthwith.</w:t>
      </w:r>
    </w:p>
    <w:p w:rsidR="00821269" w:rsidRPr="00EF6746" w:rsidRDefault="00821269" w:rsidP="00821269">
      <w:pPr>
        <w:pStyle w:val="GG-SDated"/>
      </w:pPr>
      <w:r>
        <w:t>Dated: 21 May 2020</w:t>
      </w:r>
    </w:p>
    <w:p w:rsidR="00821269" w:rsidRPr="00EF6746"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center"/>
      </w:pPr>
      <w:r w:rsidRPr="00EF6746">
        <w:t>By order of the Court,</w:t>
      </w:r>
    </w:p>
    <w:p w:rsidR="00821269"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mallCaps/>
        </w:rPr>
      </w:pPr>
      <w:r w:rsidRPr="00EF6746">
        <w:rPr>
          <w:smallCaps/>
        </w:rPr>
        <w:t>S. Ferguson</w:t>
      </w:r>
    </w:p>
    <w:p w:rsidR="00821269" w:rsidRPr="00EF6746" w:rsidRDefault="00821269" w:rsidP="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pPr>
      <w:r w:rsidRPr="00EF6746">
        <w:t>Sheriff</w:t>
      </w:r>
    </w:p>
    <w:p w:rsidR="00821269" w:rsidRPr="00EF6746" w:rsidRDefault="00821269" w:rsidP="00821269">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pPr>
    </w:p>
    <w:p w:rsidR="00821269" w:rsidRPr="00EF6746" w:rsidRDefault="00821269" w:rsidP="0082126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pPr>
    </w:p>
    <w:p w:rsidR="005C37EF" w:rsidRDefault="005C37EF" w:rsidP="005C37EF">
      <w:pPr>
        <w:pStyle w:val="GG-body"/>
        <w:spacing w:after="0"/>
        <w:rPr>
          <w:lang w:val="en-US"/>
        </w:rPr>
      </w:pPr>
    </w:p>
    <w:p w:rsidR="009D1E2E" w:rsidRPr="009D1E2E" w:rsidRDefault="009D1E2E" w:rsidP="00F80EF5">
      <w:pPr>
        <w:pStyle w:val="Heading1"/>
      </w:pPr>
      <w:r>
        <w:rPr>
          <w:lang w:val="en-US"/>
        </w:rPr>
        <w:br w:type="page"/>
      </w:r>
      <w:bookmarkStart w:id="69" w:name="_Toc33707983"/>
      <w:bookmarkStart w:id="70" w:name="_Toc33708154"/>
      <w:bookmarkStart w:id="71" w:name="_Toc40954883"/>
      <w:r>
        <w:lastRenderedPageBreak/>
        <w:t>Local</w:t>
      </w:r>
      <w:r w:rsidRPr="009D1E2E">
        <w:t xml:space="preserve"> Government Instruments</w:t>
      </w:r>
      <w:bookmarkEnd w:id="69"/>
      <w:bookmarkEnd w:id="70"/>
      <w:bookmarkEnd w:id="71"/>
    </w:p>
    <w:p w:rsidR="00821269" w:rsidRPr="006E6FE3" w:rsidRDefault="00821269" w:rsidP="00BB557D">
      <w:pPr>
        <w:pStyle w:val="Heading2"/>
      </w:pPr>
      <w:bookmarkStart w:id="72" w:name="_Toc40954884"/>
      <w:r w:rsidRPr="006E6FE3">
        <w:t>City of Unley</w:t>
      </w:r>
      <w:bookmarkEnd w:id="72"/>
    </w:p>
    <w:p w:rsidR="00821269" w:rsidRPr="006E6FE3" w:rsidRDefault="00821269" w:rsidP="00821269">
      <w:pPr>
        <w:pStyle w:val="GG-Title3"/>
      </w:pPr>
      <w:r w:rsidRPr="006E6FE3">
        <w:t>Exclusion of Land from Classification of Community Land</w:t>
      </w:r>
    </w:p>
    <w:p w:rsidR="00821269" w:rsidRDefault="00821269" w:rsidP="00821269">
      <w:pPr>
        <w:pStyle w:val="GG-body"/>
      </w:pPr>
      <w:r w:rsidRPr="006E6FE3">
        <w:t>NOTICE is hereby given that pursuant to Section 193(4)(a) of the Local Government Act 1999, the City of Unley at its meeting held on 28 January 2020, resolved that the following land be excluded from Classification as Community Land:</w:t>
      </w:r>
    </w:p>
    <w:p w:rsidR="00821269" w:rsidRPr="006E6FE3" w:rsidRDefault="00821269" w:rsidP="00391865">
      <w:pPr>
        <w:pStyle w:val="GG-body"/>
        <w:numPr>
          <w:ilvl w:val="0"/>
          <w:numId w:val="12"/>
        </w:numPr>
        <w:tabs>
          <w:tab w:val="left" w:pos="426"/>
        </w:tabs>
        <w:spacing w:after="0"/>
      </w:pPr>
      <w:r w:rsidRPr="006E6FE3">
        <w:t>Lot 510 Filed Plan 10805 being the whole of land in Certificate of Title Volume 5080 Folio 917</w:t>
      </w:r>
    </w:p>
    <w:p w:rsidR="00821269" w:rsidRDefault="00821269" w:rsidP="00391865">
      <w:pPr>
        <w:pStyle w:val="GG-body"/>
        <w:numPr>
          <w:ilvl w:val="0"/>
          <w:numId w:val="12"/>
        </w:numPr>
        <w:tabs>
          <w:tab w:val="left" w:pos="426"/>
        </w:tabs>
      </w:pPr>
      <w:r w:rsidRPr="006E6FE3">
        <w:t>Lot 511 Filed Plan 10805 being the whole of land in Certificate of Title Volume 5080 Folio 916</w:t>
      </w:r>
    </w:p>
    <w:p w:rsidR="00821269" w:rsidRPr="006E6FE3" w:rsidRDefault="00821269" w:rsidP="00821269">
      <w:pPr>
        <w:pStyle w:val="GG-SDated"/>
      </w:pPr>
      <w:r>
        <w:t xml:space="preserve">Dated: </w:t>
      </w:r>
      <w:r w:rsidRPr="006E6FE3">
        <w:t>12 May 2020</w:t>
      </w:r>
    </w:p>
    <w:p w:rsidR="00821269" w:rsidRPr="006E6FE3" w:rsidRDefault="00821269" w:rsidP="00821269">
      <w:pPr>
        <w:pStyle w:val="GG-SName"/>
      </w:pPr>
      <w:r w:rsidRPr="006E6FE3">
        <w:t>Peter Tsokas</w:t>
      </w:r>
    </w:p>
    <w:p w:rsidR="00821269" w:rsidRDefault="00821269" w:rsidP="00821269">
      <w:pPr>
        <w:pStyle w:val="GG-Signature"/>
      </w:pPr>
      <w:r w:rsidRPr="006E6FE3">
        <w:t>Chief Executive Officer</w:t>
      </w:r>
    </w:p>
    <w:p w:rsidR="00821269" w:rsidRDefault="00821269" w:rsidP="00821269">
      <w:pPr>
        <w:pStyle w:val="GG-Signature"/>
        <w:pBdr>
          <w:bottom w:val="single" w:sz="4" w:space="1" w:color="auto"/>
        </w:pBdr>
        <w:spacing w:line="52" w:lineRule="exact"/>
        <w:jc w:val="center"/>
      </w:pPr>
    </w:p>
    <w:p w:rsidR="00821269" w:rsidRDefault="00821269" w:rsidP="00821269">
      <w:pPr>
        <w:pStyle w:val="GG-Signature"/>
        <w:pBdr>
          <w:top w:val="single" w:sz="4" w:space="1" w:color="auto"/>
        </w:pBdr>
        <w:spacing w:before="34" w:line="14" w:lineRule="exact"/>
        <w:jc w:val="center"/>
      </w:pPr>
    </w:p>
    <w:p w:rsidR="009D1E2E" w:rsidRDefault="009D1E2E" w:rsidP="00821269">
      <w:pPr>
        <w:pStyle w:val="GG-body"/>
        <w:spacing w:after="0"/>
        <w:rPr>
          <w:lang w:val="en-US"/>
        </w:rPr>
      </w:pPr>
    </w:p>
    <w:p w:rsidR="00821269" w:rsidRPr="00821269" w:rsidRDefault="00821269" w:rsidP="00BB557D">
      <w:pPr>
        <w:pStyle w:val="Heading2"/>
      </w:pPr>
      <w:bookmarkStart w:id="73" w:name="_Toc40954885"/>
      <w:r w:rsidRPr="00821269">
        <w:t>District Council of Grant</w:t>
      </w:r>
      <w:bookmarkEnd w:id="73"/>
    </w:p>
    <w:p w:rsidR="00821269" w:rsidRPr="00821269" w:rsidRDefault="00821269" w:rsidP="00821269">
      <w:pPr>
        <w:jc w:val="center"/>
        <w:rPr>
          <w:smallCaps/>
          <w:szCs w:val="17"/>
        </w:rPr>
      </w:pPr>
      <w:r w:rsidRPr="00821269">
        <w:rPr>
          <w:smallCaps/>
          <w:szCs w:val="17"/>
        </w:rPr>
        <w:t>Road (Opening and Closing) Act 1991</w:t>
      </w:r>
    </w:p>
    <w:p w:rsidR="00821269" w:rsidRPr="00821269" w:rsidRDefault="00821269" w:rsidP="00821269">
      <w:pPr>
        <w:jc w:val="center"/>
        <w:rPr>
          <w:i/>
          <w:szCs w:val="17"/>
        </w:rPr>
      </w:pPr>
      <w:r w:rsidRPr="00821269">
        <w:rPr>
          <w:i/>
          <w:szCs w:val="17"/>
        </w:rPr>
        <w:t>Rahley Road, Mil-Lel</w:t>
      </w:r>
    </w:p>
    <w:p w:rsidR="00821269" w:rsidRPr="00821269" w:rsidRDefault="00821269" w:rsidP="00821269">
      <w:pPr>
        <w:rPr>
          <w:rFonts w:eastAsia="Times New Roman"/>
          <w:szCs w:val="17"/>
        </w:rPr>
      </w:pPr>
      <w:r w:rsidRPr="00821269">
        <w:rPr>
          <w:rFonts w:eastAsia="Times New Roman"/>
          <w:szCs w:val="17"/>
        </w:rPr>
        <w:t>NOTICE is hereby given, pursuant to Section 10 of the Roads (Opening and Closing) Act, 1991, that the District Council Grant hereby gives notice of its intent to implement a Road Process Order to:</w:t>
      </w:r>
    </w:p>
    <w:p w:rsidR="00821269" w:rsidRPr="00821269" w:rsidRDefault="00821269" w:rsidP="00391865">
      <w:pPr>
        <w:numPr>
          <w:ilvl w:val="0"/>
          <w:numId w:val="13"/>
        </w:numPr>
        <w:tabs>
          <w:tab w:val="left" w:pos="567"/>
        </w:tabs>
        <w:ind w:left="567" w:hanging="218"/>
        <w:rPr>
          <w:rFonts w:eastAsia="Times New Roman"/>
          <w:szCs w:val="17"/>
        </w:rPr>
      </w:pPr>
      <w:r w:rsidRPr="00821269">
        <w:rPr>
          <w:rFonts w:eastAsia="Times New Roman"/>
          <w:szCs w:val="17"/>
        </w:rPr>
        <w:t xml:space="preserve">close portion of Public Road and merge with the adjoining Allotment 21 in Deposited Plan 76170 more particularly delineated and lettered as “B” in Preliminary Plan 20/0016 </w:t>
      </w:r>
    </w:p>
    <w:p w:rsidR="00821269" w:rsidRPr="00821269" w:rsidRDefault="00821269" w:rsidP="00391865">
      <w:pPr>
        <w:numPr>
          <w:ilvl w:val="0"/>
          <w:numId w:val="13"/>
        </w:numPr>
        <w:tabs>
          <w:tab w:val="left" w:pos="567"/>
        </w:tabs>
        <w:ind w:left="567" w:hanging="218"/>
        <w:rPr>
          <w:rFonts w:eastAsia="Times New Roman"/>
          <w:szCs w:val="17"/>
        </w:rPr>
      </w:pPr>
      <w:r w:rsidRPr="00821269">
        <w:rPr>
          <w:rFonts w:eastAsia="Times New Roman"/>
          <w:szCs w:val="17"/>
        </w:rPr>
        <w:t>close portion of Public Road and merge with the adjoining Section 632 in H420400 more particularly delineated and lettered as “C &amp; D” in Preliminary Plan 20/0016.</w:t>
      </w:r>
    </w:p>
    <w:p w:rsidR="00821269" w:rsidRPr="00821269" w:rsidRDefault="00821269" w:rsidP="00821269">
      <w:pPr>
        <w:rPr>
          <w:rFonts w:eastAsia="Times New Roman"/>
          <w:szCs w:val="17"/>
        </w:rPr>
      </w:pPr>
      <w:r w:rsidRPr="00821269">
        <w:rPr>
          <w:rFonts w:eastAsia="Times New Roman"/>
          <w:szCs w:val="17"/>
        </w:rPr>
        <w:t xml:space="preserve">A copy of the plan and a statement of persons affected are available for viewing on Council’s website </w:t>
      </w:r>
      <w:hyperlink r:id="rId54" w:history="1">
        <w:r w:rsidRPr="00821269">
          <w:rPr>
            <w:rFonts w:eastAsia="Times New Roman"/>
            <w:color w:val="0000FF"/>
            <w:szCs w:val="17"/>
            <w:u w:val="single"/>
          </w:rPr>
          <w:t>www.dcgrant.sa.gov.au</w:t>
        </w:r>
      </w:hyperlink>
      <w:r w:rsidRPr="00821269">
        <w:rPr>
          <w:rFonts w:eastAsia="Times New Roman"/>
          <w:szCs w:val="17"/>
        </w:rPr>
        <w:t xml:space="preserve"> and at the Adelaide office of the Surveyor-General during normal office hours.</w:t>
      </w:r>
    </w:p>
    <w:p w:rsidR="00821269" w:rsidRPr="00821269" w:rsidRDefault="00821269" w:rsidP="00821269">
      <w:pPr>
        <w:rPr>
          <w:rFonts w:eastAsia="Times New Roman"/>
          <w:szCs w:val="17"/>
        </w:rPr>
      </w:pPr>
      <w:r w:rsidRPr="00821269">
        <w:rPr>
          <w:rFonts w:eastAsia="Times New Roman"/>
          <w:szCs w:val="17"/>
        </w:rPr>
        <w:t xml:space="preserve">The Preliminary Plan can also be viewed at </w:t>
      </w:r>
      <w:hyperlink r:id="rId55" w:history="1">
        <w:r w:rsidRPr="00821269">
          <w:rPr>
            <w:rFonts w:eastAsia="Times New Roman"/>
            <w:color w:val="0000FF"/>
            <w:szCs w:val="17"/>
            <w:u w:val="single"/>
          </w:rPr>
          <w:t>www.sa.gov.au/roadsactproposals</w:t>
        </w:r>
      </w:hyperlink>
    </w:p>
    <w:p w:rsidR="00821269" w:rsidRPr="00821269" w:rsidRDefault="00821269" w:rsidP="00821269">
      <w:pPr>
        <w:rPr>
          <w:rFonts w:eastAsia="Times New Roman"/>
          <w:szCs w:val="17"/>
        </w:rPr>
      </w:pPr>
      <w:r w:rsidRPr="00821269">
        <w:rPr>
          <w:rFonts w:eastAsia="Times New Roman"/>
          <w:szCs w:val="17"/>
        </w:rPr>
        <w:t xml:space="preserve">Any application for easement or objection must set out the full name, address and details of the submission and must be fully supported by reasons.  The application for easement or objection must be made in writing to the Council at PO Box 724, MOUNT GAMBIER SA 5290 WITHIN 28 DAYS OF THIS NOTICE and a copy must be forwarded to the Surveyor-General at GPO Box 1354, Adelaide 5001. Where a submission is made, the Council will give notification of a meeting at which the matter will be considered. </w:t>
      </w:r>
    </w:p>
    <w:p w:rsidR="00821269" w:rsidRPr="00821269" w:rsidRDefault="00821269" w:rsidP="00821269">
      <w:pPr>
        <w:spacing w:after="0"/>
        <w:rPr>
          <w:rFonts w:eastAsia="Times New Roman"/>
          <w:szCs w:val="17"/>
        </w:rPr>
      </w:pPr>
      <w:r w:rsidRPr="00821269">
        <w:rPr>
          <w:rFonts w:eastAsia="Times New Roman"/>
          <w:szCs w:val="17"/>
        </w:rPr>
        <w:t>Dated: 21 May 2020</w:t>
      </w:r>
    </w:p>
    <w:p w:rsidR="00821269" w:rsidRPr="00821269" w:rsidRDefault="00821269" w:rsidP="00821269">
      <w:pPr>
        <w:spacing w:after="0"/>
        <w:jc w:val="right"/>
        <w:rPr>
          <w:rFonts w:eastAsia="Times New Roman"/>
          <w:smallCaps/>
          <w:szCs w:val="20"/>
        </w:rPr>
      </w:pPr>
      <w:r w:rsidRPr="00821269">
        <w:rPr>
          <w:rFonts w:eastAsia="Times New Roman"/>
          <w:smallCaps/>
          <w:szCs w:val="20"/>
        </w:rPr>
        <w:t>Darryl Whicker</w:t>
      </w:r>
    </w:p>
    <w:p w:rsidR="00821269" w:rsidRDefault="00821269" w:rsidP="00821269">
      <w:pPr>
        <w:spacing w:after="0"/>
        <w:jc w:val="right"/>
        <w:rPr>
          <w:rFonts w:eastAsia="Times New Roman"/>
          <w:szCs w:val="17"/>
        </w:rPr>
      </w:pPr>
      <w:r w:rsidRPr="00821269">
        <w:rPr>
          <w:rFonts w:eastAsia="Times New Roman"/>
          <w:szCs w:val="17"/>
        </w:rPr>
        <w:t>Chief Executive Officer</w:t>
      </w:r>
    </w:p>
    <w:p w:rsidR="00821269" w:rsidRDefault="00821269" w:rsidP="00821269">
      <w:pPr>
        <w:pBdr>
          <w:bottom w:val="single" w:sz="4" w:space="1" w:color="auto"/>
        </w:pBdr>
        <w:spacing w:after="0" w:line="52" w:lineRule="exact"/>
        <w:jc w:val="center"/>
        <w:rPr>
          <w:rFonts w:eastAsia="Times New Roman"/>
          <w:szCs w:val="17"/>
        </w:rPr>
      </w:pPr>
    </w:p>
    <w:p w:rsidR="00821269" w:rsidRDefault="00821269" w:rsidP="00821269">
      <w:pPr>
        <w:pBdr>
          <w:top w:val="single" w:sz="4" w:space="1" w:color="auto"/>
        </w:pBdr>
        <w:spacing w:before="34" w:after="0" w:line="14" w:lineRule="exact"/>
        <w:jc w:val="center"/>
        <w:rPr>
          <w:rFonts w:eastAsia="Times New Roman"/>
          <w:szCs w:val="17"/>
        </w:rPr>
      </w:pPr>
    </w:p>
    <w:p w:rsidR="00821269" w:rsidRDefault="00821269" w:rsidP="00821269">
      <w:pPr>
        <w:pStyle w:val="GG-body"/>
        <w:spacing w:after="0"/>
        <w:rPr>
          <w:lang w:val="en-US"/>
        </w:rPr>
      </w:pPr>
    </w:p>
    <w:p w:rsidR="00821269" w:rsidRDefault="00821269" w:rsidP="00BB557D">
      <w:pPr>
        <w:pStyle w:val="Heading2"/>
      </w:pPr>
      <w:bookmarkStart w:id="74" w:name="_Toc40954886"/>
      <w:r w:rsidRPr="00533348">
        <w:t>District Council of Mount Remarkable</w:t>
      </w:r>
      <w:bookmarkEnd w:id="74"/>
    </w:p>
    <w:p w:rsidR="00821269" w:rsidRPr="00533348" w:rsidRDefault="00821269" w:rsidP="00821269">
      <w:pPr>
        <w:pStyle w:val="GG-Title2"/>
      </w:pPr>
      <w:r w:rsidRPr="00533348">
        <w:t>Supplementary Election of Councillor for Telowie Ward</w:t>
      </w:r>
    </w:p>
    <w:p w:rsidR="00821269" w:rsidRPr="00533348" w:rsidRDefault="00821269" w:rsidP="00821269">
      <w:pPr>
        <w:pStyle w:val="GG-Title3"/>
      </w:pPr>
      <w:r w:rsidRPr="00533348">
        <w:t>Call for Nominations</w:t>
      </w:r>
    </w:p>
    <w:p w:rsidR="00821269" w:rsidRDefault="00821269" w:rsidP="00821269">
      <w:pPr>
        <w:pStyle w:val="GG-body"/>
      </w:pPr>
      <w:r w:rsidRPr="00533348">
        <w:t>Nominations to be a candidate for election as a member of the District Council of Mount Remarkable will be received between Friday 29</w:t>
      </w:r>
      <w:r>
        <w:t> </w:t>
      </w:r>
      <w:r w:rsidRPr="00533348">
        <w:t xml:space="preserve">May 2020 and 12 noon Friday 12 June 2020. Candidates must submit a profile of not more than 150 words with their nomination form and may also provide a photograph, predominantly head and shoulders, taken within the previous 12 months. </w:t>
      </w:r>
    </w:p>
    <w:p w:rsidR="00821269" w:rsidRDefault="00821269" w:rsidP="00821269">
      <w:pPr>
        <w:pStyle w:val="GG-body"/>
      </w:pPr>
      <w:r w:rsidRPr="00533348">
        <w:t xml:space="preserve">Nomination kits are available from the Council Office, 3 Stuart Street, Melrose. Electronic copies of nomination forms and guides will be available for download from the Electoral Commission SA website at </w:t>
      </w:r>
      <w:hyperlink r:id="rId56" w:history="1">
        <w:r w:rsidRPr="00533348">
          <w:rPr>
            <w:rStyle w:val="Hyperlink"/>
          </w:rPr>
          <w:t>www.ecsa.sa.gov.au</w:t>
        </w:r>
      </w:hyperlink>
    </w:p>
    <w:p w:rsidR="00821269" w:rsidRDefault="00821269" w:rsidP="00821269">
      <w:pPr>
        <w:pStyle w:val="GG-body"/>
      </w:pPr>
      <w:r w:rsidRPr="00533348">
        <w:t>An interactive online briefing session for intending candidates will be held on Monday 25 May 2020.</w:t>
      </w:r>
      <w:r>
        <w:t xml:space="preserve"> </w:t>
      </w:r>
      <w:r w:rsidRPr="00533348">
        <w:t>Please refer to the Electoral Commission SA website closer to the date for further details. The briefing session will be recorded and available on the Electoral Commission SA website.</w:t>
      </w:r>
    </w:p>
    <w:p w:rsidR="00821269" w:rsidRDefault="00821269" w:rsidP="00821269">
      <w:pPr>
        <w:pStyle w:val="GG-SDated"/>
      </w:pPr>
      <w:r>
        <w:t>Dated: 21 May 2020</w:t>
      </w:r>
    </w:p>
    <w:p w:rsidR="00821269" w:rsidRPr="00533348" w:rsidRDefault="00821269" w:rsidP="00821269">
      <w:pPr>
        <w:pStyle w:val="GG-SName"/>
      </w:pPr>
      <w:r w:rsidRPr="00533348">
        <w:t>Mick Sherry</w:t>
      </w:r>
    </w:p>
    <w:p w:rsidR="00821269" w:rsidRDefault="00821269" w:rsidP="00821269">
      <w:pPr>
        <w:pStyle w:val="GG-Signature"/>
      </w:pPr>
      <w:r w:rsidRPr="00533348">
        <w:t>Returning Officer</w:t>
      </w:r>
    </w:p>
    <w:p w:rsidR="00821269" w:rsidRDefault="00821269" w:rsidP="00821269">
      <w:pPr>
        <w:pStyle w:val="GG-Signature"/>
        <w:pBdr>
          <w:bottom w:val="single" w:sz="4" w:space="1" w:color="auto"/>
        </w:pBdr>
        <w:spacing w:line="52" w:lineRule="exact"/>
        <w:jc w:val="center"/>
      </w:pPr>
    </w:p>
    <w:p w:rsidR="00821269" w:rsidRDefault="00821269" w:rsidP="00821269">
      <w:pPr>
        <w:pStyle w:val="GG-Signature"/>
        <w:pBdr>
          <w:top w:val="single" w:sz="4" w:space="1" w:color="auto"/>
        </w:pBdr>
        <w:spacing w:before="34" w:line="14" w:lineRule="exact"/>
        <w:jc w:val="center"/>
      </w:pPr>
    </w:p>
    <w:p w:rsidR="00821269" w:rsidRDefault="00821269" w:rsidP="00821269">
      <w:pPr>
        <w:pStyle w:val="GG-body"/>
        <w:spacing w:after="0"/>
        <w:rPr>
          <w:lang w:val="en-US"/>
        </w:rPr>
      </w:pPr>
    </w:p>
    <w:p w:rsidR="00821269" w:rsidRDefault="00821269" w:rsidP="00BB557D">
      <w:pPr>
        <w:pStyle w:val="Heading2"/>
      </w:pPr>
      <w:bookmarkStart w:id="75" w:name="_Toc40954887"/>
      <w:r w:rsidRPr="004A432E">
        <w:t>YORKE PENINSULA COUNCIL</w:t>
      </w:r>
      <w:bookmarkEnd w:id="75"/>
    </w:p>
    <w:p w:rsidR="00821269" w:rsidRDefault="00821269" w:rsidP="00821269">
      <w:pPr>
        <w:pStyle w:val="GG-Title3"/>
      </w:pPr>
      <w:r w:rsidRPr="004A432E">
        <w:t>Revocation of Community Land Classification</w:t>
      </w:r>
    </w:p>
    <w:p w:rsidR="00821269" w:rsidRDefault="00821269" w:rsidP="0082126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CG Times (W1)" w:hAnsi="CG Times (W1)"/>
        </w:rPr>
      </w:pPr>
      <w:r w:rsidRPr="004A432E">
        <w:rPr>
          <w:rFonts w:ascii="CG Times (W1)" w:hAnsi="CG Times (W1)"/>
        </w:rPr>
        <w:t>NOTICE is hereby given that Council at its meeting held on 13 May 2020, resolved to revoke the Community Land Classification for Allotment 29, Chenoweth Crescent Parsons Beach, CT 5539/478 having complied with all requirements in relation to section 194 of the Local Government Act 1999.</w:t>
      </w:r>
    </w:p>
    <w:p w:rsidR="00821269" w:rsidRDefault="00821269" w:rsidP="00821269">
      <w:pPr>
        <w:pStyle w:val="GG-SDated"/>
      </w:pPr>
      <w:r w:rsidRPr="004A432E">
        <w:t>Dated: 14 May 2020</w:t>
      </w:r>
    </w:p>
    <w:p w:rsidR="00821269" w:rsidRDefault="00821269" w:rsidP="00821269">
      <w:pPr>
        <w:pStyle w:val="GG-SName"/>
      </w:pPr>
      <w:r>
        <w:t>Andrew Cameron</w:t>
      </w:r>
    </w:p>
    <w:p w:rsidR="00821269" w:rsidRDefault="00821269" w:rsidP="00821269">
      <w:pPr>
        <w:pStyle w:val="GG-Signature"/>
      </w:pPr>
      <w:r w:rsidRPr="004A432E">
        <w:t>Chief Executive Officer</w:t>
      </w:r>
    </w:p>
    <w:p w:rsidR="00821269" w:rsidRDefault="00821269" w:rsidP="00821269">
      <w:pPr>
        <w:pStyle w:val="GG-Signature"/>
        <w:pBdr>
          <w:bottom w:val="single" w:sz="4" w:space="1" w:color="auto"/>
        </w:pBdr>
        <w:spacing w:line="52" w:lineRule="exact"/>
        <w:jc w:val="center"/>
      </w:pPr>
    </w:p>
    <w:p w:rsidR="00821269" w:rsidRDefault="00821269" w:rsidP="00821269">
      <w:pPr>
        <w:pStyle w:val="GG-Signature"/>
        <w:pBdr>
          <w:top w:val="single" w:sz="4" w:space="1" w:color="auto"/>
        </w:pBdr>
        <w:spacing w:before="34" w:line="14" w:lineRule="exact"/>
        <w:jc w:val="center"/>
      </w:pPr>
    </w:p>
    <w:p w:rsidR="009D1E2E" w:rsidRPr="009D1E2E" w:rsidRDefault="009D1E2E" w:rsidP="00F80EF5">
      <w:pPr>
        <w:pStyle w:val="Heading1"/>
      </w:pPr>
      <w:r>
        <w:rPr>
          <w:lang w:val="en-US"/>
        </w:rPr>
        <w:br w:type="page"/>
      </w:r>
      <w:bookmarkStart w:id="76" w:name="_Toc33707984"/>
      <w:bookmarkStart w:id="77" w:name="_Toc33708155"/>
      <w:bookmarkStart w:id="78" w:name="_Toc40954888"/>
      <w:r>
        <w:lastRenderedPageBreak/>
        <w:t>Public Notices</w:t>
      </w:r>
      <w:bookmarkEnd w:id="76"/>
      <w:bookmarkEnd w:id="77"/>
      <w:bookmarkEnd w:id="78"/>
    </w:p>
    <w:p w:rsidR="00821269" w:rsidRDefault="00821269" w:rsidP="00BB557D">
      <w:pPr>
        <w:pStyle w:val="Heading2"/>
      </w:pPr>
      <w:bookmarkStart w:id="79" w:name="_Toc40954889"/>
      <w:r w:rsidRPr="001205D7">
        <w:t>National Electricity Law</w:t>
      </w:r>
      <w:bookmarkEnd w:id="79"/>
    </w:p>
    <w:p w:rsidR="00821269" w:rsidRPr="00641C48" w:rsidRDefault="00821269" w:rsidP="00821269">
      <w:pPr>
        <w:pStyle w:val="GG-Title3"/>
        <w:rPr>
          <w:lang w:val="en-US"/>
        </w:rPr>
      </w:pPr>
      <w:r>
        <w:t>Publication of Final Determination and Final Amendment Rule</w:t>
      </w:r>
    </w:p>
    <w:p w:rsidR="00821269" w:rsidRPr="001205D7" w:rsidRDefault="00821269" w:rsidP="00821269">
      <w:pPr>
        <w:pStyle w:val="GG-body"/>
        <w:rPr>
          <w:lang w:val="en-US"/>
        </w:rPr>
      </w:pPr>
      <w:r w:rsidRPr="001205D7">
        <w:rPr>
          <w:lang w:val="en-US"/>
        </w:rPr>
        <w:t>The Australian Energy Market Commission (AEMC) gives notice under the National Electricity Law as follows:</w:t>
      </w:r>
    </w:p>
    <w:p w:rsidR="00821269" w:rsidRPr="001205D7" w:rsidRDefault="00821269" w:rsidP="00821269">
      <w:pPr>
        <w:pStyle w:val="GG-body"/>
        <w:ind w:left="160"/>
        <w:rPr>
          <w:b/>
          <w:lang w:val="en-US"/>
        </w:rPr>
      </w:pPr>
      <w:r w:rsidRPr="00CA2EE4">
        <w:rPr>
          <w:lang w:val="en-US"/>
        </w:rPr>
        <w:t>Under ss 102 and 103, the making of the</w:t>
      </w:r>
      <w:r w:rsidRPr="00CA2EE4">
        <w:rPr>
          <w:i/>
        </w:rPr>
        <w:t xml:space="preserve"> National Electricity Amendment (Introduction of metering coordinator planned interruptions) Rule 2020</w:t>
      </w:r>
      <w:r w:rsidRPr="00CA2EE4">
        <w:rPr>
          <w:lang w:val="en-US"/>
        </w:rPr>
        <w:t xml:space="preserve"> </w:t>
      </w:r>
      <w:r w:rsidRPr="00CA2EE4">
        <w:rPr>
          <w:i/>
          <w:lang w:val="en-US"/>
        </w:rPr>
        <w:t xml:space="preserve">No. 7 </w:t>
      </w:r>
      <w:r w:rsidRPr="00CA2EE4">
        <w:rPr>
          <w:lang w:val="en-US"/>
        </w:rPr>
        <w:t xml:space="preserve">(Ref. ERC0275) and related final determination. </w:t>
      </w:r>
      <w:bookmarkStart w:id="80" w:name="Text14"/>
      <w:r w:rsidRPr="00CA2EE4">
        <w:rPr>
          <w:bCs/>
          <w:lang w:val="en-US"/>
        </w:rPr>
        <w:t xml:space="preserve">Schedule 3 commences on </w:t>
      </w:r>
      <w:r w:rsidRPr="00CA2EE4">
        <w:rPr>
          <w:b/>
          <w:lang w:val="en-US"/>
        </w:rPr>
        <w:t>28 May 2020</w:t>
      </w:r>
      <w:r w:rsidRPr="00CA2EE4">
        <w:rPr>
          <w:bCs/>
          <w:lang w:val="en-US"/>
        </w:rPr>
        <w:t xml:space="preserve">. Schedule 1 commences on </w:t>
      </w:r>
      <w:r w:rsidRPr="00CA2EE4">
        <w:rPr>
          <w:b/>
          <w:lang w:val="en-US"/>
        </w:rPr>
        <w:t>21 July 2020</w:t>
      </w:r>
      <w:r w:rsidRPr="00CA2EE4">
        <w:rPr>
          <w:bCs/>
          <w:lang w:val="en-US"/>
        </w:rPr>
        <w:t xml:space="preserve">. Schedule 2 commences on </w:t>
      </w:r>
      <w:r w:rsidRPr="00CA2EE4">
        <w:rPr>
          <w:b/>
          <w:lang w:val="en-US"/>
        </w:rPr>
        <w:t>1 July 2021</w:t>
      </w:r>
      <w:r w:rsidRPr="00CA2EE4">
        <w:rPr>
          <w:bCs/>
          <w:lang w:val="en-US"/>
        </w:rPr>
        <w:t>.</w:t>
      </w:r>
      <w:bookmarkEnd w:id="80"/>
    </w:p>
    <w:p w:rsidR="00821269" w:rsidRDefault="00821269" w:rsidP="00821269">
      <w:pPr>
        <w:pStyle w:val="GG-body"/>
        <w:rPr>
          <w:lang w:val="en-US"/>
        </w:rPr>
      </w:pPr>
      <w:r w:rsidRPr="001205D7">
        <w:rPr>
          <w:lang w:val="en-US"/>
        </w:rPr>
        <w:t>Documents referred to above are available on the AEMC’s website and are available for inspection at the AEMC’s office.</w:t>
      </w:r>
    </w:p>
    <w:p w:rsidR="00821269" w:rsidRDefault="00821269" w:rsidP="00821269">
      <w:pPr>
        <w:pStyle w:val="GG-body"/>
        <w:ind w:left="160"/>
      </w:pPr>
      <w:r>
        <w:t>Australian Energy Market Commission</w:t>
      </w:r>
    </w:p>
    <w:p w:rsidR="00821269" w:rsidRDefault="00821269" w:rsidP="00821269">
      <w:pPr>
        <w:pStyle w:val="GG-body"/>
        <w:spacing w:after="0"/>
        <w:ind w:left="160"/>
      </w:pPr>
      <w:r w:rsidRPr="00191A3A">
        <w:t>Level 15, 60 Castlereagh St</w:t>
      </w:r>
    </w:p>
    <w:p w:rsidR="00821269" w:rsidRDefault="00821269" w:rsidP="00821269">
      <w:pPr>
        <w:pStyle w:val="GG-body"/>
        <w:ind w:left="160"/>
      </w:pPr>
      <w:r>
        <w:t>Sydney NSW 2000</w:t>
      </w:r>
    </w:p>
    <w:p w:rsidR="00821269" w:rsidRDefault="00821269" w:rsidP="00821269">
      <w:pPr>
        <w:pStyle w:val="GG-body"/>
        <w:spacing w:after="0"/>
        <w:ind w:left="160"/>
      </w:pPr>
      <w:r>
        <w:t>Telephone: (02) 8296 7800</w:t>
      </w:r>
    </w:p>
    <w:p w:rsidR="00821269" w:rsidRDefault="00827BA8" w:rsidP="00821269">
      <w:pPr>
        <w:pStyle w:val="GG-body"/>
        <w:ind w:left="160"/>
      </w:pPr>
      <w:hyperlink r:id="rId57" w:history="1">
        <w:r w:rsidR="00821269" w:rsidRPr="00B3740C">
          <w:rPr>
            <w:rStyle w:val="Hyperlink"/>
            <w:rFonts w:eastAsia="Calibri"/>
          </w:rPr>
          <w:t>www.aemc.gov.au</w:t>
        </w:r>
      </w:hyperlink>
    </w:p>
    <w:p w:rsidR="00821269" w:rsidRDefault="00821269" w:rsidP="00821269">
      <w:pPr>
        <w:pStyle w:val="GG-SDated"/>
      </w:pPr>
      <w:r>
        <w:t xml:space="preserve">Dated: </w:t>
      </w:r>
      <w:r w:rsidRPr="00CA2EE4">
        <w:t>21 May 2020</w:t>
      </w:r>
    </w:p>
    <w:p w:rsidR="00821269" w:rsidRDefault="00821269" w:rsidP="00821269">
      <w:pPr>
        <w:pStyle w:val="GG-SName"/>
        <w:pBdr>
          <w:bottom w:val="single" w:sz="4" w:space="1" w:color="auto"/>
        </w:pBdr>
        <w:spacing w:line="52" w:lineRule="exact"/>
        <w:jc w:val="center"/>
      </w:pPr>
    </w:p>
    <w:p w:rsidR="00821269" w:rsidRDefault="00821269" w:rsidP="00821269">
      <w:pPr>
        <w:pStyle w:val="GG-SName"/>
        <w:pBdr>
          <w:top w:val="single" w:sz="4" w:space="1" w:color="auto"/>
        </w:pBdr>
        <w:spacing w:before="34" w:line="14" w:lineRule="exact"/>
        <w:jc w:val="center"/>
      </w:pPr>
    </w:p>
    <w:p w:rsidR="009D1E2E" w:rsidRDefault="009D1E2E" w:rsidP="00821269">
      <w:pPr>
        <w:pStyle w:val="GG-body"/>
        <w:spacing w:after="0"/>
        <w:rPr>
          <w:lang w:val="en-US"/>
        </w:rPr>
      </w:pPr>
    </w:p>
    <w:p w:rsidR="00821269" w:rsidRDefault="00821269" w:rsidP="00BB557D">
      <w:pPr>
        <w:pStyle w:val="Heading2"/>
      </w:pPr>
      <w:bookmarkStart w:id="81" w:name="_Toc40954890"/>
      <w:r w:rsidRPr="0006080D">
        <w:t>National Energy Retail Law</w:t>
      </w:r>
      <w:bookmarkEnd w:id="81"/>
    </w:p>
    <w:p w:rsidR="00821269" w:rsidRPr="00846FD7" w:rsidRDefault="00821269" w:rsidP="00821269">
      <w:pPr>
        <w:pStyle w:val="GG-Title3"/>
        <w:rPr>
          <w:lang w:val="en-US"/>
        </w:rPr>
      </w:pPr>
      <w:r>
        <w:t>Publication of Final Determination and Final Amendment Rule</w:t>
      </w:r>
    </w:p>
    <w:p w:rsidR="00821269" w:rsidRPr="001205D7" w:rsidRDefault="00821269" w:rsidP="00821269">
      <w:pPr>
        <w:pStyle w:val="GG-body"/>
        <w:rPr>
          <w:lang w:val="en-US"/>
        </w:rPr>
      </w:pPr>
      <w:r w:rsidRPr="001205D7">
        <w:rPr>
          <w:lang w:val="en-US"/>
        </w:rPr>
        <w:t xml:space="preserve">The Australian Energy Market Commission (AEMC) gives notice under the </w:t>
      </w:r>
      <w:r w:rsidRPr="0006080D">
        <w:rPr>
          <w:lang w:val="en-US"/>
        </w:rPr>
        <w:t xml:space="preserve">National Energy Retail Law </w:t>
      </w:r>
      <w:r w:rsidRPr="001205D7">
        <w:rPr>
          <w:lang w:val="en-US"/>
        </w:rPr>
        <w:t>as follows:</w:t>
      </w:r>
    </w:p>
    <w:p w:rsidR="00821269" w:rsidRPr="00846FD7" w:rsidRDefault="00821269" w:rsidP="00821269">
      <w:pPr>
        <w:pStyle w:val="GG-body"/>
        <w:ind w:left="160"/>
        <w:rPr>
          <w:b/>
          <w:lang w:val="en-US"/>
        </w:rPr>
      </w:pPr>
      <w:r w:rsidRPr="00846FD7">
        <w:rPr>
          <w:lang w:val="en-US"/>
        </w:rPr>
        <w:t>Under ss 259 and 261, the making of the</w:t>
      </w:r>
      <w:r w:rsidRPr="00846FD7">
        <w:rPr>
          <w:i/>
        </w:rPr>
        <w:t xml:space="preserve"> National Energy Retail Amendment (Introduction of metering coordinator planned interruptions) Rule 2020</w:t>
      </w:r>
      <w:r w:rsidRPr="00846FD7">
        <w:rPr>
          <w:lang w:val="en-US"/>
        </w:rPr>
        <w:t xml:space="preserve"> </w:t>
      </w:r>
      <w:r w:rsidRPr="00846FD7">
        <w:rPr>
          <w:i/>
          <w:lang w:val="en-US"/>
        </w:rPr>
        <w:t xml:space="preserve">No. 3 </w:t>
      </w:r>
      <w:r w:rsidRPr="00846FD7">
        <w:rPr>
          <w:lang w:val="en-US"/>
        </w:rPr>
        <w:t xml:space="preserve">(Ref. ERC0275) and related final determination. </w:t>
      </w:r>
      <w:r w:rsidRPr="00846FD7">
        <w:rPr>
          <w:bCs/>
          <w:lang w:val="en-US"/>
        </w:rPr>
        <w:t xml:space="preserve">Schedule 3 commences on </w:t>
      </w:r>
      <w:r w:rsidRPr="00846FD7">
        <w:rPr>
          <w:b/>
          <w:lang w:val="en-US"/>
        </w:rPr>
        <w:t>28 May 2020</w:t>
      </w:r>
      <w:r w:rsidRPr="00846FD7">
        <w:rPr>
          <w:bCs/>
          <w:lang w:val="en-US"/>
        </w:rPr>
        <w:t xml:space="preserve">. Schedule 1 commences on </w:t>
      </w:r>
      <w:r w:rsidRPr="00846FD7">
        <w:rPr>
          <w:b/>
          <w:lang w:val="en-US"/>
        </w:rPr>
        <w:t>21 July 2020</w:t>
      </w:r>
      <w:r w:rsidRPr="00846FD7">
        <w:rPr>
          <w:bCs/>
          <w:lang w:val="en-US"/>
        </w:rPr>
        <w:t xml:space="preserve">. Schedule 2 commences on </w:t>
      </w:r>
      <w:r w:rsidRPr="00846FD7">
        <w:rPr>
          <w:b/>
          <w:lang w:val="en-US"/>
        </w:rPr>
        <w:t>21 August 2020</w:t>
      </w:r>
      <w:r w:rsidRPr="00846FD7">
        <w:rPr>
          <w:bCs/>
          <w:lang w:val="en-US"/>
        </w:rPr>
        <w:t>.</w:t>
      </w:r>
    </w:p>
    <w:p w:rsidR="00821269" w:rsidRDefault="00821269" w:rsidP="00821269">
      <w:pPr>
        <w:pStyle w:val="GG-body"/>
        <w:rPr>
          <w:lang w:val="en-US"/>
        </w:rPr>
      </w:pPr>
      <w:r w:rsidRPr="001205D7">
        <w:rPr>
          <w:lang w:val="en-US"/>
        </w:rPr>
        <w:t>Documents referred to above are available on the AEMC’s website and are available for inspection at the AEMC’s office.</w:t>
      </w:r>
    </w:p>
    <w:p w:rsidR="00821269" w:rsidRDefault="00821269" w:rsidP="00821269">
      <w:pPr>
        <w:pStyle w:val="GG-body"/>
        <w:ind w:left="160"/>
      </w:pPr>
      <w:r>
        <w:t>Australian Energy Market Commission</w:t>
      </w:r>
    </w:p>
    <w:p w:rsidR="00821269" w:rsidRDefault="00821269" w:rsidP="00821269">
      <w:pPr>
        <w:pStyle w:val="GG-body"/>
        <w:spacing w:after="0"/>
        <w:ind w:left="160"/>
      </w:pPr>
      <w:r w:rsidRPr="00191A3A">
        <w:t>Level 15, 60 Castlereagh St</w:t>
      </w:r>
    </w:p>
    <w:p w:rsidR="00821269" w:rsidRDefault="00821269" w:rsidP="00821269">
      <w:pPr>
        <w:pStyle w:val="GG-body"/>
        <w:ind w:left="160"/>
      </w:pPr>
      <w:r>
        <w:t>Sydney NSW 2000</w:t>
      </w:r>
    </w:p>
    <w:p w:rsidR="00821269" w:rsidRDefault="00821269" w:rsidP="00821269">
      <w:pPr>
        <w:pStyle w:val="GG-body"/>
        <w:spacing w:after="0"/>
        <w:ind w:left="160"/>
      </w:pPr>
      <w:r>
        <w:t>Telephone: (02) 8296 7800</w:t>
      </w:r>
    </w:p>
    <w:p w:rsidR="00821269" w:rsidRDefault="00827BA8" w:rsidP="00821269">
      <w:pPr>
        <w:pStyle w:val="GG-body"/>
        <w:ind w:left="160"/>
      </w:pPr>
      <w:hyperlink r:id="rId58" w:history="1">
        <w:r w:rsidR="00821269" w:rsidRPr="00B3740C">
          <w:rPr>
            <w:rStyle w:val="Hyperlink"/>
            <w:rFonts w:eastAsia="Calibri"/>
          </w:rPr>
          <w:t>www.aemc.gov.au</w:t>
        </w:r>
      </w:hyperlink>
    </w:p>
    <w:p w:rsidR="00821269" w:rsidRDefault="00821269" w:rsidP="00821269">
      <w:pPr>
        <w:pStyle w:val="GG-SDated"/>
      </w:pPr>
      <w:r>
        <w:t xml:space="preserve">Dated: </w:t>
      </w:r>
      <w:r w:rsidRPr="00846FD7">
        <w:t>21 May 2020</w:t>
      </w:r>
    </w:p>
    <w:p w:rsidR="00821269" w:rsidRDefault="00821269" w:rsidP="00821269">
      <w:pPr>
        <w:pStyle w:val="GG-SName"/>
        <w:pBdr>
          <w:bottom w:val="single" w:sz="4" w:space="1" w:color="auto"/>
        </w:pBdr>
        <w:spacing w:line="52" w:lineRule="exact"/>
        <w:jc w:val="center"/>
      </w:pPr>
    </w:p>
    <w:p w:rsidR="00821269" w:rsidRDefault="00821269" w:rsidP="00821269">
      <w:pPr>
        <w:pStyle w:val="GG-SName"/>
        <w:pBdr>
          <w:top w:val="single" w:sz="4" w:space="1" w:color="auto"/>
        </w:pBdr>
        <w:spacing w:before="34" w:line="14" w:lineRule="exact"/>
        <w:jc w:val="center"/>
      </w:pPr>
    </w:p>
    <w:p w:rsidR="00821269" w:rsidRDefault="00821269" w:rsidP="00821269">
      <w:pPr>
        <w:pStyle w:val="GG-body"/>
        <w:spacing w:after="0"/>
        <w:rPr>
          <w:lang w:val="en-US"/>
        </w:rPr>
      </w:pPr>
    </w:p>
    <w:p w:rsidR="00391865" w:rsidRPr="00391865" w:rsidRDefault="00391865" w:rsidP="00BB557D">
      <w:pPr>
        <w:pStyle w:val="Heading2"/>
      </w:pPr>
      <w:bookmarkStart w:id="82" w:name="_Toc40954891"/>
      <w:r w:rsidRPr="00391865">
        <w:t>Trustee Act 1936</w:t>
      </w:r>
      <w:bookmarkEnd w:id="82"/>
    </w:p>
    <w:p w:rsidR="00391865" w:rsidRPr="00391865" w:rsidRDefault="00391865" w:rsidP="00391865">
      <w:pPr>
        <w:jc w:val="center"/>
        <w:rPr>
          <w:smallCaps/>
          <w:szCs w:val="17"/>
        </w:rPr>
      </w:pPr>
      <w:r w:rsidRPr="00391865">
        <w:rPr>
          <w:smallCaps/>
          <w:szCs w:val="17"/>
        </w:rPr>
        <w:t>Public Trustee</w:t>
      </w:r>
    </w:p>
    <w:p w:rsidR="00391865" w:rsidRPr="00391865" w:rsidRDefault="00391865" w:rsidP="00391865">
      <w:pPr>
        <w:jc w:val="center"/>
        <w:rPr>
          <w:i/>
          <w:szCs w:val="17"/>
        </w:rPr>
      </w:pPr>
      <w:r w:rsidRPr="00391865">
        <w:rPr>
          <w:i/>
          <w:szCs w:val="17"/>
        </w:rPr>
        <w:t>Estates of Deceased Persons</w:t>
      </w:r>
    </w:p>
    <w:p w:rsidR="00391865" w:rsidRPr="00391865" w:rsidRDefault="00391865" w:rsidP="00391865">
      <w:pPr>
        <w:rPr>
          <w:rFonts w:eastAsia="Times New Roman"/>
          <w:szCs w:val="17"/>
        </w:rPr>
      </w:pPr>
      <w:r w:rsidRPr="00391865">
        <w:rPr>
          <w:rFonts w:eastAsia="Times New Roman"/>
          <w:szCs w:val="17"/>
        </w:rPr>
        <w:t>In the matter of the estates of the undermentioned deceased persons:</w:t>
      </w:r>
    </w:p>
    <w:p w:rsidR="00391865" w:rsidRPr="00391865" w:rsidRDefault="00391865" w:rsidP="00391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391865">
        <w:rPr>
          <w:rFonts w:eastAsia="Times New Roman"/>
          <w:szCs w:val="20"/>
        </w:rPr>
        <w:t>HOUSE Margaret Amy late of 53-59 Austral Terrace Morphettville of no occupation who died 09 July 2019</w:t>
      </w:r>
    </w:p>
    <w:p w:rsidR="00391865" w:rsidRPr="00391865" w:rsidRDefault="00391865" w:rsidP="00391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391865">
        <w:rPr>
          <w:rFonts w:eastAsia="Times New Roman"/>
          <w:szCs w:val="20"/>
        </w:rPr>
        <w:t>KLINGBERG Theodore Alfred late of 1C Peterson Street Somerton Park Retired Lecturer who died 11 November 2019</w:t>
      </w:r>
    </w:p>
    <w:p w:rsidR="00391865" w:rsidRPr="00391865" w:rsidRDefault="00391865" w:rsidP="00391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391865">
        <w:rPr>
          <w:rFonts w:eastAsia="Times New Roman"/>
          <w:szCs w:val="20"/>
        </w:rPr>
        <w:t>TAYLOR Peter Robert late of 104 Woodville Road Woodville South of no occupation who died 05 January 2020</w:t>
      </w:r>
    </w:p>
    <w:p w:rsidR="00391865" w:rsidRPr="00391865" w:rsidRDefault="00391865" w:rsidP="00391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rPr>
          <w:rFonts w:eastAsia="Times New Roman"/>
          <w:szCs w:val="20"/>
        </w:rPr>
      </w:pPr>
      <w:r w:rsidRPr="00391865">
        <w:rPr>
          <w:rFonts w:eastAsia="Times New Roman"/>
          <w:szCs w:val="20"/>
        </w:rPr>
        <w:t>WALKER Patricia Rosemary late of 5 Gladstone Road Blackwood Retired Secretary who died 09 November 2019</w:t>
      </w:r>
    </w:p>
    <w:p w:rsidR="00391865" w:rsidRPr="00391865" w:rsidRDefault="00391865" w:rsidP="00391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391865">
        <w:rPr>
          <w:rFonts w:eastAsia="Times New Roman"/>
          <w:szCs w:val="20"/>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19 June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391865" w:rsidRPr="00391865" w:rsidRDefault="00391865" w:rsidP="00391865">
      <w:pPr>
        <w:spacing w:after="0"/>
        <w:rPr>
          <w:rFonts w:eastAsia="Times New Roman"/>
          <w:szCs w:val="17"/>
        </w:rPr>
      </w:pPr>
      <w:r w:rsidRPr="00391865">
        <w:rPr>
          <w:rFonts w:eastAsia="Times New Roman"/>
          <w:szCs w:val="17"/>
        </w:rPr>
        <w:t>Dated: 21 May 2020</w:t>
      </w:r>
    </w:p>
    <w:p w:rsidR="00391865" w:rsidRPr="00391865" w:rsidRDefault="00391865" w:rsidP="00391865">
      <w:pPr>
        <w:spacing w:after="0"/>
        <w:jc w:val="right"/>
        <w:rPr>
          <w:rFonts w:eastAsia="Times New Roman"/>
          <w:smallCaps/>
          <w:szCs w:val="20"/>
        </w:rPr>
      </w:pPr>
      <w:r w:rsidRPr="00391865">
        <w:rPr>
          <w:rFonts w:eastAsia="Times New Roman"/>
          <w:smallCaps/>
          <w:szCs w:val="20"/>
        </w:rPr>
        <w:t xml:space="preserve">N S Rantanen </w:t>
      </w:r>
    </w:p>
    <w:p w:rsidR="00391865" w:rsidRPr="00391865" w:rsidRDefault="00391865" w:rsidP="00391865">
      <w:pPr>
        <w:spacing w:after="0"/>
        <w:jc w:val="right"/>
        <w:rPr>
          <w:rFonts w:eastAsia="Times New Roman"/>
          <w:szCs w:val="17"/>
        </w:rPr>
      </w:pPr>
      <w:r w:rsidRPr="00391865">
        <w:rPr>
          <w:rFonts w:eastAsia="Times New Roman"/>
          <w:szCs w:val="17"/>
        </w:rPr>
        <w:t>Acting</w:t>
      </w:r>
      <w:r w:rsidRPr="00391865">
        <w:rPr>
          <w:rFonts w:eastAsia="Times New Roman"/>
          <w:smallCaps/>
          <w:szCs w:val="20"/>
        </w:rPr>
        <w:t xml:space="preserve"> </w:t>
      </w:r>
      <w:r w:rsidRPr="00391865">
        <w:rPr>
          <w:rFonts w:eastAsia="Times New Roman"/>
          <w:szCs w:val="17"/>
        </w:rPr>
        <w:t>Public Trustee</w:t>
      </w:r>
    </w:p>
    <w:p w:rsidR="00391865" w:rsidRPr="00391865" w:rsidRDefault="00391865" w:rsidP="00391865">
      <w:pPr>
        <w:pBdr>
          <w:bottom w:val="single" w:sz="4" w:space="1" w:color="auto"/>
        </w:pBdr>
        <w:spacing w:after="0" w:line="52" w:lineRule="exact"/>
        <w:jc w:val="center"/>
        <w:rPr>
          <w:rFonts w:eastAsia="Times New Roman"/>
          <w:szCs w:val="17"/>
        </w:rPr>
      </w:pPr>
    </w:p>
    <w:p w:rsidR="00391865" w:rsidRPr="00391865" w:rsidRDefault="00391865" w:rsidP="00391865">
      <w:pPr>
        <w:pBdr>
          <w:top w:val="single" w:sz="4" w:space="1" w:color="auto"/>
        </w:pBdr>
        <w:spacing w:before="34" w:after="0" w:line="14" w:lineRule="exact"/>
        <w:jc w:val="center"/>
        <w:rPr>
          <w:rFonts w:eastAsia="Times New Roman"/>
          <w:szCs w:val="17"/>
        </w:rPr>
      </w:pPr>
    </w:p>
    <w:p w:rsidR="00821269" w:rsidRDefault="00821269" w:rsidP="00821269">
      <w:pPr>
        <w:pStyle w:val="GG-body"/>
        <w:spacing w:after="0"/>
        <w:rPr>
          <w:lang w:val="en-US"/>
        </w:rPr>
      </w:pPr>
    </w:p>
    <w:p w:rsidR="00821269" w:rsidRDefault="00821269" w:rsidP="00821269">
      <w:pPr>
        <w:pStyle w:val="GG-body"/>
        <w:spacing w:after="0"/>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391865">
      <w:pPr>
        <w:numPr>
          <w:ilvl w:val="0"/>
          <w:numId w:val="5"/>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391865">
      <w:pPr>
        <w:numPr>
          <w:ilvl w:val="0"/>
          <w:numId w:val="5"/>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391865">
      <w:pPr>
        <w:numPr>
          <w:ilvl w:val="0"/>
          <w:numId w:val="5"/>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391865">
      <w:pPr>
        <w:numPr>
          <w:ilvl w:val="0"/>
          <w:numId w:val="5"/>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391865">
      <w:pPr>
        <w:numPr>
          <w:ilvl w:val="0"/>
          <w:numId w:val="5"/>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391865">
      <w:pPr>
        <w:numPr>
          <w:ilvl w:val="0"/>
          <w:numId w:val="5"/>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391865">
      <w:pPr>
        <w:numPr>
          <w:ilvl w:val="0"/>
          <w:numId w:val="5"/>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391865">
      <w:pPr>
        <w:numPr>
          <w:ilvl w:val="0"/>
          <w:numId w:val="5"/>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391865">
      <w:pPr>
        <w:numPr>
          <w:ilvl w:val="0"/>
          <w:numId w:val="5"/>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391865">
      <w:pPr>
        <w:numPr>
          <w:ilvl w:val="0"/>
          <w:numId w:val="5"/>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59"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60"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61" w:history="1">
        <w:r w:rsidRPr="000B6B42">
          <w:rPr>
            <w:rStyle w:val="Hyperlink"/>
            <w:szCs w:val="17"/>
          </w:rPr>
          <w:t>www.governmentgazette.sa.gov.au</w:t>
        </w:r>
      </w:hyperlink>
      <w:r>
        <w:rPr>
          <w:szCs w:val="17"/>
        </w:rPr>
        <w:t xml:space="preserve"> </w:t>
      </w:r>
    </w:p>
    <w:sectPr w:rsidR="00D0446B" w:rsidRPr="00C77C39" w:rsidSect="00FC55A4">
      <w:headerReference w:type="even" r:id="rId62"/>
      <w:headerReference w:type="default" r:id="rId63"/>
      <w:pgSz w:w="11906" w:h="16838"/>
      <w:pgMar w:top="1673" w:right="1259" w:bottom="1134" w:left="1293" w:header="1134" w:footer="936" w:gutter="0"/>
      <w:pgNumType w:start="245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57D" w:rsidRDefault="00BB557D" w:rsidP="00777F88">
      <w:pPr>
        <w:spacing w:after="0" w:line="240" w:lineRule="auto"/>
      </w:pPr>
      <w:r>
        <w:separator/>
      </w:r>
    </w:p>
  </w:endnote>
  <w:endnote w:type="continuationSeparator" w:id="0">
    <w:p w:rsidR="00BB557D" w:rsidRDefault="00BB557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D0446B" w:rsidRDefault="00BB557D"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144772" w:rsidRDefault="00BB557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BB557D" w:rsidRPr="00144772" w:rsidRDefault="00BB557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BB557D" w:rsidRPr="00777F88" w:rsidRDefault="00BB557D"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BB557D" w:rsidRPr="00777F88" w:rsidRDefault="00BB557D"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BB557D" w:rsidRPr="00D0446B" w:rsidRDefault="00BB557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D0446B" w:rsidRDefault="00BB557D"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144772" w:rsidRDefault="00BB557D"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BB557D" w:rsidRPr="00144772" w:rsidRDefault="00BB557D"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BB557D" w:rsidRPr="00777F88" w:rsidRDefault="00BB557D"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BB557D" w:rsidRPr="00777F88" w:rsidRDefault="00BB557D" w:rsidP="00D0446B">
    <w:pPr>
      <w:pStyle w:val="Footer"/>
      <w:spacing w:line="170" w:lineRule="exact"/>
      <w:jc w:val="center"/>
      <w:rPr>
        <w:szCs w:val="17"/>
      </w:rPr>
    </w:pPr>
    <w:r w:rsidRPr="00777F88">
      <w:rPr>
        <w:szCs w:val="17"/>
      </w:rPr>
      <w:t>$7.21 per issue (plus postage), $361.90 per annual subscription—GST inclusive</w:t>
    </w:r>
  </w:p>
  <w:p w:rsidR="00BB557D" w:rsidRPr="00D0446B" w:rsidRDefault="00BB557D"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57D" w:rsidRDefault="00BB557D" w:rsidP="00777F88">
      <w:pPr>
        <w:spacing w:after="0" w:line="240" w:lineRule="auto"/>
      </w:pPr>
      <w:r>
        <w:separator/>
      </w:r>
    </w:p>
  </w:footnote>
  <w:footnote w:type="continuationSeparator" w:id="0">
    <w:p w:rsidR="00BB557D" w:rsidRDefault="00BB557D"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34074D" w:rsidRDefault="00BB557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BB557D" w:rsidRPr="0034074D" w:rsidRDefault="00BB557D" w:rsidP="0034074D">
    <w:pPr>
      <w:pStyle w:val="Header"/>
      <w:pBdr>
        <w:top w:val="single" w:sz="4" w:space="1" w:color="auto"/>
      </w:pBdr>
      <w:tabs>
        <w:tab w:val="clear" w:pos="9026"/>
        <w:tab w:val="right" w:pos="9360"/>
      </w:tabs>
      <w:spacing w:before="100" w:line="14" w:lineRule="exact"/>
      <w:jc w:val="center"/>
      <w:rPr>
        <w:sz w:val="20"/>
        <w:szCs w:val="20"/>
      </w:rPr>
    </w:pPr>
  </w:p>
  <w:p w:rsidR="00BB557D" w:rsidRPr="0034074D" w:rsidRDefault="00BB557D"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DA30CF" w:rsidRDefault="00BB557D"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C25241" w:rsidRDefault="00BB557D"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42</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827BA8">
      <w:rPr>
        <w:noProof/>
        <w:sz w:val="21"/>
        <w:szCs w:val="21"/>
      </w:rPr>
      <w:t>2449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34074D" w:rsidRDefault="00BB557D"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BB557D" w:rsidRPr="0034074D" w:rsidRDefault="00BB557D" w:rsidP="0034074D">
    <w:pPr>
      <w:pStyle w:val="Header"/>
      <w:pBdr>
        <w:top w:val="single" w:sz="4" w:space="1" w:color="auto"/>
      </w:pBdr>
      <w:tabs>
        <w:tab w:val="clear" w:pos="9026"/>
        <w:tab w:val="right" w:pos="9360"/>
      </w:tabs>
      <w:spacing w:before="100" w:line="14" w:lineRule="exact"/>
      <w:jc w:val="center"/>
      <w:rPr>
        <w:sz w:val="20"/>
        <w:szCs w:val="20"/>
      </w:rPr>
    </w:pPr>
  </w:p>
  <w:p w:rsidR="00BB557D" w:rsidRPr="0034074D" w:rsidRDefault="00BB557D"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DA30CF" w:rsidRDefault="00BB557D"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C25241" w:rsidRDefault="00BB557D"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42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27BA8">
      <w:rPr>
        <w:rFonts w:eastAsia="Times New Roman"/>
        <w:noProof/>
        <w:sz w:val="21"/>
        <w:szCs w:val="21"/>
      </w:rPr>
      <w:t>2450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21 May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57D" w:rsidRPr="00C25241" w:rsidRDefault="00BB557D"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21 May</w:t>
    </w:r>
    <w:r w:rsidRPr="00C9018A">
      <w:rPr>
        <w:rFonts w:eastAsia="Times New Roman"/>
        <w:sz w:val="21"/>
        <w:szCs w:val="21"/>
      </w:rPr>
      <w:t xml:space="preserve"> </w:t>
    </w:r>
    <w:r w:rsidRPr="00A55207">
      <w:rPr>
        <w:rFonts w:eastAsia="Times New Roman"/>
        <w:sz w:val="21"/>
        <w:szCs w:val="21"/>
      </w:rPr>
      <w:t>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42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827BA8">
      <w:rPr>
        <w:rFonts w:eastAsia="Times New Roman"/>
        <w:noProof/>
        <w:sz w:val="21"/>
        <w:szCs w:val="21"/>
      </w:rPr>
      <w:t>2469</w:t>
    </w:r>
    <w:r w:rsidRPr="00C25241">
      <w:rPr>
        <w:rFonts w:eastAsia="Times New Roman"/>
        <w:noProof/>
        <w:sz w:val="21"/>
        <w:szCs w:val="21"/>
      </w:rPr>
      <w:fldChar w:fldCharType="end"/>
    </w:r>
  </w:p>
  <w:p w:rsidR="00BB557D" w:rsidRPr="00C25241" w:rsidRDefault="00BB557D">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1ED5"/>
    <w:multiLevelType w:val="hybridMultilevel"/>
    <w:tmpl w:val="1544207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0CF70022"/>
    <w:multiLevelType w:val="hybridMultilevel"/>
    <w:tmpl w:val="6758F66E"/>
    <w:lvl w:ilvl="0" w:tplc="0C090001">
      <w:start w:val="1"/>
      <w:numFmt w:val="bullet"/>
      <w:lvlText w:val=""/>
      <w:lvlJc w:val="left"/>
      <w:pPr>
        <w:ind w:left="1034" w:hanging="360"/>
      </w:pPr>
      <w:rPr>
        <w:rFonts w:ascii="Symbol" w:hAnsi="Symbol" w:hint="default"/>
      </w:rPr>
    </w:lvl>
    <w:lvl w:ilvl="1" w:tplc="0C090003">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 w15:restartNumberingAfterBreak="0">
    <w:nsid w:val="1B3D23B1"/>
    <w:multiLevelType w:val="hybridMultilevel"/>
    <w:tmpl w:val="E220A23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0F5ADB"/>
    <w:multiLevelType w:val="hybridMultilevel"/>
    <w:tmpl w:val="826E5848"/>
    <w:lvl w:ilvl="0" w:tplc="0C090019">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2941DF"/>
    <w:multiLevelType w:val="hybridMultilevel"/>
    <w:tmpl w:val="D1E27EE4"/>
    <w:lvl w:ilvl="0" w:tplc="0C09000F">
      <w:start w:val="1"/>
      <w:numFmt w:val="decimal"/>
      <w:lvlText w:val="%1."/>
      <w:lvlJc w:val="left"/>
      <w:pPr>
        <w:tabs>
          <w:tab w:val="num" w:pos="360"/>
        </w:tabs>
        <w:ind w:left="360" w:hanging="360"/>
      </w:pPr>
    </w:lvl>
    <w:lvl w:ilvl="1" w:tplc="0C09000F">
      <w:start w:val="1"/>
      <w:numFmt w:val="decimal"/>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498066A6"/>
    <w:multiLevelType w:val="hybridMultilevel"/>
    <w:tmpl w:val="DD3CE946"/>
    <w:lvl w:ilvl="0" w:tplc="DF86BC8E">
      <w:start w:val="1"/>
      <w:numFmt w:val="lowerLetter"/>
      <w:lvlText w:val="(%1)"/>
      <w:lvlJc w:val="left"/>
      <w:pPr>
        <w:ind w:left="720" w:hanging="360"/>
      </w:pPr>
      <w:rPr>
        <w:rFonts w:ascii="Times New Roman" w:eastAsia="Times New Roman" w:hAnsi="Times New Roman" w:cs="Times New Roman"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7" w15:restartNumberingAfterBreak="0">
    <w:nsid w:val="564B558D"/>
    <w:multiLevelType w:val="multilevel"/>
    <w:tmpl w:val="22822D44"/>
    <w:lvl w:ilvl="0">
      <w:start w:val="1"/>
      <w:numFmt w:val="decimal"/>
      <w:lvlText w:val="%1."/>
      <w:lvlJc w:val="left"/>
      <w:pPr>
        <w:ind w:left="720" w:hanging="360"/>
      </w:p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65D2B25"/>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1"/>
  </w:num>
  <w:num w:numId="2">
    <w:abstractNumId w:val="9"/>
  </w:num>
  <w:num w:numId="3">
    <w:abstractNumId w:val="12"/>
  </w:num>
  <w:num w:numId="4">
    <w:abstractNumId w:val="8"/>
  </w:num>
  <w:num w:numId="5">
    <w:abstractNumId w:val="6"/>
  </w:num>
  <w:num w:numId="6">
    <w:abstractNumId w:val="4"/>
  </w:num>
  <w:num w:numId="7">
    <w:abstractNumId w:val="1"/>
  </w:num>
  <w:num w:numId="8">
    <w:abstractNumId w:val="3"/>
  </w:num>
  <w:num w:numId="9">
    <w:abstractNumId w:val="7"/>
  </w:num>
  <w:num w:numId="10">
    <w:abstractNumId w:val="5"/>
  </w:num>
  <w:num w:numId="11">
    <w:abstractNumId w:val="10"/>
  </w:num>
  <w:num w:numId="12">
    <w:abstractNumId w:val="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oNotTrackMoves/>
  <w:defaultTabStop w:val="160"/>
  <w:evenAndOddHeaders/>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5A4"/>
    <w:rsid w:val="00000399"/>
    <w:rsid w:val="000100A7"/>
    <w:rsid w:val="0001762C"/>
    <w:rsid w:val="000202A8"/>
    <w:rsid w:val="0002085F"/>
    <w:rsid w:val="000249AC"/>
    <w:rsid w:val="00030270"/>
    <w:rsid w:val="0005659C"/>
    <w:rsid w:val="00063D6D"/>
    <w:rsid w:val="00064C75"/>
    <w:rsid w:val="00066B0B"/>
    <w:rsid w:val="00070E37"/>
    <w:rsid w:val="00077A89"/>
    <w:rsid w:val="000835E8"/>
    <w:rsid w:val="0009376E"/>
    <w:rsid w:val="000B0640"/>
    <w:rsid w:val="000C1F3D"/>
    <w:rsid w:val="000C5912"/>
    <w:rsid w:val="000D34A3"/>
    <w:rsid w:val="000D35A2"/>
    <w:rsid w:val="000D54A0"/>
    <w:rsid w:val="000E240E"/>
    <w:rsid w:val="000E332A"/>
    <w:rsid w:val="000E655C"/>
    <w:rsid w:val="000F0B45"/>
    <w:rsid w:val="000F2CEA"/>
    <w:rsid w:val="000F3A6F"/>
    <w:rsid w:val="00104BC5"/>
    <w:rsid w:val="00110167"/>
    <w:rsid w:val="001169F7"/>
    <w:rsid w:val="00116F04"/>
    <w:rsid w:val="00121D2F"/>
    <w:rsid w:val="00123302"/>
    <w:rsid w:val="00133D99"/>
    <w:rsid w:val="00147592"/>
    <w:rsid w:val="00153708"/>
    <w:rsid w:val="001572AD"/>
    <w:rsid w:val="001576DB"/>
    <w:rsid w:val="00160CDB"/>
    <w:rsid w:val="0016463B"/>
    <w:rsid w:val="0018240B"/>
    <w:rsid w:val="00183633"/>
    <w:rsid w:val="001A1F1B"/>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4651"/>
    <w:rsid w:val="00322D71"/>
    <w:rsid w:val="0034074D"/>
    <w:rsid w:val="0035604B"/>
    <w:rsid w:val="00362C85"/>
    <w:rsid w:val="00372CA3"/>
    <w:rsid w:val="00375085"/>
    <w:rsid w:val="00376590"/>
    <w:rsid w:val="00380942"/>
    <w:rsid w:val="00384F68"/>
    <w:rsid w:val="00386A66"/>
    <w:rsid w:val="00391865"/>
    <w:rsid w:val="00394510"/>
    <w:rsid w:val="00394788"/>
    <w:rsid w:val="003967FE"/>
    <w:rsid w:val="003A362B"/>
    <w:rsid w:val="003B43DE"/>
    <w:rsid w:val="003C2BF7"/>
    <w:rsid w:val="003D2332"/>
    <w:rsid w:val="003D5923"/>
    <w:rsid w:val="003E016D"/>
    <w:rsid w:val="003E0181"/>
    <w:rsid w:val="003E2F5F"/>
    <w:rsid w:val="003E3565"/>
    <w:rsid w:val="004120A4"/>
    <w:rsid w:val="0041701B"/>
    <w:rsid w:val="00421804"/>
    <w:rsid w:val="0043387B"/>
    <w:rsid w:val="00435ECE"/>
    <w:rsid w:val="00441E8D"/>
    <w:rsid w:val="004530F1"/>
    <w:rsid w:val="004535E8"/>
    <w:rsid w:val="00475212"/>
    <w:rsid w:val="00483033"/>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0E2C"/>
    <w:rsid w:val="0054338C"/>
    <w:rsid w:val="00543A79"/>
    <w:rsid w:val="00544893"/>
    <w:rsid w:val="005622AC"/>
    <w:rsid w:val="005956F0"/>
    <w:rsid w:val="005A3A1B"/>
    <w:rsid w:val="005A69A9"/>
    <w:rsid w:val="005B4E55"/>
    <w:rsid w:val="005B69B3"/>
    <w:rsid w:val="005C37EF"/>
    <w:rsid w:val="005C6C9D"/>
    <w:rsid w:val="005D24AC"/>
    <w:rsid w:val="005E7D95"/>
    <w:rsid w:val="005F4618"/>
    <w:rsid w:val="005F70F9"/>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1269"/>
    <w:rsid w:val="00822107"/>
    <w:rsid w:val="008226D4"/>
    <w:rsid w:val="008250FE"/>
    <w:rsid w:val="00827BA8"/>
    <w:rsid w:val="00831BDE"/>
    <w:rsid w:val="00854962"/>
    <w:rsid w:val="00867EF2"/>
    <w:rsid w:val="0087395E"/>
    <w:rsid w:val="00891067"/>
    <w:rsid w:val="008A405A"/>
    <w:rsid w:val="008D209D"/>
    <w:rsid w:val="008E4F1E"/>
    <w:rsid w:val="00901E82"/>
    <w:rsid w:val="00902C46"/>
    <w:rsid w:val="0090520A"/>
    <w:rsid w:val="00914649"/>
    <w:rsid w:val="00920880"/>
    <w:rsid w:val="00920FFF"/>
    <w:rsid w:val="00921240"/>
    <w:rsid w:val="0093079E"/>
    <w:rsid w:val="00947809"/>
    <w:rsid w:val="009562D8"/>
    <w:rsid w:val="00962B7D"/>
    <w:rsid w:val="00964B4D"/>
    <w:rsid w:val="009750C8"/>
    <w:rsid w:val="00977C9F"/>
    <w:rsid w:val="00985AEE"/>
    <w:rsid w:val="009A6661"/>
    <w:rsid w:val="009B2C75"/>
    <w:rsid w:val="009B6FFD"/>
    <w:rsid w:val="009C6388"/>
    <w:rsid w:val="009D1E2E"/>
    <w:rsid w:val="009D586E"/>
    <w:rsid w:val="009E101D"/>
    <w:rsid w:val="009E2997"/>
    <w:rsid w:val="009F15D7"/>
    <w:rsid w:val="009F7976"/>
    <w:rsid w:val="00A00225"/>
    <w:rsid w:val="00A0211B"/>
    <w:rsid w:val="00A25F99"/>
    <w:rsid w:val="00A2611B"/>
    <w:rsid w:val="00A26AF2"/>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3846"/>
    <w:rsid w:val="00B13C12"/>
    <w:rsid w:val="00B152A8"/>
    <w:rsid w:val="00B15AEC"/>
    <w:rsid w:val="00B21E57"/>
    <w:rsid w:val="00B22E26"/>
    <w:rsid w:val="00B32C36"/>
    <w:rsid w:val="00B33677"/>
    <w:rsid w:val="00B33FB3"/>
    <w:rsid w:val="00B40542"/>
    <w:rsid w:val="00B42DC5"/>
    <w:rsid w:val="00B47884"/>
    <w:rsid w:val="00B51574"/>
    <w:rsid w:val="00B53F6A"/>
    <w:rsid w:val="00B91501"/>
    <w:rsid w:val="00B97531"/>
    <w:rsid w:val="00BA1DBA"/>
    <w:rsid w:val="00BB557D"/>
    <w:rsid w:val="00BC2F16"/>
    <w:rsid w:val="00BC4D92"/>
    <w:rsid w:val="00BC772D"/>
    <w:rsid w:val="00BE137F"/>
    <w:rsid w:val="00BF1895"/>
    <w:rsid w:val="00BF6670"/>
    <w:rsid w:val="00BF723C"/>
    <w:rsid w:val="00C00001"/>
    <w:rsid w:val="00C0094C"/>
    <w:rsid w:val="00C032B2"/>
    <w:rsid w:val="00C06ED8"/>
    <w:rsid w:val="00C17168"/>
    <w:rsid w:val="00C209AF"/>
    <w:rsid w:val="00C25241"/>
    <w:rsid w:val="00C53FED"/>
    <w:rsid w:val="00C62FCE"/>
    <w:rsid w:val="00C77C39"/>
    <w:rsid w:val="00C83D8C"/>
    <w:rsid w:val="00C9018A"/>
    <w:rsid w:val="00C96140"/>
    <w:rsid w:val="00C965BF"/>
    <w:rsid w:val="00C96CE7"/>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61E8"/>
    <w:rsid w:val="00E57D4E"/>
    <w:rsid w:val="00E60854"/>
    <w:rsid w:val="00E663DF"/>
    <w:rsid w:val="00E92649"/>
    <w:rsid w:val="00E95550"/>
    <w:rsid w:val="00EA2CCE"/>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55A4"/>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64E5E91-E33D-405A-9243-872549BE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2"/>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3"/>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table" w:styleId="TableGrid">
    <w:name w:val="Table Grid"/>
    <w:basedOn w:val="TableNormal"/>
    <w:uiPriority w:val="59"/>
    <w:rsid w:val="008212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Legal%20Practitioners%20(Foreign%20Lawyers%20and%20Other%20Matters)%20Amendment%20Act%202019" TargetMode="External"/><Relationship Id="rId26" Type="http://schemas.openxmlformats.org/officeDocument/2006/relationships/hyperlink" Target="http://www.legislation.sa.gov.au/index.aspx?action=legref&amp;type=act&amp;legtitle=Legal%20Practitioners%20(Foreign%20Lawyers%20and%20Other%20Matters)%20Amendment%20Act%202019" TargetMode="External"/><Relationship Id="rId39" Type="http://schemas.openxmlformats.org/officeDocument/2006/relationships/hyperlink" Target="http://www.legislation.sa.gov.au/index.aspx?action=legref&amp;type=act&amp;legtitle=Aged%20and%20Infirm%20Persons%20Property%20Act%201940" TargetMode="External"/><Relationship Id="rId21" Type="http://schemas.openxmlformats.org/officeDocument/2006/relationships/hyperlink" Target="http://www.legislation.sa.gov.au/index.aspx?action=legref&amp;type=act&amp;legtitle=COVID-19%20Emergency%20Response%20Act%202020" TargetMode="External"/><Relationship Id="rId34" Type="http://schemas.openxmlformats.org/officeDocument/2006/relationships/hyperlink" Target="http://www.legislation.sa.gov.au/index.aspx?action=legref&amp;type=subordleg&amp;legtitle=Fisheries%20Management%20(Rock%20Lobster%20Fisheries)%20(Quota)%20Variation%20Regulations%202020" TargetMode="External"/><Relationship Id="rId42" Type="http://schemas.openxmlformats.org/officeDocument/2006/relationships/hyperlink" Target="http://www.legislation.sa.gov.au/index.aspx?action=legref&amp;type=act&amp;legtitle=Collections%20for%20Charitable%20Purposes%20Act%201939" TargetMode="External"/><Relationship Id="rId47" Type="http://schemas.openxmlformats.org/officeDocument/2006/relationships/hyperlink" Target="http://www.legislation.sa.gov.au/index.aspx?action=legref&amp;type=act&amp;legtitle=Subordinate%20Legislation%20Act%201978" TargetMode="External"/><Relationship Id="rId50" Type="http://schemas.openxmlformats.org/officeDocument/2006/relationships/hyperlink" Target="http://www.legislation.sa.gov.au/index.aspx?action=legref&amp;type=act&amp;legtitle=Subordinate%20Legislation%20Act%201978" TargetMode="External"/><Relationship Id="rId55" Type="http://schemas.openxmlformats.org/officeDocument/2006/relationships/hyperlink" Target="http://www.sa.gov.au/roadsactproposals" TargetMode="External"/><Relationship Id="rId63" Type="http://schemas.openxmlformats.org/officeDocument/2006/relationships/header" Target="head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ubordinate%20Legislation%20Act%201978" TargetMode="External"/><Relationship Id="rId29" Type="http://schemas.openxmlformats.org/officeDocument/2006/relationships/hyperlink" Target="http://www.legislation.sa.gov.au/index.aspx?action=legref&amp;type=act&amp;legtitle=Fisheries%20Management%20Act%201994" TargetMode="External"/><Relationship Id="rId41" Type="http://schemas.openxmlformats.org/officeDocument/2006/relationships/hyperlink" Target="http://www.legislation.sa.gov.au/index.aspx?action=legref&amp;type=subordleg&amp;legtitle=Associations%20Incorporation%20Regulations%202008" TargetMode="External"/><Relationship Id="rId54" Type="http://schemas.openxmlformats.org/officeDocument/2006/relationships/hyperlink" Target="http://www.dcgrant.sa.gov.au" TargetMode="External"/><Relationship Id="rId62"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Subordinate%20Legislation%20Act%201978" TargetMode="External"/><Relationship Id="rId32" Type="http://schemas.openxmlformats.org/officeDocument/2006/relationships/hyperlink" Target="http://www.legislation.sa.gov.au/index.aspx?action=legref&amp;type=subordleg&amp;legtitle=Fisheries%20Management%20(Rock%20Lobster%20Fisheries)%20(Quota)%20Variation%20Regulations%202020" TargetMode="External"/><Relationship Id="rId37" Type="http://schemas.openxmlformats.org/officeDocument/2006/relationships/hyperlink" Target="http://www.legislation.sa.gov.au/index.aspx?action=legref&amp;type=subordleg&amp;legtitle=Fisheries%20Management%20(Rock%20Lobster%20Fisheries)%20Regulations%202017" TargetMode="External"/><Relationship Id="rId40" Type="http://schemas.openxmlformats.org/officeDocument/2006/relationships/hyperlink" Target="http://www.legislation.sa.gov.au/index.aspx?action=legref&amp;type=act&amp;legtitle=Associations%20Incorporation%20Act%201985" TargetMode="External"/><Relationship Id="rId45" Type="http://schemas.openxmlformats.org/officeDocument/2006/relationships/hyperlink" Target="http://www.legislation.sa.gov.au/index.aspx?action=legref&amp;type=subordleg&amp;legtitle=Lottery%20and%20Gaming%20Regulations%202008" TargetMode="External"/><Relationship Id="rId53" Type="http://schemas.openxmlformats.org/officeDocument/2006/relationships/image" Target="media/image3.png"/><Relationship Id="rId58" Type="http://schemas.openxmlformats.org/officeDocument/2006/relationships/hyperlink" Target="http://www.aemc.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Subordinate%20Legislation%20Act%201978" TargetMode="External"/><Relationship Id="rId28" Type="http://schemas.openxmlformats.org/officeDocument/2006/relationships/hyperlink" Target="http://www.legislation.sa.gov.au/index.aspx?action=legref&amp;type=act&amp;legtitle=Summary%20Offences%20Act%201953" TargetMode="External"/><Relationship Id="rId36" Type="http://schemas.openxmlformats.org/officeDocument/2006/relationships/hyperlink" Target="http://www.legislation.sa.gov.au/index.aspx?action=legref&amp;type=subordleg&amp;legtitle=Fisheries%20Management%20(General)%20Regulations%202017" TargetMode="External"/><Relationship Id="rId49" Type="http://schemas.openxmlformats.org/officeDocument/2006/relationships/hyperlink" Target="http://www.legislation.sa.gov.au/index.aspx?action=legref&amp;type=act&amp;legtitle=Subordinate%20Legislation%20Act%201978" TargetMode="External"/><Relationship Id="rId57" Type="http://schemas.openxmlformats.org/officeDocument/2006/relationships/hyperlink" Target="http://www.aemc.gov.au" TargetMode="External"/><Relationship Id="rId61"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Primary%20Produce%20(Food%20Safety%20Schemes)%20(Meat%20Food%20Safety%20Advisory%20Committee)%20Regulations%202016" TargetMode="External"/><Relationship Id="rId31" Type="http://schemas.openxmlformats.org/officeDocument/2006/relationships/hyperlink" Target="http://www.legislation.sa.gov.au/index.aspx?action=legref&amp;type=act&amp;legtitle=Subordinate%20Legislation%20Act%201978" TargetMode="External"/><Relationship Id="rId44" Type="http://schemas.openxmlformats.org/officeDocument/2006/relationships/hyperlink" Target="http://www.legislation.sa.gov.au/index.aspx?action=legref&amp;type=act&amp;legtitle=Equal%20Opportunity%20Act%201984" TargetMode="External"/><Relationship Id="rId52" Type="http://schemas.openxmlformats.org/officeDocument/2006/relationships/image" Target="media/image2.png"/><Relationship Id="rId60" Type="http://schemas.openxmlformats.org/officeDocument/2006/relationships/hyperlink" Target="http://www.governmentgazette.sa.gov.a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outh%20Australian%20Local%20Government%20Grants%20Commission%20Act%201992" TargetMode="External"/><Relationship Id="rId27" Type="http://schemas.openxmlformats.org/officeDocument/2006/relationships/hyperlink" Target="http://www.legislation.sa.gov.au/index.aspx?action=legref&amp;type=act&amp;legtitle=Subordinate%20Legislation%20Act%201978" TargetMode="External"/><Relationship Id="rId30" Type="http://schemas.openxmlformats.org/officeDocument/2006/relationships/hyperlink" Target="http://www.legislation.sa.gov.au/index.aspx?action=legref&amp;type=act&amp;legtitle=Subordinate%20Legislation%20Act%201978" TargetMode="External"/><Relationship Id="rId35" Type="http://schemas.openxmlformats.org/officeDocument/2006/relationships/hyperlink" Target="http://www.legislation.sa.gov.au/index.aspx?action=legref&amp;type=subordleg&amp;legtitle=Fisheries%20Management%20(General)%20Regulations%202017" TargetMode="External"/><Relationship Id="rId43" Type="http://schemas.openxmlformats.org/officeDocument/2006/relationships/hyperlink" Target="http://www.legislation.sa.gov.au/index.aspx?action=legref&amp;type=act&amp;legtitle=Criminal%20Law%20(Forensic%20Procedures)%20Act%202007" TargetMode="External"/><Relationship Id="rId48" Type="http://schemas.openxmlformats.org/officeDocument/2006/relationships/hyperlink" Target="http://www.legislation.sa.gov.au/index.aspx?action=legref&amp;type=act&amp;legtitle=Subordinate%20Legislation%20Act%201978" TargetMode="External"/><Relationship Id="rId56" Type="http://schemas.openxmlformats.org/officeDocument/2006/relationships/hyperlink" Target="http://www.ecsa.sa.gov.au"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Subordinate%20Legislation%20Act%20197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hyperlink" Target="http://www.legislation.sa.gov.au/index.aspx?action=legref&amp;type=act&amp;legtitle=Subordinate%20Legislation%20Act%201978" TargetMode="External"/><Relationship Id="rId38" Type="http://schemas.openxmlformats.org/officeDocument/2006/relationships/hyperlink" Target="http://www.legislation.sa.gov.au/index.aspx?action=legref&amp;type=act&amp;legtitle=Subordinate%20Legislation%20Act%201978" TargetMode="External"/><Relationship Id="rId46" Type="http://schemas.openxmlformats.org/officeDocument/2006/relationships/hyperlink" Target="http://www.legislation.sa.gov.au/index.aspx?action=legref&amp;type=act&amp;legtitle=Subordinate%20Legislation%20Act%201978" TargetMode="External"/><Relationship Id="rId59"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9A1CC-6CE3-4020-9C50-07D2D19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TEMPLATE_GAZETTE_2020.dotx</Template>
  <TotalTime>1</TotalTime>
  <Pages>41</Pages>
  <Words>12764</Words>
  <Characters>72761</Characters>
  <Application>Microsoft Office Word</Application>
  <DocSecurity>4</DocSecurity>
  <Lines>606</Lines>
  <Paragraphs>170</Paragraphs>
  <ScaleCrop>false</ScaleCrop>
  <HeadingPairs>
    <vt:vector size="2" baseType="variant">
      <vt:variant>
        <vt:lpstr>Title</vt:lpstr>
      </vt:variant>
      <vt:variant>
        <vt:i4>1</vt:i4>
      </vt:variant>
    </vt:vector>
  </HeadingPairs>
  <TitlesOfParts>
    <vt:vector size="1" baseType="lpstr">
      <vt:lpstr>No. 42 - Thursday, 21 May 2020 (pp. 2449–2489)</vt:lpstr>
    </vt:vector>
  </TitlesOfParts>
  <Company>SA Government</Company>
  <LinksUpToDate>false</LinksUpToDate>
  <CharactersWithSpaces>85355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 Thursday, 21 May 2020 (pp. 2449–2489)</dc:title>
  <dc:subject/>
  <dc:creator>Elyse Ellgar</dc:creator>
  <cp:keywords/>
  <cp:lastModifiedBy>Elyse Ellgar</cp:lastModifiedBy>
  <cp:revision>2</cp:revision>
  <cp:lastPrinted>2017-06-14T02:19:00Z</cp:lastPrinted>
  <dcterms:created xsi:type="dcterms:W3CDTF">2020-05-21T03:16:00Z</dcterms:created>
  <dcterms:modified xsi:type="dcterms:W3CDTF">2020-05-21T03:16:00Z</dcterms:modified>
</cp:coreProperties>
</file>