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30064C">
        <w:rPr>
          <w:smallCaps/>
          <w:color w:val="000000"/>
          <w:sz w:val="28"/>
          <w:szCs w:val="26"/>
        </w:rPr>
        <w:t>22</w:t>
      </w:r>
      <w:r w:rsidR="00A55207">
        <w:rPr>
          <w:smallCaps/>
          <w:color w:val="000000"/>
          <w:sz w:val="28"/>
          <w:szCs w:val="26"/>
        </w:rPr>
        <w:t xml:space="preserve"> </w:t>
      </w:r>
      <w:r w:rsidR="0030064C">
        <w:rPr>
          <w:smallCaps/>
          <w:color w:val="000000"/>
          <w:sz w:val="28"/>
          <w:szCs w:val="26"/>
        </w:rPr>
        <w:t>April</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30064C">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1217"/>
          <w:cols w:space="708"/>
          <w:titlePg/>
          <w:docGrid w:linePitch="360"/>
        </w:sectPr>
      </w:pPr>
    </w:p>
    <w:sdt>
      <w:sdtPr>
        <w:rPr>
          <w:rFonts w:eastAsia="Calibri"/>
          <w:color w:val="auto"/>
          <w:szCs w:val="22"/>
          <w:lang w:eastAsia="en-US"/>
        </w:rPr>
        <w:id w:val="-1263523509"/>
        <w:docPartObj>
          <w:docPartGallery w:val="Table of Contents"/>
          <w:docPartUnique/>
        </w:docPartObj>
      </w:sdtPr>
      <w:sdtEndPr>
        <w:rPr>
          <w:b/>
          <w:bCs/>
          <w:noProof/>
          <w:szCs w:val="17"/>
        </w:rPr>
      </w:sdtEndPr>
      <w:sdtContent>
        <w:p w:rsidR="00DA4BD2" w:rsidRDefault="001B3BBD" w:rsidP="00DA4BD2">
          <w:pPr>
            <w:pStyle w:val="TOC1"/>
            <w:tabs>
              <w:tab w:val="right" w:leader="dot" w:pos="4550"/>
            </w:tabs>
            <w:ind w:left="159" w:hanging="159"/>
            <w:rPr>
              <w:rFonts w:asciiTheme="minorHAnsi" w:eastAsiaTheme="minorEastAsia" w:hAnsiTheme="minorHAnsi" w:cstheme="minorBidi"/>
              <w:noProof/>
              <w:color w:val="auto"/>
              <w:sz w:val="22"/>
              <w:szCs w:val="22"/>
            </w:rPr>
          </w:pPr>
          <w:r w:rsidRPr="001B3BBD">
            <w:rPr>
              <w:bCs/>
              <w:noProof/>
              <w:szCs w:val="17"/>
            </w:rPr>
            <w:fldChar w:fldCharType="begin"/>
          </w:r>
          <w:r w:rsidRPr="001B3BBD">
            <w:rPr>
              <w:bCs/>
              <w:noProof/>
              <w:szCs w:val="17"/>
            </w:rPr>
            <w:instrText xml:space="preserve"> TOC \o "1-3" \h \z \u </w:instrText>
          </w:r>
          <w:r w:rsidRPr="001B3BBD">
            <w:rPr>
              <w:bCs/>
              <w:noProof/>
              <w:szCs w:val="17"/>
            </w:rPr>
            <w:fldChar w:fldCharType="separate"/>
          </w:r>
          <w:hyperlink w:anchor="_Toc69916955" w:history="1">
            <w:r w:rsidR="00DA4BD2" w:rsidRPr="00DA4BD2">
              <w:rPr>
                <w:rStyle w:val="Heading5Char"/>
              </w:rPr>
              <w:t>Governor’s Instruments</w:t>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56" w:history="1">
            <w:r w:rsidR="00DA4BD2" w:rsidRPr="008973B9">
              <w:rPr>
                <w:rStyle w:val="Hyperlink"/>
                <w:noProof/>
              </w:rPr>
              <w:t>Appointments</w:t>
            </w:r>
            <w:r w:rsidR="00DA4BD2">
              <w:rPr>
                <w:noProof/>
                <w:webHidden/>
              </w:rPr>
              <w:tab/>
            </w:r>
            <w:r w:rsidR="00DA4BD2">
              <w:rPr>
                <w:noProof/>
                <w:webHidden/>
              </w:rPr>
              <w:fldChar w:fldCharType="begin"/>
            </w:r>
            <w:r w:rsidR="00DA4BD2">
              <w:rPr>
                <w:noProof/>
                <w:webHidden/>
              </w:rPr>
              <w:instrText xml:space="preserve"> PAGEREF _Toc69916956 \h </w:instrText>
            </w:r>
            <w:r w:rsidR="00DA4BD2">
              <w:rPr>
                <w:noProof/>
                <w:webHidden/>
              </w:rPr>
            </w:r>
            <w:r w:rsidR="00DA4BD2">
              <w:rPr>
                <w:noProof/>
                <w:webHidden/>
              </w:rPr>
              <w:fldChar w:fldCharType="separate"/>
            </w:r>
            <w:r w:rsidR="00E72658">
              <w:rPr>
                <w:noProof/>
                <w:webHidden/>
              </w:rPr>
              <w:t>1218</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57" w:history="1">
            <w:r w:rsidR="00DA4BD2" w:rsidRPr="008973B9">
              <w:rPr>
                <w:rStyle w:val="Hyperlink"/>
                <w:noProof/>
              </w:rPr>
              <w:t>Proclamations</w:t>
            </w:r>
            <w:r w:rsidR="00DA4BD2">
              <w:rPr>
                <w:noProof/>
                <w:webHidden/>
              </w:rPr>
              <w:t>—</w:t>
            </w:r>
          </w:hyperlink>
        </w:p>
        <w:p w:rsidR="00DA4BD2" w:rsidRDefault="00134C11" w:rsidP="00DA4BD2">
          <w:pPr>
            <w:pStyle w:val="TOC3"/>
            <w:tabs>
              <w:tab w:val="right" w:leader="dot" w:pos="4550"/>
            </w:tabs>
            <w:spacing w:before="0" w:after="0" w:line="170" w:lineRule="exact"/>
            <w:ind w:left="159" w:hanging="159"/>
            <w:rPr>
              <w:rFonts w:asciiTheme="minorHAnsi" w:eastAsiaTheme="minorEastAsia" w:hAnsiTheme="minorHAnsi" w:cstheme="minorBidi"/>
              <w:noProof/>
              <w:color w:val="auto"/>
              <w:sz w:val="22"/>
            </w:rPr>
          </w:pPr>
          <w:hyperlink w:anchor="_Toc69916958" w:history="1">
            <w:r w:rsidR="00DA4BD2" w:rsidRPr="008973B9">
              <w:rPr>
                <w:rStyle w:val="Hyperlink"/>
                <w:noProof/>
              </w:rPr>
              <w:t>Constitution (Legislative Council Casual Vacancy) Proclamation 2021</w:t>
            </w:r>
            <w:r w:rsidR="00DA4BD2">
              <w:rPr>
                <w:noProof/>
                <w:webHidden/>
              </w:rPr>
              <w:tab/>
            </w:r>
            <w:r w:rsidR="00DA4BD2">
              <w:rPr>
                <w:noProof/>
                <w:webHidden/>
              </w:rPr>
              <w:fldChar w:fldCharType="begin"/>
            </w:r>
            <w:r w:rsidR="00DA4BD2">
              <w:rPr>
                <w:noProof/>
                <w:webHidden/>
              </w:rPr>
              <w:instrText xml:space="preserve"> PAGEREF _Toc69916958 \h </w:instrText>
            </w:r>
            <w:r w:rsidR="00DA4BD2">
              <w:rPr>
                <w:noProof/>
                <w:webHidden/>
              </w:rPr>
            </w:r>
            <w:r w:rsidR="00DA4BD2">
              <w:rPr>
                <w:noProof/>
                <w:webHidden/>
              </w:rPr>
              <w:fldChar w:fldCharType="separate"/>
            </w:r>
            <w:r w:rsidR="00E72658">
              <w:rPr>
                <w:noProof/>
                <w:webHidden/>
              </w:rPr>
              <w:t>1219</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59" w:history="1">
            <w:r w:rsidR="00DA4BD2" w:rsidRPr="008973B9">
              <w:rPr>
                <w:rStyle w:val="Hyperlink"/>
                <w:noProof/>
              </w:rPr>
              <w:t>Regulations</w:t>
            </w:r>
            <w:r w:rsidR="00DA4BD2">
              <w:rPr>
                <w:noProof/>
                <w:webHidden/>
              </w:rPr>
              <w:t>—</w:t>
            </w:r>
          </w:hyperlink>
        </w:p>
        <w:p w:rsidR="00DA4BD2" w:rsidRDefault="00134C11" w:rsidP="00DA4BD2">
          <w:pPr>
            <w:pStyle w:val="TOC3"/>
            <w:tabs>
              <w:tab w:val="right" w:leader="dot" w:pos="4550"/>
            </w:tabs>
            <w:spacing w:before="0" w:after="0" w:line="170" w:lineRule="exact"/>
            <w:ind w:left="159" w:hanging="159"/>
            <w:rPr>
              <w:rFonts w:asciiTheme="minorHAnsi" w:eastAsiaTheme="minorEastAsia" w:hAnsiTheme="minorHAnsi" w:cstheme="minorBidi"/>
              <w:noProof/>
              <w:color w:val="auto"/>
              <w:sz w:val="22"/>
            </w:rPr>
          </w:pPr>
          <w:hyperlink w:anchor="_Toc69916960" w:history="1">
            <w:r w:rsidR="00DA4BD2" w:rsidRPr="008973B9">
              <w:rPr>
                <w:rStyle w:val="Hyperlink"/>
                <w:noProof/>
              </w:rPr>
              <w:t xml:space="preserve">Retail and Commercial Leases (Prescribed Lessee) </w:t>
            </w:r>
            <w:r w:rsidR="00DA4BD2">
              <w:rPr>
                <w:rStyle w:val="Hyperlink"/>
                <w:noProof/>
              </w:rPr>
              <w:br/>
            </w:r>
            <w:r w:rsidR="00DA4BD2" w:rsidRPr="008973B9">
              <w:rPr>
                <w:rStyle w:val="Hyperlink"/>
                <w:noProof/>
              </w:rPr>
              <w:t>Variation Regulations 2021</w:t>
            </w:r>
            <w:r w:rsidR="00DA4BD2">
              <w:rPr>
                <w:rStyle w:val="Hyperlink"/>
                <w:noProof/>
              </w:rPr>
              <w:t>—No. 42 of 2021</w:t>
            </w:r>
            <w:r w:rsidR="00DA4BD2">
              <w:rPr>
                <w:noProof/>
                <w:webHidden/>
              </w:rPr>
              <w:tab/>
            </w:r>
            <w:r w:rsidR="00DA4BD2">
              <w:rPr>
                <w:noProof/>
                <w:webHidden/>
              </w:rPr>
              <w:fldChar w:fldCharType="begin"/>
            </w:r>
            <w:r w:rsidR="00DA4BD2">
              <w:rPr>
                <w:noProof/>
                <w:webHidden/>
              </w:rPr>
              <w:instrText xml:space="preserve"> PAGEREF _Toc69916960 \h </w:instrText>
            </w:r>
            <w:r w:rsidR="00DA4BD2">
              <w:rPr>
                <w:noProof/>
                <w:webHidden/>
              </w:rPr>
            </w:r>
            <w:r w:rsidR="00DA4BD2">
              <w:rPr>
                <w:noProof/>
                <w:webHidden/>
              </w:rPr>
              <w:fldChar w:fldCharType="separate"/>
            </w:r>
            <w:r w:rsidR="00E72658">
              <w:rPr>
                <w:noProof/>
                <w:webHidden/>
              </w:rPr>
              <w:t>1221</w:t>
            </w:r>
            <w:r w:rsidR="00DA4BD2">
              <w:rPr>
                <w:noProof/>
                <w:webHidden/>
              </w:rPr>
              <w:fldChar w:fldCharType="end"/>
            </w:r>
          </w:hyperlink>
        </w:p>
        <w:p w:rsidR="00DA4BD2" w:rsidRDefault="00134C11" w:rsidP="00046168">
          <w:pPr>
            <w:pStyle w:val="Heading5"/>
            <w:spacing w:before="40"/>
            <w:rPr>
              <w:rFonts w:asciiTheme="minorHAnsi" w:eastAsiaTheme="minorEastAsia" w:hAnsiTheme="minorHAnsi" w:cstheme="minorBidi"/>
              <w:noProof/>
              <w:sz w:val="22"/>
              <w:szCs w:val="22"/>
            </w:rPr>
          </w:pPr>
          <w:hyperlink w:anchor="_Toc69916961" w:history="1">
            <w:r w:rsidR="00DA4BD2" w:rsidRPr="008973B9">
              <w:rPr>
                <w:rStyle w:val="Hyperlink"/>
                <w:noProof/>
              </w:rPr>
              <w:t>State Government Instruments</w:t>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62" w:history="1">
            <w:r w:rsidR="00DA4BD2" w:rsidRPr="008973B9">
              <w:rPr>
                <w:rStyle w:val="Hyperlink"/>
                <w:noProof/>
              </w:rPr>
              <w:t>Development Act 1993</w:t>
            </w:r>
            <w:r w:rsidR="00DA4BD2">
              <w:rPr>
                <w:noProof/>
                <w:webHidden/>
              </w:rPr>
              <w:tab/>
            </w:r>
            <w:r w:rsidR="00DA4BD2">
              <w:rPr>
                <w:noProof/>
                <w:webHidden/>
              </w:rPr>
              <w:fldChar w:fldCharType="begin"/>
            </w:r>
            <w:r w:rsidR="00DA4BD2">
              <w:rPr>
                <w:noProof/>
                <w:webHidden/>
              </w:rPr>
              <w:instrText xml:space="preserve"> PAGEREF _Toc69916962 \h </w:instrText>
            </w:r>
            <w:r w:rsidR="00DA4BD2">
              <w:rPr>
                <w:noProof/>
                <w:webHidden/>
              </w:rPr>
            </w:r>
            <w:r w:rsidR="00DA4BD2">
              <w:rPr>
                <w:noProof/>
                <w:webHidden/>
              </w:rPr>
              <w:fldChar w:fldCharType="separate"/>
            </w:r>
            <w:r w:rsidR="00E72658">
              <w:rPr>
                <w:noProof/>
                <w:webHidden/>
              </w:rPr>
              <w:t>1223</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63" w:history="1">
            <w:r w:rsidR="00DA4BD2" w:rsidRPr="008973B9">
              <w:rPr>
                <w:rStyle w:val="Hyperlink"/>
                <w:noProof/>
              </w:rPr>
              <w:t xml:space="preserve">Education </w:t>
            </w:r>
            <w:r w:rsidR="0074768B">
              <w:rPr>
                <w:rStyle w:val="Hyperlink"/>
                <w:noProof/>
              </w:rPr>
              <w:t>a</w:t>
            </w:r>
            <w:r w:rsidR="00DA4BD2" w:rsidRPr="008973B9">
              <w:rPr>
                <w:rStyle w:val="Hyperlink"/>
                <w:noProof/>
              </w:rPr>
              <w:t>nd Children’s Services Regulations 2020</w:t>
            </w:r>
            <w:r w:rsidR="00DA4BD2">
              <w:rPr>
                <w:noProof/>
                <w:webHidden/>
              </w:rPr>
              <w:tab/>
            </w:r>
            <w:r w:rsidR="00DA4BD2">
              <w:rPr>
                <w:noProof/>
                <w:webHidden/>
              </w:rPr>
              <w:fldChar w:fldCharType="begin"/>
            </w:r>
            <w:r w:rsidR="00DA4BD2">
              <w:rPr>
                <w:noProof/>
                <w:webHidden/>
              </w:rPr>
              <w:instrText xml:space="preserve"> PAGEREF _Toc69916963 \h </w:instrText>
            </w:r>
            <w:r w:rsidR="00DA4BD2">
              <w:rPr>
                <w:noProof/>
                <w:webHidden/>
              </w:rPr>
            </w:r>
            <w:r w:rsidR="00DA4BD2">
              <w:rPr>
                <w:noProof/>
                <w:webHidden/>
              </w:rPr>
              <w:fldChar w:fldCharType="separate"/>
            </w:r>
            <w:r w:rsidR="00E72658">
              <w:rPr>
                <w:noProof/>
                <w:webHidden/>
              </w:rPr>
              <w:t>1224</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64" w:history="1">
            <w:r w:rsidR="00DA4BD2" w:rsidRPr="008973B9">
              <w:rPr>
                <w:rStyle w:val="Hyperlink"/>
                <w:noProof/>
              </w:rPr>
              <w:t>Explosives Act 1936</w:t>
            </w:r>
            <w:r w:rsidR="00DA4BD2">
              <w:rPr>
                <w:noProof/>
                <w:webHidden/>
              </w:rPr>
              <w:tab/>
            </w:r>
            <w:r w:rsidR="00DA4BD2">
              <w:rPr>
                <w:noProof/>
                <w:webHidden/>
              </w:rPr>
              <w:fldChar w:fldCharType="begin"/>
            </w:r>
            <w:r w:rsidR="00DA4BD2">
              <w:rPr>
                <w:noProof/>
                <w:webHidden/>
              </w:rPr>
              <w:instrText xml:space="preserve"> PAGEREF _Toc69916964 \h </w:instrText>
            </w:r>
            <w:r w:rsidR="00DA4BD2">
              <w:rPr>
                <w:noProof/>
                <w:webHidden/>
              </w:rPr>
            </w:r>
            <w:r w:rsidR="00DA4BD2">
              <w:rPr>
                <w:noProof/>
                <w:webHidden/>
              </w:rPr>
              <w:fldChar w:fldCharType="separate"/>
            </w:r>
            <w:r w:rsidR="00E72658">
              <w:rPr>
                <w:noProof/>
                <w:webHidden/>
              </w:rPr>
              <w:t>1229</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65" w:history="1">
            <w:r w:rsidR="00DA4BD2" w:rsidRPr="008973B9">
              <w:rPr>
                <w:rStyle w:val="Hyperlink"/>
                <w:noProof/>
              </w:rPr>
              <w:t>Fire and Emergency Services Act 2005</w:t>
            </w:r>
            <w:r w:rsidR="00DA4BD2">
              <w:rPr>
                <w:noProof/>
                <w:webHidden/>
              </w:rPr>
              <w:tab/>
            </w:r>
            <w:r w:rsidR="00DA4BD2">
              <w:rPr>
                <w:noProof/>
                <w:webHidden/>
              </w:rPr>
              <w:fldChar w:fldCharType="begin"/>
            </w:r>
            <w:r w:rsidR="00DA4BD2">
              <w:rPr>
                <w:noProof/>
                <w:webHidden/>
              </w:rPr>
              <w:instrText xml:space="preserve"> PAGEREF _Toc69916965 \h </w:instrText>
            </w:r>
            <w:r w:rsidR="00DA4BD2">
              <w:rPr>
                <w:noProof/>
                <w:webHidden/>
              </w:rPr>
            </w:r>
            <w:r w:rsidR="00DA4BD2">
              <w:rPr>
                <w:noProof/>
                <w:webHidden/>
              </w:rPr>
              <w:fldChar w:fldCharType="separate"/>
            </w:r>
            <w:r w:rsidR="00E72658">
              <w:rPr>
                <w:noProof/>
                <w:webHidden/>
              </w:rPr>
              <w:t>1230</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66" w:history="1">
            <w:r w:rsidR="00DA4BD2" w:rsidRPr="008973B9">
              <w:rPr>
                <w:rStyle w:val="Hyperlink"/>
                <w:noProof/>
              </w:rPr>
              <w:t>Fisheries Management Act 2007</w:t>
            </w:r>
            <w:r w:rsidR="00DA4BD2">
              <w:rPr>
                <w:noProof/>
                <w:webHidden/>
              </w:rPr>
              <w:tab/>
            </w:r>
            <w:r w:rsidR="00DA4BD2">
              <w:rPr>
                <w:noProof/>
                <w:webHidden/>
              </w:rPr>
              <w:fldChar w:fldCharType="begin"/>
            </w:r>
            <w:r w:rsidR="00DA4BD2">
              <w:rPr>
                <w:noProof/>
                <w:webHidden/>
              </w:rPr>
              <w:instrText xml:space="preserve"> PAGEREF _Toc69916966 \h </w:instrText>
            </w:r>
            <w:r w:rsidR="00DA4BD2">
              <w:rPr>
                <w:noProof/>
                <w:webHidden/>
              </w:rPr>
            </w:r>
            <w:r w:rsidR="00DA4BD2">
              <w:rPr>
                <w:noProof/>
                <w:webHidden/>
              </w:rPr>
              <w:fldChar w:fldCharType="separate"/>
            </w:r>
            <w:r w:rsidR="00E72658">
              <w:rPr>
                <w:noProof/>
                <w:webHidden/>
              </w:rPr>
              <w:t>1230</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67" w:history="1">
            <w:r w:rsidR="00DA4BD2" w:rsidRPr="008973B9">
              <w:rPr>
                <w:rStyle w:val="Hyperlink"/>
                <w:noProof/>
              </w:rPr>
              <w:t xml:space="preserve">Fisheries Management (Rock Lobster Fisheries) </w:t>
            </w:r>
            <w:r w:rsidR="00DA4BD2">
              <w:rPr>
                <w:rStyle w:val="Hyperlink"/>
                <w:noProof/>
              </w:rPr>
              <w:br/>
            </w:r>
            <w:r w:rsidR="00DA4BD2" w:rsidRPr="008973B9">
              <w:rPr>
                <w:rStyle w:val="Hyperlink"/>
                <w:noProof/>
              </w:rPr>
              <w:t>Regulations 2017</w:t>
            </w:r>
            <w:r w:rsidR="00DA4BD2">
              <w:rPr>
                <w:noProof/>
                <w:webHidden/>
              </w:rPr>
              <w:tab/>
            </w:r>
            <w:r w:rsidR="00DA4BD2">
              <w:rPr>
                <w:noProof/>
                <w:webHidden/>
              </w:rPr>
              <w:fldChar w:fldCharType="begin"/>
            </w:r>
            <w:r w:rsidR="00DA4BD2">
              <w:rPr>
                <w:noProof/>
                <w:webHidden/>
              </w:rPr>
              <w:instrText xml:space="preserve"> PAGEREF _Toc69916967 \h </w:instrText>
            </w:r>
            <w:r w:rsidR="00DA4BD2">
              <w:rPr>
                <w:noProof/>
                <w:webHidden/>
              </w:rPr>
            </w:r>
            <w:r w:rsidR="00DA4BD2">
              <w:rPr>
                <w:noProof/>
                <w:webHidden/>
              </w:rPr>
              <w:fldChar w:fldCharType="separate"/>
            </w:r>
            <w:r w:rsidR="00E72658">
              <w:rPr>
                <w:noProof/>
                <w:webHidden/>
              </w:rPr>
              <w:t>1231</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68" w:history="1">
            <w:r w:rsidR="00DA4BD2" w:rsidRPr="008973B9">
              <w:rPr>
                <w:rStyle w:val="Hyperlink"/>
                <w:noProof/>
              </w:rPr>
              <w:t>Housing Improvement Act 2016</w:t>
            </w:r>
            <w:r w:rsidR="00DA4BD2">
              <w:rPr>
                <w:noProof/>
                <w:webHidden/>
              </w:rPr>
              <w:tab/>
            </w:r>
            <w:r w:rsidR="00DA4BD2">
              <w:rPr>
                <w:noProof/>
                <w:webHidden/>
              </w:rPr>
              <w:fldChar w:fldCharType="begin"/>
            </w:r>
            <w:r w:rsidR="00DA4BD2">
              <w:rPr>
                <w:noProof/>
                <w:webHidden/>
              </w:rPr>
              <w:instrText xml:space="preserve"> PAGEREF _Toc69916968 \h </w:instrText>
            </w:r>
            <w:r w:rsidR="00DA4BD2">
              <w:rPr>
                <w:noProof/>
                <w:webHidden/>
              </w:rPr>
            </w:r>
            <w:r w:rsidR="00DA4BD2">
              <w:rPr>
                <w:noProof/>
                <w:webHidden/>
              </w:rPr>
              <w:fldChar w:fldCharType="separate"/>
            </w:r>
            <w:r w:rsidR="00E72658">
              <w:rPr>
                <w:noProof/>
                <w:webHidden/>
              </w:rPr>
              <w:t>1231</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69" w:history="1">
            <w:r w:rsidR="00DA4BD2" w:rsidRPr="008973B9">
              <w:rPr>
                <w:rStyle w:val="Hyperlink"/>
                <w:noProof/>
              </w:rPr>
              <w:t>Land Acquisition Act 1969</w:t>
            </w:r>
            <w:r w:rsidR="00DA4BD2">
              <w:rPr>
                <w:noProof/>
                <w:webHidden/>
              </w:rPr>
              <w:tab/>
            </w:r>
            <w:r w:rsidR="00DA4BD2">
              <w:rPr>
                <w:noProof/>
                <w:webHidden/>
              </w:rPr>
              <w:fldChar w:fldCharType="begin"/>
            </w:r>
            <w:r w:rsidR="00DA4BD2">
              <w:rPr>
                <w:noProof/>
                <w:webHidden/>
              </w:rPr>
              <w:instrText xml:space="preserve"> PAGEREF _Toc69916969 \h </w:instrText>
            </w:r>
            <w:r w:rsidR="00DA4BD2">
              <w:rPr>
                <w:noProof/>
                <w:webHidden/>
              </w:rPr>
            </w:r>
            <w:r w:rsidR="00DA4BD2">
              <w:rPr>
                <w:noProof/>
                <w:webHidden/>
              </w:rPr>
              <w:fldChar w:fldCharType="separate"/>
            </w:r>
            <w:r w:rsidR="00E72658">
              <w:rPr>
                <w:noProof/>
                <w:webHidden/>
              </w:rPr>
              <w:t>1232</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70" w:history="1">
            <w:r w:rsidR="00DA4BD2" w:rsidRPr="008973B9">
              <w:rPr>
                <w:rStyle w:val="Hyperlink"/>
                <w:noProof/>
              </w:rPr>
              <w:t>Landscape South Australia Act 2019</w:t>
            </w:r>
            <w:r w:rsidR="00DA4BD2">
              <w:rPr>
                <w:noProof/>
                <w:webHidden/>
              </w:rPr>
              <w:tab/>
            </w:r>
            <w:r w:rsidR="00DA4BD2">
              <w:rPr>
                <w:noProof/>
                <w:webHidden/>
              </w:rPr>
              <w:fldChar w:fldCharType="begin"/>
            </w:r>
            <w:r w:rsidR="00DA4BD2">
              <w:rPr>
                <w:noProof/>
                <w:webHidden/>
              </w:rPr>
              <w:instrText xml:space="preserve"> PAGEREF _Toc69916970 \h </w:instrText>
            </w:r>
            <w:r w:rsidR="00DA4BD2">
              <w:rPr>
                <w:noProof/>
                <w:webHidden/>
              </w:rPr>
            </w:r>
            <w:r w:rsidR="00DA4BD2">
              <w:rPr>
                <w:noProof/>
                <w:webHidden/>
              </w:rPr>
              <w:fldChar w:fldCharType="separate"/>
            </w:r>
            <w:r w:rsidR="00E72658">
              <w:rPr>
                <w:noProof/>
                <w:webHidden/>
              </w:rPr>
              <w:t>1233</w:t>
            </w:r>
            <w:r w:rsidR="00DA4BD2">
              <w:rPr>
                <w:noProof/>
                <w:webHidden/>
              </w:rPr>
              <w:fldChar w:fldCharType="end"/>
            </w:r>
          </w:hyperlink>
        </w:p>
        <w:p w:rsidR="00DA4BD2" w:rsidRDefault="00DA4BD2" w:rsidP="00DA4BD2">
          <w:pPr>
            <w:pStyle w:val="TOC2"/>
            <w:tabs>
              <w:tab w:val="right" w:leader="dot" w:pos="4550"/>
            </w:tabs>
            <w:ind w:left="159" w:hanging="159"/>
            <w:rPr>
              <w:rFonts w:asciiTheme="minorHAnsi" w:eastAsiaTheme="minorEastAsia" w:hAnsiTheme="minorHAnsi" w:cstheme="minorBidi"/>
              <w:noProof/>
              <w:color w:val="auto"/>
              <w:sz w:val="22"/>
              <w:szCs w:val="22"/>
            </w:rPr>
          </w:pPr>
          <w:r>
            <w:rPr>
              <w:rStyle w:val="Hyperlink"/>
              <w:noProof/>
            </w:rPr>
            <w:br w:type="column"/>
          </w:r>
          <w:hyperlink w:anchor="_Toc69916971" w:history="1">
            <w:r w:rsidRPr="008973B9">
              <w:rPr>
                <w:rStyle w:val="Hyperlink"/>
                <w:noProof/>
              </w:rPr>
              <w:t>Mining Act 1971</w:t>
            </w:r>
            <w:r>
              <w:rPr>
                <w:noProof/>
                <w:webHidden/>
              </w:rPr>
              <w:tab/>
            </w:r>
            <w:r>
              <w:rPr>
                <w:noProof/>
                <w:webHidden/>
              </w:rPr>
              <w:fldChar w:fldCharType="begin"/>
            </w:r>
            <w:r>
              <w:rPr>
                <w:noProof/>
                <w:webHidden/>
              </w:rPr>
              <w:instrText xml:space="preserve"> PAGEREF _Toc69916971 \h </w:instrText>
            </w:r>
            <w:r>
              <w:rPr>
                <w:noProof/>
                <w:webHidden/>
              </w:rPr>
            </w:r>
            <w:r>
              <w:rPr>
                <w:noProof/>
                <w:webHidden/>
              </w:rPr>
              <w:fldChar w:fldCharType="separate"/>
            </w:r>
            <w:r w:rsidR="00E72658">
              <w:rPr>
                <w:noProof/>
                <w:webHidden/>
              </w:rPr>
              <w:t>1233</w:t>
            </w:r>
            <w:r>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72" w:history="1">
            <w:r w:rsidR="00DA4BD2" w:rsidRPr="008973B9">
              <w:rPr>
                <w:rStyle w:val="Hyperlink"/>
                <w:noProof/>
              </w:rPr>
              <w:t>Motor Vehicles Act 1959</w:t>
            </w:r>
            <w:r w:rsidR="00DA4BD2">
              <w:rPr>
                <w:noProof/>
                <w:webHidden/>
              </w:rPr>
              <w:tab/>
            </w:r>
            <w:r w:rsidR="00DA4BD2">
              <w:rPr>
                <w:noProof/>
                <w:webHidden/>
              </w:rPr>
              <w:fldChar w:fldCharType="begin"/>
            </w:r>
            <w:r w:rsidR="00DA4BD2">
              <w:rPr>
                <w:noProof/>
                <w:webHidden/>
              </w:rPr>
              <w:instrText xml:space="preserve"> PAGEREF _Toc69916972 \h </w:instrText>
            </w:r>
            <w:r w:rsidR="00DA4BD2">
              <w:rPr>
                <w:noProof/>
                <w:webHidden/>
              </w:rPr>
            </w:r>
            <w:r w:rsidR="00DA4BD2">
              <w:rPr>
                <w:noProof/>
                <w:webHidden/>
              </w:rPr>
              <w:fldChar w:fldCharType="separate"/>
            </w:r>
            <w:r w:rsidR="00E72658">
              <w:rPr>
                <w:noProof/>
                <w:webHidden/>
              </w:rPr>
              <w:t>1234</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73" w:history="1">
            <w:r w:rsidR="00DA4BD2" w:rsidRPr="008973B9">
              <w:rPr>
                <w:rStyle w:val="Hyperlink"/>
                <w:noProof/>
              </w:rPr>
              <w:t xml:space="preserve">National Parks and Wildlife (National Parks) </w:t>
            </w:r>
            <w:r w:rsidR="00DA4BD2">
              <w:rPr>
                <w:rStyle w:val="Hyperlink"/>
                <w:noProof/>
              </w:rPr>
              <w:br/>
            </w:r>
            <w:r w:rsidR="00DA4BD2" w:rsidRPr="008973B9">
              <w:rPr>
                <w:rStyle w:val="Hyperlink"/>
                <w:noProof/>
              </w:rPr>
              <w:t>Regulations 2016</w:t>
            </w:r>
            <w:r w:rsidR="00DA4BD2">
              <w:rPr>
                <w:noProof/>
                <w:webHidden/>
              </w:rPr>
              <w:tab/>
            </w:r>
            <w:r w:rsidR="00DA4BD2">
              <w:rPr>
                <w:noProof/>
                <w:webHidden/>
              </w:rPr>
              <w:fldChar w:fldCharType="begin"/>
            </w:r>
            <w:r w:rsidR="00DA4BD2">
              <w:rPr>
                <w:noProof/>
                <w:webHidden/>
              </w:rPr>
              <w:instrText xml:space="preserve"> PAGEREF _Toc69916973 \h </w:instrText>
            </w:r>
            <w:r w:rsidR="00DA4BD2">
              <w:rPr>
                <w:noProof/>
                <w:webHidden/>
              </w:rPr>
            </w:r>
            <w:r w:rsidR="00DA4BD2">
              <w:rPr>
                <w:noProof/>
                <w:webHidden/>
              </w:rPr>
              <w:fldChar w:fldCharType="separate"/>
            </w:r>
            <w:r w:rsidR="00E72658">
              <w:rPr>
                <w:noProof/>
                <w:webHidden/>
              </w:rPr>
              <w:t>1236</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74" w:history="1">
            <w:r w:rsidR="00DA4BD2" w:rsidRPr="008973B9">
              <w:rPr>
                <w:rStyle w:val="Hyperlink"/>
                <w:noProof/>
              </w:rPr>
              <w:t xml:space="preserve">Petroleum </w:t>
            </w:r>
            <w:r w:rsidR="00ED48D5">
              <w:rPr>
                <w:rStyle w:val="Hyperlink"/>
                <w:noProof/>
              </w:rPr>
              <w:t>a</w:t>
            </w:r>
            <w:r w:rsidR="00DA4BD2" w:rsidRPr="008973B9">
              <w:rPr>
                <w:rStyle w:val="Hyperlink"/>
                <w:noProof/>
              </w:rPr>
              <w:t>nd Geothermal Energy Act 2000</w:t>
            </w:r>
            <w:r w:rsidR="00DA4BD2">
              <w:rPr>
                <w:noProof/>
                <w:webHidden/>
              </w:rPr>
              <w:tab/>
            </w:r>
            <w:r w:rsidR="00DA4BD2">
              <w:rPr>
                <w:noProof/>
                <w:webHidden/>
              </w:rPr>
              <w:fldChar w:fldCharType="begin"/>
            </w:r>
            <w:r w:rsidR="00DA4BD2">
              <w:rPr>
                <w:noProof/>
                <w:webHidden/>
              </w:rPr>
              <w:instrText xml:space="preserve"> PAGEREF _Toc69916974 \h </w:instrText>
            </w:r>
            <w:r w:rsidR="00DA4BD2">
              <w:rPr>
                <w:noProof/>
                <w:webHidden/>
              </w:rPr>
            </w:r>
            <w:r w:rsidR="00DA4BD2">
              <w:rPr>
                <w:noProof/>
                <w:webHidden/>
              </w:rPr>
              <w:fldChar w:fldCharType="separate"/>
            </w:r>
            <w:r w:rsidR="00E72658">
              <w:rPr>
                <w:noProof/>
                <w:webHidden/>
              </w:rPr>
              <w:t>1236</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75" w:history="1">
            <w:r w:rsidR="00DA4BD2" w:rsidRPr="008973B9">
              <w:rPr>
                <w:rStyle w:val="Hyperlink"/>
                <w:noProof/>
              </w:rPr>
              <w:t>Planning, Development and Infrastructure Act 2016</w:t>
            </w:r>
            <w:r w:rsidR="00DA4BD2">
              <w:rPr>
                <w:noProof/>
                <w:webHidden/>
              </w:rPr>
              <w:tab/>
            </w:r>
            <w:r w:rsidR="00DA4BD2">
              <w:rPr>
                <w:noProof/>
                <w:webHidden/>
              </w:rPr>
              <w:fldChar w:fldCharType="begin"/>
            </w:r>
            <w:r w:rsidR="00DA4BD2">
              <w:rPr>
                <w:noProof/>
                <w:webHidden/>
              </w:rPr>
              <w:instrText xml:space="preserve"> PAGEREF _Toc69916975 \h </w:instrText>
            </w:r>
            <w:r w:rsidR="00DA4BD2">
              <w:rPr>
                <w:noProof/>
                <w:webHidden/>
              </w:rPr>
            </w:r>
            <w:r w:rsidR="00DA4BD2">
              <w:rPr>
                <w:noProof/>
                <w:webHidden/>
              </w:rPr>
              <w:fldChar w:fldCharType="separate"/>
            </w:r>
            <w:r w:rsidR="00E72658">
              <w:rPr>
                <w:noProof/>
                <w:webHidden/>
              </w:rPr>
              <w:t>1237</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76" w:history="1">
            <w:r w:rsidR="00DA4BD2" w:rsidRPr="008973B9">
              <w:rPr>
                <w:rStyle w:val="Hyperlink"/>
                <w:noProof/>
              </w:rPr>
              <w:t>Remuneration Tribunal</w:t>
            </w:r>
            <w:r w:rsidR="00DA4BD2">
              <w:rPr>
                <w:rStyle w:val="Hyperlink"/>
                <w:noProof/>
              </w:rPr>
              <w:t>, The</w:t>
            </w:r>
            <w:r w:rsidR="00DA4BD2">
              <w:rPr>
                <w:noProof/>
                <w:webHidden/>
              </w:rPr>
              <w:tab/>
            </w:r>
            <w:r w:rsidR="00DA4BD2">
              <w:rPr>
                <w:noProof/>
                <w:webHidden/>
              </w:rPr>
              <w:fldChar w:fldCharType="begin"/>
            </w:r>
            <w:r w:rsidR="00DA4BD2">
              <w:rPr>
                <w:noProof/>
                <w:webHidden/>
              </w:rPr>
              <w:instrText xml:space="preserve"> PAGEREF _Toc69916976 \h </w:instrText>
            </w:r>
            <w:r w:rsidR="00DA4BD2">
              <w:rPr>
                <w:noProof/>
                <w:webHidden/>
              </w:rPr>
            </w:r>
            <w:r w:rsidR="00DA4BD2">
              <w:rPr>
                <w:noProof/>
                <w:webHidden/>
              </w:rPr>
              <w:fldChar w:fldCharType="separate"/>
            </w:r>
            <w:r w:rsidR="00E72658">
              <w:rPr>
                <w:noProof/>
                <w:webHidden/>
              </w:rPr>
              <w:t>1239</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77" w:history="1">
            <w:r w:rsidR="00DA4BD2" w:rsidRPr="008973B9">
              <w:rPr>
                <w:rStyle w:val="Hyperlink"/>
                <w:noProof/>
              </w:rPr>
              <w:t>Retail and Commercial Leases Act 1995</w:t>
            </w:r>
            <w:r w:rsidR="00DA4BD2">
              <w:rPr>
                <w:noProof/>
                <w:webHidden/>
              </w:rPr>
              <w:tab/>
            </w:r>
            <w:r w:rsidR="00DA4BD2">
              <w:rPr>
                <w:noProof/>
                <w:webHidden/>
              </w:rPr>
              <w:fldChar w:fldCharType="begin"/>
            </w:r>
            <w:r w:rsidR="00DA4BD2">
              <w:rPr>
                <w:noProof/>
                <w:webHidden/>
              </w:rPr>
              <w:instrText xml:space="preserve"> PAGEREF _Toc69916977 \h </w:instrText>
            </w:r>
            <w:r w:rsidR="00DA4BD2">
              <w:rPr>
                <w:noProof/>
                <w:webHidden/>
              </w:rPr>
            </w:r>
            <w:r w:rsidR="00DA4BD2">
              <w:rPr>
                <w:noProof/>
                <w:webHidden/>
              </w:rPr>
              <w:fldChar w:fldCharType="separate"/>
            </w:r>
            <w:r w:rsidR="00E72658">
              <w:rPr>
                <w:noProof/>
                <w:webHidden/>
              </w:rPr>
              <w:t>1242</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78" w:history="1">
            <w:r w:rsidR="00DA4BD2" w:rsidRPr="008973B9">
              <w:rPr>
                <w:rStyle w:val="Hyperlink"/>
                <w:noProof/>
              </w:rPr>
              <w:t>Roads (Opening and Closing) Act 1991</w:t>
            </w:r>
            <w:r w:rsidR="00DA4BD2">
              <w:rPr>
                <w:noProof/>
                <w:webHidden/>
              </w:rPr>
              <w:tab/>
            </w:r>
            <w:r w:rsidR="00DA4BD2">
              <w:rPr>
                <w:noProof/>
                <w:webHidden/>
              </w:rPr>
              <w:fldChar w:fldCharType="begin"/>
            </w:r>
            <w:r w:rsidR="00DA4BD2">
              <w:rPr>
                <w:noProof/>
                <w:webHidden/>
              </w:rPr>
              <w:instrText xml:space="preserve"> PAGEREF _Toc69916978 \h </w:instrText>
            </w:r>
            <w:r w:rsidR="00DA4BD2">
              <w:rPr>
                <w:noProof/>
                <w:webHidden/>
              </w:rPr>
            </w:r>
            <w:r w:rsidR="00DA4BD2">
              <w:rPr>
                <w:noProof/>
                <w:webHidden/>
              </w:rPr>
              <w:fldChar w:fldCharType="separate"/>
            </w:r>
            <w:r w:rsidR="00E72658">
              <w:rPr>
                <w:noProof/>
                <w:webHidden/>
              </w:rPr>
              <w:t>1243</w:t>
            </w:r>
            <w:r w:rsidR="00DA4BD2">
              <w:rPr>
                <w:noProof/>
                <w:webHidden/>
              </w:rPr>
              <w:fldChar w:fldCharType="end"/>
            </w:r>
          </w:hyperlink>
        </w:p>
        <w:p w:rsidR="00DA4BD2" w:rsidRDefault="00134C11" w:rsidP="00046168">
          <w:pPr>
            <w:pStyle w:val="Heading5"/>
            <w:spacing w:before="100"/>
            <w:rPr>
              <w:rFonts w:asciiTheme="minorHAnsi" w:eastAsiaTheme="minorEastAsia" w:hAnsiTheme="minorHAnsi" w:cstheme="minorBidi"/>
              <w:noProof/>
              <w:sz w:val="22"/>
              <w:szCs w:val="22"/>
            </w:rPr>
          </w:pPr>
          <w:hyperlink w:anchor="_Toc69916979" w:history="1">
            <w:r w:rsidR="00DA4BD2" w:rsidRPr="008973B9">
              <w:rPr>
                <w:rStyle w:val="Hyperlink"/>
                <w:noProof/>
              </w:rPr>
              <w:t>Local Government Instruments</w:t>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80" w:history="1">
            <w:r w:rsidR="00DA4BD2" w:rsidRPr="008973B9">
              <w:rPr>
                <w:rStyle w:val="Hyperlink"/>
                <w:noProof/>
              </w:rPr>
              <w:t>City of Holdfast Bay</w:t>
            </w:r>
            <w:r w:rsidR="00DA4BD2">
              <w:rPr>
                <w:noProof/>
                <w:webHidden/>
              </w:rPr>
              <w:tab/>
            </w:r>
            <w:r w:rsidR="00DA4BD2">
              <w:rPr>
                <w:noProof/>
                <w:webHidden/>
              </w:rPr>
              <w:fldChar w:fldCharType="begin"/>
            </w:r>
            <w:r w:rsidR="00DA4BD2">
              <w:rPr>
                <w:noProof/>
                <w:webHidden/>
              </w:rPr>
              <w:instrText xml:space="preserve"> PAGEREF _Toc69916980 \h </w:instrText>
            </w:r>
            <w:r w:rsidR="00DA4BD2">
              <w:rPr>
                <w:noProof/>
                <w:webHidden/>
              </w:rPr>
            </w:r>
            <w:r w:rsidR="00DA4BD2">
              <w:rPr>
                <w:noProof/>
                <w:webHidden/>
              </w:rPr>
              <w:fldChar w:fldCharType="separate"/>
            </w:r>
            <w:r w:rsidR="00E72658">
              <w:rPr>
                <w:noProof/>
                <w:webHidden/>
              </w:rPr>
              <w:t>1246</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81" w:history="1">
            <w:r w:rsidR="00DA4BD2" w:rsidRPr="008973B9">
              <w:rPr>
                <w:rStyle w:val="Hyperlink"/>
                <w:noProof/>
              </w:rPr>
              <w:t>District Council of Streaky Bay</w:t>
            </w:r>
            <w:r w:rsidR="00DA4BD2">
              <w:rPr>
                <w:noProof/>
                <w:webHidden/>
              </w:rPr>
              <w:tab/>
            </w:r>
            <w:r w:rsidR="00DA4BD2">
              <w:rPr>
                <w:noProof/>
                <w:webHidden/>
              </w:rPr>
              <w:fldChar w:fldCharType="begin"/>
            </w:r>
            <w:r w:rsidR="00DA4BD2">
              <w:rPr>
                <w:noProof/>
                <w:webHidden/>
              </w:rPr>
              <w:instrText xml:space="preserve"> PAGEREF _Toc69916981 \h </w:instrText>
            </w:r>
            <w:r w:rsidR="00DA4BD2">
              <w:rPr>
                <w:noProof/>
                <w:webHidden/>
              </w:rPr>
            </w:r>
            <w:r w:rsidR="00DA4BD2">
              <w:rPr>
                <w:noProof/>
                <w:webHidden/>
              </w:rPr>
              <w:fldChar w:fldCharType="separate"/>
            </w:r>
            <w:r w:rsidR="00E72658">
              <w:rPr>
                <w:noProof/>
                <w:webHidden/>
              </w:rPr>
              <w:t>1246</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82" w:history="1">
            <w:r w:rsidR="00DA4BD2" w:rsidRPr="008973B9">
              <w:rPr>
                <w:rStyle w:val="Hyperlink"/>
                <w:noProof/>
              </w:rPr>
              <w:t>Tatiara District Council</w:t>
            </w:r>
            <w:r w:rsidR="00DA4BD2">
              <w:rPr>
                <w:noProof/>
                <w:webHidden/>
              </w:rPr>
              <w:tab/>
            </w:r>
            <w:r w:rsidR="00DA4BD2">
              <w:rPr>
                <w:noProof/>
                <w:webHidden/>
              </w:rPr>
              <w:fldChar w:fldCharType="begin"/>
            </w:r>
            <w:r w:rsidR="00DA4BD2">
              <w:rPr>
                <w:noProof/>
                <w:webHidden/>
              </w:rPr>
              <w:instrText xml:space="preserve"> PAGEREF _Toc69916982 \h </w:instrText>
            </w:r>
            <w:r w:rsidR="00DA4BD2">
              <w:rPr>
                <w:noProof/>
                <w:webHidden/>
              </w:rPr>
            </w:r>
            <w:r w:rsidR="00DA4BD2">
              <w:rPr>
                <w:noProof/>
                <w:webHidden/>
              </w:rPr>
              <w:fldChar w:fldCharType="separate"/>
            </w:r>
            <w:r w:rsidR="00E72658">
              <w:rPr>
                <w:noProof/>
                <w:webHidden/>
              </w:rPr>
              <w:t>1246</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83" w:history="1">
            <w:r w:rsidR="00DA4BD2" w:rsidRPr="008973B9">
              <w:rPr>
                <w:rStyle w:val="Hyperlink"/>
                <w:noProof/>
              </w:rPr>
              <w:t>Wattle Range Council</w:t>
            </w:r>
            <w:r w:rsidR="00DA4BD2">
              <w:rPr>
                <w:noProof/>
                <w:webHidden/>
              </w:rPr>
              <w:tab/>
            </w:r>
            <w:r w:rsidR="00DA4BD2">
              <w:rPr>
                <w:noProof/>
                <w:webHidden/>
              </w:rPr>
              <w:fldChar w:fldCharType="begin"/>
            </w:r>
            <w:r w:rsidR="00DA4BD2">
              <w:rPr>
                <w:noProof/>
                <w:webHidden/>
              </w:rPr>
              <w:instrText xml:space="preserve"> PAGEREF _Toc69916983 \h </w:instrText>
            </w:r>
            <w:r w:rsidR="00DA4BD2">
              <w:rPr>
                <w:noProof/>
                <w:webHidden/>
              </w:rPr>
            </w:r>
            <w:r w:rsidR="00DA4BD2">
              <w:rPr>
                <w:noProof/>
                <w:webHidden/>
              </w:rPr>
              <w:fldChar w:fldCharType="separate"/>
            </w:r>
            <w:r w:rsidR="00E72658">
              <w:rPr>
                <w:noProof/>
                <w:webHidden/>
              </w:rPr>
              <w:t>1246</w:t>
            </w:r>
            <w:r w:rsidR="00DA4BD2">
              <w:rPr>
                <w:noProof/>
                <w:webHidden/>
              </w:rPr>
              <w:fldChar w:fldCharType="end"/>
            </w:r>
          </w:hyperlink>
        </w:p>
        <w:p w:rsidR="00DA4BD2" w:rsidRDefault="00134C11" w:rsidP="00046168">
          <w:pPr>
            <w:pStyle w:val="Heading5"/>
            <w:spacing w:before="100"/>
            <w:rPr>
              <w:rFonts w:asciiTheme="minorHAnsi" w:eastAsiaTheme="minorEastAsia" w:hAnsiTheme="minorHAnsi" w:cstheme="minorBidi"/>
              <w:noProof/>
              <w:sz w:val="22"/>
              <w:szCs w:val="22"/>
            </w:rPr>
          </w:pPr>
          <w:hyperlink w:anchor="_Toc69916984" w:history="1">
            <w:r w:rsidR="00DA4BD2" w:rsidRPr="008973B9">
              <w:rPr>
                <w:rStyle w:val="Hyperlink"/>
                <w:noProof/>
              </w:rPr>
              <w:t>Public Notices</w:t>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85" w:history="1">
            <w:r w:rsidR="00DA4BD2" w:rsidRPr="008973B9">
              <w:rPr>
                <w:rStyle w:val="Hyperlink"/>
                <w:noProof/>
              </w:rPr>
              <w:t>Trustee Act 1936</w:t>
            </w:r>
            <w:r w:rsidR="00DA4BD2">
              <w:rPr>
                <w:noProof/>
                <w:webHidden/>
              </w:rPr>
              <w:tab/>
            </w:r>
            <w:r w:rsidR="00DA4BD2">
              <w:rPr>
                <w:noProof/>
                <w:webHidden/>
              </w:rPr>
              <w:fldChar w:fldCharType="begin"/>
            </w:r>
            <w:r w:rsidR="00DA4BD2">
              <w:rPr>
                <w:noProof/>
                <w:webHidden/>
              </w:rPr>
              <w:instrText xml:space="preserve"> PAGEREF _Toc69916985 \h </w:instrText>
            </w:r>
            <w:r w:rsidR="00DA4BD2">
              <w:rPr>
                <w:noProof/>
                <w:webHidden/>
              </w:rPr>
            </w:r>
            <w:r w:rsidR="00DA4BD2">
              <w:rPr>
                <w:noProof/>
                <w:webHidden/>
              </w:rPr>
              <w:fldChar w:fldCharType="separate"/>
            </w:r>
            <w:r w:rsidR="00E72658">
              <w:rPr>
                <w:noProof/>
                <w:webHidden/>
              </w:rPr>
              <w:t>1247</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86" w:history="1">
            <w:r w:rsidR="00DA4BD2" w:rsidRPr="008973B9">
              <w:rPr>
                <w:rStyle w:val="Hyperlink"/>
                <w:noProof/>
              </w:rPr>
              <w:t>National Electricity Law</w:t>
            </w:r>
            <w:r w:rsidR="00DA4BD2">
              <w:rPr>
                <w:noProof/>
                <w:webHidden/>
              </w:rPr>
              <w:tab/>
            </w:r>
            <w:r w:rsidR="00DA4BD2">
              <w:rPr>
                <w:noProof/>
                <w:webHidden/>
              </w:rPr>
              <w:fldChar w:fldCharType="begin"/>
            </w:r>
            <w:r w:rsidR="00DA4BD2">
              <w:rPr>
                <w:noProof/>
                <w:webHidden/>
              </w:rPr>
              <w:instrText xml:space="preserve"> PAGEREF _Toc69916986 \h </w:instrText>
            </w:r>
            <w:r w:rsidR="00DA4BD2">
              <w:rPr>
                <w:noProof/>
                <w:webHidden/>
              </w:rPr>
            </w:r>
            <w:r w:rsidR="00DA4BD2">
              <w:rPr>
                <w:noProof/>
                <w:webHidden/>
              </w:rPr>
              <w:fldChar w:fldCharType="separate"/>
            </w:r>
            <w:r w:rsidR="00E72658">
              <w:rPr>
                <w:noProof/>
                <w:webHidden/>
              </w:rPr>
              <w:t>1247</w:t>
            </w:r>
            <w:r w:rsidR="00DA4BD2">
              <w:rPr>
                <w:noProof/>
                <w:webHidden/>
              </w:rPr>
              <w:fldChar w:fldCharType="end"/>
            </w:r>
          </w:hyperlink>
        </w:p>
        <w:p w:rsidR="00DA4BD2" w:rsidRDefault="00134C11" w:rsidP="00DA4BD2">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9916987" w:history="1">
            <w:r w:rsidR="00DA4BD2" w:rsidRPr="008973B9">
              <w:rPr>
                <w:rStyle w:val="Hyperlink"/>
                <w:noProof/>
              </w:rPr>
              <w:t>Partnership Act 1891</w:t>
            </w:r>
            <w:r w:rsidR="00DA4BD2">
              <w:rPr>
                <w:noProof/>
                <w:webHidden/>
              </w:rPr>
              <w:tab/>
            </w:r>
            <w:r w:rsidR="00DA4BD2">
              <w:rPr>
                <w:noProof/>
                <w:webHidden/>
              </w:rPr>
              <w:fldChar w:fldCharType="begin"/>
            </w:r>
            <w:r w:rsidR="00DA4BD2">
              <w:rPr>
                <w:noProof/>
                <w:webHidden/>
              </w:rPr>
              <w:instrText xml:space="preserve"> PAGEREF _Toc69916987 \h </w:instrText>
            </w:r>
            <w:r w:rsidR="00DA4BD2">
              <w:rPr>
                <w:noProof/>
                <w:webHidden/>
              </w:rPr>
            </w:r>
            <w:r w:rsidR="00DA4BD2">
              <w:rPr>
                <w:noProof/>
                <w:webHidden/>
              </w:rPr>
              <w:fldChar w:fldCharType="separate"/>
            </w:r>
            <w:r w:rsidR="00E72658">
              <w:rPr>
                <w:noProof/>
                <w:webHidden/>
              </w:rPr>
              <w:t>1248</w:t>
            </w:r>
            <w:r w:rsidR="00DA4BD2">
              <w:rPr>
                <w:noProof/>
                <w:webHidden/>
              </w:rPr>
              <w:fldChar w:fldCharType="end"/>
            </w:r>
          </w:hyperlink>
        </w:p>
        <w:p w:rsidR="001B3BBD" w:rsidRPr="001B3BBD" w:rsidRDefault="001B3BBD" w:rsidP="003D0FD7">
          <w:pPr>
            <w:spacing w:after="0"/>
            <w:ind w:left="159" w:hanging="159"/>
            <w:jc w:val="left"/>
            <w:rPr>
              <w:szCs w:val="17"/>
            </w:rPr>
          </w:pPr>
          <w:r w:rsidRPr="001B3BBD">
            <w:rPr>
              <w:b/>
              <w:bCs/>
              <w:noProof/>
              <w:szCs w:val="17"/>
            </w:rPr>
            <w:fldChar w:fldCharType="end"/>
          </w:r>
        </w:p>
      </w:sdtContent>
    </w:sdt>
    <w:p w:rsidR="001B7138" w:rsidRDefault="001B7138" w:rsidP="00450341">
      <w:pPr>
        <w:pStyle w:val="Heading5"/>
        <w:rPr>
          <w:smallCaps w:val="0"/>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0" w:name="_Toc33707977"/>
      <w:bookmarkStart w:id="1" w:name="_Toc33708148"/>
      <w:bookmarkStart w:id="2" w:name="_Toc69916955"/>
      <w:r w:rsidRPr="009D1E2E">
        <w:lastRenderedPageBreak/>
        <w:t>Governor’s Instruments</w:t>
      </w:r>
      <w:bookmarkEnd w:id="0"/>
      <w:bookmarkEnd w:id="1"/>
      <w:bookmarkEnd w:id="2"/>
    </w:p>
    <w:p w:rsidR="00064C75" w:rsidRDefault="009562D8" w:rsidP="009562D8">
      <w:pPr>
        <w:pStyle w:val="Heading2"/>
      </w:pPr>
      <w:bookmarkStart w:id="3" w:name="_Toc33707978"/>
      <w:bookmarkStart w:id="4" w:name="_Toc33708149"/>
      <w:bookmarkStart w:id="5" w:name="_Toc69916956"/>
      <w:r>
        <w:t>Appointments</w:t>
      </w:r>
      <w:bookmarkEnd w:id="3"/>
      <w:bookmarkEnd w:id="4"/>
      <w:bookmarkEnd w:id="5"/>
    </w:p>
    <w:p w:rsidR="0057159F" w:rsidRPr="0057159F" w:rsidRDefault="0057159F" w:rsidP="0057159F">
      <w:pPr>
        <w:spacing w:after="0"/>
        <w:jc w:val="right"/>
        <w:rPr>
          <w:rFonts w:eastAsia="Times New Roman"/>
          <w:szCs w:val="17"/>
        </w:rPr>
      </w:pPr>
      <w:r w:rsidRPr="0057159F">
        <w:rPr>
          <w:rFonts w:eastAsia="Times New Roman"/>
          <w:szCs w:val="17"/>
        </w:rPr>
        <w:t>Department of the Premier and Cabinet</w:t>
      </w:r>
    </w:p>
    <w:p w:rsidR="0057159F" w:rsidRPr="0057159F" w:rsidRDefault="0057159F" w:rsidP="0057159F">
      <w:pPr>
        <w:jc w:val="right"/>
        <w:rPr>
          <w:rFonts w:eastAsia="Times New Roman"/>
          <w:szCs w:val="17"/>
        </w:rPr>
      </w:pPr>
      <w:r w:rsidRPr="0057159F">
        <w:rPr>
          <w:rFonts w:eastAsia="Times New Roman"/>
          <w:szCs w:val="17"/>
        </w:rPr>
        <w:t>Adelaide, 22 April 2021</w:t>
      </w:r>
    </w:p>
    <w:p w:rsidR="0057159F" w:rsidRPr="0057159F" w:rsidRDefault="0057159F" w:rsidP="0057159F">
      <w:pPr>
        <w:rPr>
          <w:rFonts w:eastAsia="Times New Roman"/>
          <w:szCs w:val="17"/>
        </w:rPr>
      </w:pPr>
      <w:r w:rsidRPr="0057159F">
        <w:rPr>
          <w:rFonts w:eastAsia="Times New Roman"/>
          <w:szCs w:val="17"/>
        </w:rPr>
        <w:t>His Excellency the Governor in Executive Council has been pleased to appoint the undermentioned to the Police Superannuation Board, pursuant to the provisions of the Police Superannuation Act 1990:</w:t>
      </w:r>
    </w:p>
    <w:p w:rsidR="0057159F" w:rsidRPr="0057159F" w:rsidRDefault="0057159F" w:rsidP="0057159F">
      <w:pPr>
        <w:spacing w:after="0"/>
        <w:ind w:left="142"/>
        <w:rPr>
          <w:szCs w:val="17"/>
        </w:rPr>
      </w:pPr>
      <w:r w:rsidRPr="0057159F">
        <w:rPr>
          <w:szCs w:val="17"/>
        </w:rPr>
        <w:t>Member: from 2 June 2021 until 1 June 2024</w:t>
      </w:r>
    </w:p>
    <w:p w:rsidR="0057159F" w:rsidRPr="0057159F" w:rsidRDefault="0057159F" w:rsidP="0057159F">
      <w:pPr>
        <w:ind w:left="284"/>
        <w:rPr>
          <w:szCs w:val="17"/>
        </w:rPr>
      </w:pPr>
      <w:r w:rsidRPr="0057159F">
        <w:rPr>
          <w:szCs w:val="17"/>
        </w:rPr>
        <w:t>Ferdinand Walter Pit</w:t>
      </w:r>
    </w:p>
    <w:p w:rsidR="0057159F" w:rsidRPr="0057159F" w:rsidRDefault="0057159F" w:rsidP="0057159F">
      <w:pPr>
        <w:spacing w:after="0"/>
        <w:ind w:left="142"/>
        <w:rPr>
          <w:szCs w:val="17"/>
        </w:rPr>
      </w:pPr>
      <w:r w:rsidRPr="0057159F">
        <w:rPr>
          <w:szCs w:val="17"/>
        </w:rPr>
        <w:t>Deputy Member: from 2 June 2021 until 1 June 2024</w:t>
      </w:r>
    </w:p>
    <w:p w:rsidR="0057159F" w:rsidRPr="0057159F" w:rsidRDefault="0057159F" w:rsidP="0057159F">
      <w:pPr>
        <w:spacing w:after="0"/>
        <w:ind w:left="284"/>
        <w:rPr>
          <w:szCs w:val="17"/>
        </w:rPr>
      </w:pPr>
      <w:r w:rsidRPr="0057159F">
        <w:rPr>
          <w:szCs w:val="17"/>
        </w:rPr>
        <w:t>Neil Severn Smith (Deputy to Pit)</w:t>
      </w:r>
    </w:p>
    <w:p w:rsidR="0057159F" w:rsidRPr="0057159F" w:rsidRDefault="0057159F" w:rsidP="0057159F">
      <w:pPr>
        <w:spacing w:after="0"/>
        <w:jc w:val="center"/>
        <w:rPr>
          <w:szCs w:val="17"/>
        </w:rPr>
      </w:pPr>
      <w:r w:rsidRPr="0057159F">
        <w:rPr>
          <w:szCs w:val="17"/>
        </w:rPr>
        <w:t>By command,</w:t>
      </w:r>
    </w:p>
    <w:p w:rsidR="0057159F" w:rsidRPr="0057159F" w:rsidRDefault="0057159F" w:rsidP="0057159F">
      <w:pPr>
        <w:spacing w:after="0"/>
        <w:jc w:val="right"/>
        <w:rPr>
          <w:smallCaps/>
          <w:szCs w:val="20"/>
        </w:rPr>
      </w:pPr>
      <w:r w:rsidRPr="0057159F">
        <w:rPr>
          <w:smallCaps/>
          <w:szCs w:val="20"/>
        </w:rPr>
        <w:t>Steven Spence Marshall</w:t>
      </w:r>
    </w:p>
    <w:p w:rsidR="0057159F" w:rsidRPr="0057159F" w:rsidRDefault="0057159F" w:rsidP="0057159F">
      <w:pPr>
        <w:spacing w:after="0"/>
        <w:jc w:val="right"/>
        <w:rPr>
          <w:szCs w:val="17"/>
        </w:rPr>
      </w:pPr>
      <w:r w:rsidRPr="0057159F">
        <w:rPr>
          <w:szCs w:val="17"/>
        </w:rPr>
        <w:t>Premier</w:t>
      </w:r>
    </w:p>
    <w:p w:rsidR="0057159F" w:rsidRPr="0057159F" w:rsidRDefault="0057159F" w:rsidP="0057159F">
      <w:pPr>
        <w:spacing w:after="0"/>
        <w:rPr>
          <w:szCs w:val="17"/>
        </w:rPr>
      </w:pPr>
      <w:r w:rsidRPr="0057159F">
        <w:rPr>
          <w:szCs w:val="17"/>
        </w:rPr>
        <w:t>T&amp;F21/022CS</w:t>
      </w:r>
    </w:p>
    <w:p w:rsidR="0057159F" w:rsidRPr="0057159F" w:rsidRDefault="0057159F" w:rsidP="0057159F">
      <w:pPr>
        <w:pBdr>
          <w:top w:val="single" w:sz="4" w:space="1" w:color="auto"/>
        </w:pBdr>
        <w:spacing w:before="100" w:after="0" w:line="14" w:lineRule="exact"/>
        <w:jc w:val="center"/>
        <w:rPr>
          <w:rFonts w:eastAsia="Times New Roman"/>
          <w:szCs w:val="17"/>
        </w:rPr>
      </w:pPr>
    </w:p>
    <w:p w:rsidR="0057159F" w:rsidRPr="0057159F" w:rsidRDefault="0057159F" w:rsidP="0057159F">
      <w:pPr>
        <w:spacing w:after="0"/>
        <w:rPr>
          <w:rFonts w:eastAsia="Times New Roman"/>
          <w:szCs w:val="17"/>
        </w:rPr>
      </w:pPr>
    </w:p>
    <w:p w:rsidR="0057159F" w:rsidRPr="0057159F" w:rsidRDefault="0057159F" w:rsidP="0057159F">
      <w:pPr>
        <w:spacing w:after="0"/>
        <w:jc w:val="right"/>
        <w:rPr>
          <w:szCs w:val="17"/>
        </w:rPr>
      </w:pPr>
      <w:r w:rsidRPr="0057159F">
        <w:rPr>
          <w:szCs w:val="17"/>
        </w:rPr>
        <w:t>Department of the Premier and Cabinet</w:t>
      </w:r>
    </w:p>
    <w:p w:rsidR="0057159F" w:rsidRPr="0057159F" w:rsidRDefault="0057159F" w:rsidP="0057159F">
      <w:pPr>
        <w:jc w:val="right"/>
        <w:rPr>
          <w:szCs w:val="17"/>
        </w:rPr>
      </w:pPr>
      <w:r w:rsidRPr="0057159F">
        <w:rPr>
          <w:szCs w:val="17"/>
        </w:rPr>
        <w:t>Adelaide, 22 April 2021</w:t>
      </w:r>
    </w:p>
    <w:p w:rsidR="0057159F" w:rsidRPr="0057159F" w:rsidRDefault="0057159F" w:rsidP="0057159F">
      <w:pPr>
        <w:rPr>
          <w:rFonts w:eastAsia="Times New Roman"/>
          <w:szCs w:val="17"/>
        </w:rPr>
      </w:pPr>
      <w:r w:rsidRPr="0057159F">
        <w:rPr>
          <w:rFonts w:eastAsia="Times New Roman"/>
          <w:szCs w:val="17"/>
        </w:rPr>
        <w:t>His Excellency the Governor in Executive Council has been pleased to appoint Penelope Ann Croser to the position of State Courts Administrator for a term of three years commencing on 15 June 2021 and expiring on 14 June 2024 - pursuant to section 16 of the Courts Administration Act 1993.</w:t>
      </w:r>
    </w:p>
    <w:p w:rsidR="0057159F" w:rsidRPr="0057159F" w:rsidRDefault="0057159F" w:rsidP="0057159F">
      <w:pPr>
        <w:jc w:val="center"/>
        <w:rPr>
          <w:rFonts w:eastAsia="Times New Roman"/>
          <w:szCs w:val="17"/>
        </w:rPr>
      </w:pPr>
      <w:r w:rsidRPr="0057159F">
        <w:rPr>
          <w:rFonts w:eastAsia="Times New Roman"/>
          <w:szCs w:val="17"/>
        </w:rPr>
        <w:t>By command,</w:t>
      </w:r>
    </w:p>
    <w:p w:rsidR="0057159F" w:rsidRPr="0057159F" w:rsidRDefault="0057159F" w:rsidP="0057159F">
      <w:pPr>
        <w:spacing w:after="0"/>
        <w:jc w:val="right"/>
        <w:rPr>
          <w:smallCaps/>
          <w:szCs w:val="20"/>
        </w:rPr>
      </w:pPr>
      <w:r w:rsidRPr="0057159F">
        <w:rPr>
          <w:smallCaps/>
          <w:szCs w:val="20"/>
        </w:rPr>
        <w:t>Steven Spence Marshall</w:t>
      </w:r>
    </w:p>
    <w:p w:rsidR="0057159F" w:rsidRPr="0057159F" w:rsidRDefault="0057159F" w:rsidP="0057159F">
      <w:pPr>
        <w:spacing w:after="0"/>
        <w:jc w:val="right"/>
        <w:rPr>
          <w:szCs w:val="17"/>
        </w:rPr>
      </w:pPr>
      <w:r w:rsidRPr="0057159F">
        <w:rPr>
          <w:szCs w:val="17"/>
        </w:rPr>
        <w:t>Premier</w:t>
      </w:r>
    </w:p>
    <w:p w:rsidR="0057159F" w:rsidRPr="0057159F" w:rsidRDefault="0057159F" w:rsidP="0057159F">
      <w:pPr>
        <w:spacing w:after="0"/>
        <w:rPr>
          <w:szCs w:val="17"/>
        </w:rPr>
      </w:pPr>
      <w:r w:rsidRPr="0057159F">
        <w:rPr>
          <w:szCs w:val="17"/>
        </w:rPr>
        <w:t>AGO0050-21CS</w:t>
      </w:r>
    </w:p>
    <w:p w:rsidR="0057159F" w:rsidRPr="0057159F" w:rsidRDefault="0057159F" w:rsidP="0057159F">
      <w:pPr>
        <w:pBdr>
          <w:bottom w:val="single" w:sz="4" w:space="1" w:color="auto"/>
        </w:pBdr>
        <w:spacing w:after="0" w:line="52" w:lineRule="exact"/>
        <w:jc w:val="center"/>
        <w:rPr>
          <w:rFonts w:eastAsia="Times New Roman"/>
          <w:szCs w:val="17"/>
        </w:rPr>
      </w:pPr>
    </w:p>
    <w:p w:rsidR="0057159F" w:rsidRPr="0057159F" w:rsidRDefault="0057159F" w:rsidP="0057159F">
      <w:pPr>
        <w:pBdr>
          <w:top w:val="single" w:sz="4" w:space="1" w:color="auto"/>
        </w:pBdr>
        <w:spacing w:before="34" w:after="0" w:line="14" w:lineRule="exact"/>
        <w:jc w:val="center"/>
        <w:rPr>
          <w:rFonts w:eastAsia="Times New Roman"/>
          <w:szCs w:val="17"/>
        </w:rPr>
      </w:pPr>
    </w:p>
    <w:p w:rsidR="0057159F" w:rsidRPr="0057159F" w:rsidRDefault="0057159F" w:rsidP="0057159F">
      <w:pPr>
        <w:spacing w:after="0"/>
        <w:rPr>
          <w:rFonts w:eastAsia="Times New Roman"/>
          <w:szCs w:val="17"/>
        </w:rPr>
      </w:pPr>
    </w:p>
    <w:p w:rsidR="00694D0A" w:rsidRDefault="00694D0A" w:rsidP="0016463B">
      <w:pPr>
        <w:pStyle w:val="GG-body"/>
        <w:rPr>
          <w:lang w:val="en-US"/>
        </w:rPr>
      </w:pPr>
    </w:p>
    <w:p w:rsidR="00694D0A" w:rsidRDefault="000249AC" w:rsidP="00694D0A">
      <w:pPr>
        <w:pStyle w:val="Heading2"/>
      </w:pPr>
      <w:r>
        <w:br w:type="page"/>
      </w:r>
      <w:bookmarkStart w:id="6" w:name="_Toc33707979"/>
      <w:bookmarkStart w:id="7" w:name="_Toc33708150"/>
      <w:bookmarkStart w:id="8" w:name="_Toc69916957"/>
      <w:r w:rsidR="00694D0A">
        <w:lastRenderedPageBreak/>
        <w:t>Proclamations</w:t>
      </w:r>
      <w:bookmarkEnd w:id="6"/>
      <w:bookmarkEnd w:id="7"/>
      <w:bookmarkEnd w:id="8"/>
    </w:p>
    <w:p w:rsidR="00A32309" w:rsidRPr="00A32309" w:rsidRDefault="00A32309" w:rsidP="00A32309">
      <w:pPr>
        <w:keepLines/>
        <w:autoSpaceDE w:val="0"/>
        <w:autoSpaceDN w:val="0"/>
        <w:adjustRightInd w:val="0"/>
        <w:spacing w:before="240" w:after="0" w:line="240" w:lineRule="auto"/>
        <w:jc w:val="left"/>
        <w:rPr>
          <w:rFonts w:eastAsia="Times New Roman"/>
          <w:color w:val="000000"/>
          <w:sz w:val="28"/>
          <w:szCs w:val="28"/>
          <w:lang w:eastAsia="en-AU"/>
        </w:rPr>
      </w:pPr>
      <w:r w:rsidRPr="00A32309">
        <w:rPr>
          <w:rFonts w:eastAsia="Times New Roman"/>
          <w:color w:val="000000"/>
          <w:sz w:val="28"/>
          <w:szCs w:val="28"/>
          <w:lang w:eastAsia="en-AU"/>
        </w:rPr>
        <w:t>South Australia</w:t>
      </w:r>
    </w:p>
    <w:p w:rsidR="00A32309" w:rsidRPr="00A32309" w:rsidRDefault="00A32309" w:rsidP="00ED2842">
      <w:pPr>
        <w:pStyle w:val="Heading3"/>
        <w:rPr>
          <w:lang w:eastAsia="en-AU"/>
        </w:rPr>
      </w:pPr>
      <w:bookmarkStart w:id="9" w:name="_Toc69916958"/>
      <w:r w:rsidRPr="00A32309">
        <w:rPr>
          <w:lang w:eastAsia="en-AU"/>
        </w:rPr>
        <w:t>Constitution (Legislative Council Casual Vacancy) Proclamation 2021</w:t>
      </w:r>
      <w:bookmarkEnd w:id="9"/>
    </w:p>
    <w:p w:rsidR="00A32309" w:rsidRPr="00A32309" w:rsidRDefault="00A32309" w:rsidP="00A32309">
      <w:pPr>
        <w:keepLines/>
        <w:autoSpaceDE w:val="0"/>
        <w:autoSpaceDN w:val="0"/>
        <w:adjustRightInd w:val="0"/>
        <w:spacing w:before="80" w:after="240" w:line="240" w:lineRule="auto"/>
        <w:jc w:val="left"/>
        <w:rPr>
          <w:rFonts w:eastAsia="Times New Roman"/>
          <w:color w:val="000000"/>
          <w:sz w:val="24"/>
          <w:szCs w:val="24"/>
          <w:lang w:eastAsia="en-AU"/>
        </w:rPr>
      </w:pPr>
      <w:r w:rsidRPr="00A32309">
        <w:rPr>
          <w:rFonts w:eastAsia="Times New Roman"/>
          <w:color w:val="000000"/>
          <w:sz w:val="24"/>
          <w:szCs w:val="24"/>
          <w:lang w:eastAsia="en-AU"/>
        </w:rPr>
        <w:t xml:space="preserve">under section 13 of the </w:t>
      </w:r>
      <w:r w:rsidRPr="00A32309">
        <w:rPr>
          <w:rFonts w:eastAsia="Times New Roman"/>
          <w:i/>
          <w:iCs/>
          <w:color w:val="000000"/>
          <w:sz w:val="24"/>
          <w:szCs w:val="24"/>
          <w:lang w:eastAsia="en-AU"/>
        </w:rPr>
        <w:t>Constitution Act 1934</w:t>
      </w:r>
    </w:p>
    <w:p w:rsidR="00A32309" w:rsidRPr="00A32309" w:rsidRDefault="00A32309" w:rsidP="00A32309">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A32309" w:rsidRPr="00A32309" w:rsidRDefault="00A32309" w:rsidP="00A32309">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0" w:name="preamble"/>
      <w:r w:rsidRPr="00A32309">
        <w:rPr>
          <w:rFonts w:eastAsia="Times New Roman"/>
          <w:b/>
          <w:bCs/>
          <w:color w:val="000000"/>
          <w:sz w:val="32"/>
          <w:szCs w:val="32"/>
          <w:lang w:eastAsia="en-AU"/>
        </w:rPr>
        <w:t>Preamble</w:t>
      </w:r>
      <w:bookmarkEnd w:id="10"/>
    </w:p>
    <w:p w:rsidR="00A32309" w:rsidRPr="00A32309" w:rsidRDefault="00A32309" w:rsidP="00A32309">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32309">
        <w:rPr>
          <w:rFonts w:eastAsia="Times New Roman"/>
          <w:color w:val="000000"/>
          <w:sz w:val="23"/>
          <w:szCs w:val="23"/>
          <w:lang w:eastAsia="en-AU"/>
        </w:rPr>
        <w:t>1</w:t>
      </w:r>
      <w:r w:rsidRPr="00A32309">
        <w:rPr>
          <w:rFonts w:eastAsia="Times New Roman"/>
          <w:color w:val="000000"/>
          <w:sz w:val="23"/>
          <w:szCs w:val="23"/>
          <w:lang w:eastAsia="en-AU"/>
        </w:rPr>
        <w:tab/>
        <w:t>A seat of a member of the Legislative Council has become vacant by virtue of the resignation of the Honourable Mark Charles Parnell MLC.</w:t>
      </w:r>
    </w:p>
    <w:p w:rsidR="00A32309" w:rsidRPr="00A32309" w:rsidRDefault="00A32309" w:rsidP="00A32309">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32309">
        <w:rPr>
          <w:rFonts w:eastAsia="Times New Roman"/>
          <w:color w:val="000000"/>
          <w:sz w:val="23"/>
          <w:szCs w:val="23"/>
          <w:lang w:eastAsia="en-AU"/>
        </w:rPr>
        <w:t>2</w:t>
      </w:r>
      <w:r w:rsidRPr="00A32309">
        <w:rPr>
          <w:rFonts w:eastAsia="Times New Roman"/>
          <w:color w:val="000000"/>
          <w:sz w:val="23"/>
          <w:szCs w:val="23"/>
          <w:lang w:eastAsia="en-AU"/>
        </w:rPr>
        <w:tab/>
        <w:t>A person must be chosen to occupy the vacant seat by an assembly of the members of both Houses of Parliament.</w:t>
      </w:r>
    </w:p>
    <w:p w:rsidR="00A32309" w:rsidRPr="00A32309" w:rsidRDefault="00A32309" w:rsidP="00A32309">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32309">
        <w:rPr>
          <w:rFonts w:eastAsia="Times New Roman"/>
          <w:color w:val="000000"/>
          <w:sz w:val="23"/>
          <w:szCs w:val="23"/>
          <w:lang w:eastAsia="en-AU"/>
        </w:rPr>
        <w:t>3</w:t>
      </w:r>
      <w:r w:rsidRPr="00A32309">
        <w:rPr>
          <w:rFonts w:eastAsia="Times New Roman"/>
          <w:color w:val="000000"/>
          <w:sz w:val="23"/>
          <w:szCs w:val="23"/>
          <w:lang w:eastAsia="en-AU"/>
        </w:rPr>
        <w:tab/>
        <w:t>It is necessary to make provision in relation to the constitution and proceedings of that assembly.</w:t>
      </w:r>
    </w:p>
    <w:p w:rsidR="00A32309" w:rsidRPr="00A32309" w:rsidRDefault="00A32309" w:rsidP="00A3230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32309" w:rsidRPr="00A32309" w:rsidRDefault="00A32309" w:rsidP="00A3230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32309">
        <w:rPr>
          <w:rFonts w:eastAsia="Times New Roman"/>
          <w:b/>
          <w:bCs/>
          <w:color w:val="000000"/>
          <w:sz w:val="26"/>
          <w:szCs w:val="26"/>
          <w:lang w:eastAsia="en-AU"/>
        </w:rPr>
        <w:t>1—Short title</w:t>
      </w:r>
    </w:p>
    <w:p w:rsidR="00A32309" w:rsidRPr="00A32309" w:rsidRDefault="00A32309" w:rsidP="00A323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32309">
        <w:rPr>
          <w:rFonts w:eastAsia="Times New Roman"/>
          <w:color w:val="000000"/>
          <w:sz w:val="23"/>
          <w:szCs w:val="23"/>
          <w:lang w:eastAsia="en-AU"/>
        </w:rPr>
        <w:t xml:space="preserve">This proclamation may be cited as the </w:t>
      </w:r>
      <w:r w:rsidRPr="00A32309">
        <w:rPr>
          <w:rFonts w:eastAsia="Times New Roman"/>
          <w:i/>
          <w:iCs/>
          <w:color w:val="000000"/>
          <w:sz w:val="23"/>
          <w:szCs w:val="23"/>
          <w:lang w:eastAsia="en-AU"/>
        </w:rPr>
        <w:t>Constitution (Legislative Council Casual Vacancy) Proclamation 2021</w:t>
      </w:r>
      <w:r w:rsidRPr="00A32309">
        <w:rPr>
          <w:rFonts w:eastAsia="Times New Roman"/>
          <w:color w:val="000000"/>
          <w:sz w:val="23"/>
          <w:szCs w:val="23"/>
          <w:lang w:eastAsia="en-AU"/>
        </w:rPr>
        <w:t>.</w:t>
      </w:r>
    </w:p>
    <w:p w:rsidR="00A32309" w:rsidRPr="00A32309" w:rsidRDefault="00A32309" w:rsidP="00A3230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32309">
        <w:rPr>
          <w:rFonts w:eastAsia="Times New Roman"/>
          <w:b/>
          <w:bCs/>
          <w:color w:val="000000"/>
          <w:sz w:val="26"/>
          <w:szCs w:val="26"/>
          <w:lang w:eastAsia="en-AU"/>
        </w:rPr>
        <w:t>2—Commencement</w:t>
      </w:r>
    </w:p>
    <w:p w:rsidR="00A32309" w:rsidRPr="00A32309" w:rsidRDefault="00A32309" w:rsidP="00A323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A32309">
        <w:rPr>
          <w:rFonts w:eastAsia="Times New Roman"/>
          <w:color w:val="000000"/>
          <w:sz w:val="23"/>
          <w:szCs w:val="23"/>
          <w:lang w:eastAsia="en-AU"/>
        </w:rPr>
        <w:t>This proclamation comes into operation on the day on which it is made.</w:t>
      </w:r>
    </w:p>
    <w:p w:rsidR="00A32309" w:rsidRPr="00A32309" w:rsidRDefault="00A32309" w:rsidP="00A3230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32309">
        <w:rPr>
          <w:rFonts w:eastAsia="Times New Roman"/>
          <w:b/>
          <w:bCs/>
          <w:color w:val="000000"/>
          <w:sz w:val="26"/>
          <w:szCs w:val="26"/>
          <w:lang w:eastAsia="en-AU"/>
        </w:rPr>
        <w:t>3—Provisions relating to the assembly of members</w:t>
      </w:r>
    </w:p>
    <w:p w:rsidR="00A32309" w:rsidRPr="00A32309" w:rsidRDefault="00A32309" w:rsidP="00A3230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32309">
        <w:rPr>
          <w:rFonts w:eastAsia="Times New Roman"/>
          <w:color w:val="000000"/>
          <w:sz w:val="23"/>
          <w:szCs w:val="23"/>
          <w:lang w:eastAsia="en-AU"/>
        </w:rPr>
        <w:t>The following provisions apply in relation to the constitution and proceedings of an assembly of the members of both Houses of Parliament to choose a person to occupy the vacant seat in the Legislative Council caused by the resignation of the Honourable Mark Charles Parnell MLC:</w:t>
      </w:r>
    </w:p>
    <w:p w:rsidR="00A32309" w:rsidRPr="00A32309" w:rsidRDefault="00A32309" w:rsidP="00A323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32309">
        <w:rPr>
          <w:rFonts w:eastAsia="Times New Roman"/>
          <w:color w:val="000000"/>
          <w:sz w:val="23"/>
          <w:szCs w:val="23"/>
          <w:lang w:eastAsia="en-AU"/>
        </w:rPr>
        <w:tab/>
        <w:t>(a)</w:t>
      </w:r>
      <w:r w:rsidRPr="00A32309">
        <w:rPr>
          <w:rFonts w:eastAsia="Times New Roman"/>
          <w:color w:val="000000"/>
          <w:sz w:val="23"/>
          <w:szCs w:val="23"/>
          <w:lang w:eastAsia="en-AU"/>
        </w:rPr>
        <w:tab/>
        <w:t>the assembly will meet at 10:00 am on Tuesday, 4 May 2021 at the Legislative Council Chamber;</w:t>
      </w:r>
    </w:p>
    <w:p w:rsidR="00A32309" w:rsidRPr="00A32309" w:rsidRDefault="00A32309" w:rsidP="00A323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32309">
        <w:rPr>
          <w:rFonts w:eastAsia="Times New Roman"/>
          <w:color w:val="000000"/>
          <w:sz w:val="23"/>
          <w:szCs w:val="23"/>
          <w:lang w:eastAsia="en-AU"/>
        </w:rPr>
        <w:tab/>
        <w:t>(b)</w:t>
      </w:r>
      <w:r w:rsidRPr="00A32309">
        <w:rPr>
          <w:rFonts w:eastAsia="Times New Roman"/>
          <w:color w:val="000000"/>
          <w:sz w:val="23"/>
          <w:szCs w:val="23"/>
          <w:lang w:eastAsia="en-AU"/>
        </w:rPr>
        <w:tab/>
        <w:t>the Honourable John Samuel Letts Dawkins MLC is appointed to preside over the assembly;</w:t>
      </w:r>
    </w:p>
    <w:p w:rsidR="00A32309" w:rsidRPr="00A32309" w:rsidRDefault="00A32309" w:rsidP="00A323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32309">
        <w:rPr>
          <w:rFonts w:eastAsia="Times New Roman"/>
          <w:color w:val="000000"/>
          <w:sz w:val="23"/>
          <w:szCs w:val="23"/>
          <w:lang w:eastAsia="en-AU"/>
        </w:rPr>
        <w:tab/>
        <w:t>(c)</w:t>
      </w:r>
      <w:r w:rsidRPr="00A32309">
        <w:rPr>
          <w:rFonts w:eastAsia="Times New Roman"/>
          <w:color w:val="000000"/>
          <w:sz w:val="23"/>
          <w:szCs w:val="23"/>
          <w:lang w:eastAsia="en-AU"/>
        </w:rPr>
        <w:tab/>
        <w:t>Christopher David Schwarz is appointed to be clerk of the assembly;</w:t>
      </w:r>
    </w:p>
    <w:p w:rsidR="00A32309" w:rsidRPr="00A32309" w:rsidRDefault="00A32309" w:rsidP="00A323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32309">
        <w:rPr>
          <w:rFonts w:eastAsia="Times New Roman"/>
          <w:color w:val="000000"/>
          <w:sz w:val="23"/>
          <w:szCs w:val="23"/>
          <w:lang w:eastAsia="en-AU"/>
        </w:rPr>
        <w:tab/>
        <w:t>(d)</w:t>
      </w:r>
      <w:r w:rsidRPr="00A32309">
        <w:rPr>
          <w:rFonts w:eastAsia="Times New Roman"/>
          <w:color w:val="000000"/>
          <w:sz w:val="23"/>
          <w:szCs w:val="23"/>
          <w:lang w:eastAsia="en-AU"/>
        </w:rPr>
        <w:tab/>
        <w:t>the following rules are to be observed at the assembly and applied as the method by which the decision of the assembly will be evidenced:</w:t>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tab/>
        <w:t>(i)</w:t>
      </w:r>
      <w:r w:rsidRPr="00A32309">
        <w:rPr>
          <w:rFonts w:eastAsia="Times New Roman"/>
          <w:color w:val="000000"/>
          <w:sz w:val="23"/>
          <w:szCs w:val="23"/>
          <w:lang w:eastAsia="en-AU"/>
        </w:rPr>
        <w:tab/>
        <w:t>the presiding officer will take the chair;</w:t>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tab/>
        <w:t>(ii)</w:t>
      </w:r>
      <w:r w:rsidRPr="00A32309">
        <w:rPr>
          <w:rFonts w:eastAsia="Times New Roman"/>
          <w:color w:val="000000"/>
          <w:sz w:val="23"/>
          <w:szCs w:val="23"/>
          <w:lang w:eastAsia="en-AU"/>
        </w:rPr>
        <w:tab/>
        <w:t>the clerk of the assembly will read this proclamation;</w:t>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tab/>
        <w:t>(iii)</w:t>
      </w:r>
      <w:r w:rsidRPr="00A32309">
        <w:rPr>
          <w:rFonts w:eastAsia="Times New Roman"/>
          <w:color w:val="000000"/>
          <w:sz w:val="23"/>
          <w:szCs w:val="23"/>
          <w:lang w:eastAsia="en-AU"/>
        </w:rPr>
        <w:tab/>
        <w:t>the presiding officer will invite nominations for the vacant seat from the members of the assembly;</w:t>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tab/>
        <w:t>(iv)</w:t>
      </w:r>
      <w:r w:rsidRPr="00A32309">
        <w:rPr>
          <w:rFonts w:eastAsia="Times New Roman"/>
          <w:color w:val="000000"/>
          <w:sz w:val="23"/>
          <w:szCs w:val="23"/>
          <w:lang w:eastAsia="en-AU"/>
        </w:rPr>
        <w:tab/>
        <w:t>nominations will first be made without debate;</w:t>
      </w:r>
    </w:p>
    <w:p w:rsidR="00A32309" w:rsidRDefault="00A32309">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lastRenderedPageBreak/>
        <w:tab/>
        <w:t>(v)</w:t>
      </w:r>
      <w:r w:rsidRPr="00A32309">
        <w:rPr>
          <w:rFonts w:eastAsia="Times New Roman"/>
          <w:color w:val="000000"/>
          <w:sz w:val="23"/>
          <w:szCs w:val="23"/>
          <w:lang w:eastAsia="en-AU"/>
        </w:rPr>
        <w:tab/>
        <w:t>a nomination will not be accepted by the presiding officer unless—</w:t>
      </w:r>
    </w:p>
    <w:p w:rsidR="00A32309" w:rsidRPr="00A32309" w:rsidRDefault="00A32309" w:rsidP="00A3230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32309">
        <w:rPr>
          <w:rFonts w:eastAsia="Times New Roman"/>
          <w:color w:val="000000"/>
          <w:sz w:val="23"/>
          <w:szCs w:val="23"/>
          <w:lang w:eastAsia="en-AU"/>
        </w:rPr>
        <w:tab/>
        <w:t>(A)</w:t>
      </w:r>
      <w:r w:rsidRPr="00A32309">
        <w:rPr>
          <w:rFonts w:eastAsia="Times New Roman"/>
          <w:color w:val="000000"/>
          <w:sz w:val="23"/>
          <w:szCs w:val="23"/>
          <w:lang w:eastAsia="en-AU"/>
        </w:rPr>
        <w:tab/>
        <w:t>the nomination is seconded; and</w:t>
      </w:r>
    </w:p>
    <w:p w:rsidR="00A32309" w:rsidRPr="00A32309" w:rsidRDefault="00A32309" w:rsidP="00A3230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32309">
        <w:rPr>
          <w:rFonts w:eastAsia="Times New Roman"/>
          <w:color w:val="000000"/>
          <w:sz w:val="23"/>
          <w:szCs w:val="23"/>
          <w:lang w:eastAsia="en-AU"/>
        </w:rPr>
        <w:tab/>
        <w:t>(B)</w:t>
      </w:r>
      <w:r w:rsidRPr="00A32309">
        <w:rPr>
          <w:rFonts w:eastAsia="Times New Roman"/>
          <w:color w:val="000000"/>
          <w:sz w:val="23"/>
          <w:szCs w:val="23"/>
          <w:lang w:eastAsia="en-AU"/>
        </w:rPr>
        <w:tab/>
        <w:t>the person nominated is a person who can lawfully be chosen by the assembly to occupy the vacancy;</w:t>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tab/>
        <w:t>(vi)</w:t>
      </w:r>
      <w:r w:rsidRPr="00A32309">
        <w:rPr>
          <w:rFonts w:eastAsia="Times New Roman"/>
          <w:color w:val="000000"/>
          <w:sz w:val="23"/>
          <w:szCs w:val="23"/>
          <w:lang w:eastAsia="en-AU"/>
        </w:rPr>
        <w:tab/>
        <w:t>when it appears that no further nominations are to be made, the members making the nominations, the members seconding the nominations and any other members of the assembly may speak if they desire;</w:t>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tab/>
        <w:t>(vii)</w:t>
      </w:r>
      <w:r w:rsidRPr="00A32309">
        <w:rPr>
          <w:rFonts w:eastAsia="Times New Roman"/>
          <w:color w:val="000000"/>
          <w:sz w:val="23"/>
          <w:szCs w:val="23"/>
          <w:lang w:eastAsia="en-AU"/>
        </w:rPr>
        <w:tab/>
        <w:t>when members have concluded their remarks, a ballot will be taken if necessary;</w:t>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tab/>
        <w:t>(viii)</w:t>
      </w:r>
      <w:r w:rsidRPr="00A32309">
        <w:rPr>
          <w:rFonts w:eastAsia="Times New Roman"/>
          <w:color w:val="000000"/>
          <w:sz w:val="23"/>
          <w:szCs w:val="23"/>
          <w:lang w:eastAsia="en-AU"/>
        </w:rPr>
        <w:tab/>
        <w:t>the presiding officer will announce to the assembly the name of the person chosen to occupy the vacant seat;</w:t>
      </w:r>
    </w:p>
    <w:p w:rsidR="00A32309" w:rsidRPr="00A32309" w:rsidRDefault="00A32309" w:rsidP="00A323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32309">
        <w:rPr>
          <w:rFonts w:eastAsia="Times New Roman"/>
          <w:color w:val="000000"/>
          <w:sz w:val="23"/>
          <w:szCs w:val="23"/>
          <w:lang w:eastAsia="en-AU"/>
        </w:rPr>
        <w:tab/>
        <w:t>(ix)</w:t>
      </w:r>
      <w:r w:rsidRPr="00A32309">
        <w:rPr>
          <w:rFonts w:eastAsia="Times New Roman"/>
          <w:color w:val="000000"/>
          <w:sz w:val="23"/>
          <w:szCs w:val="23"/>
          <w:lang w:eastAsia="en-AU"/>
        </w:rPr>
        <w:tab/>
        <w:t>the President of the Legislative Council must be informed in writing of the decision of the assembly and notice of the decision must be published in the Gazette.</w:t>
      </w:r>
    </w:p>
    <w:p w:rsidR="00A32309" w:rsidRPr="00A32309" w:rsidRDefault="00A32309" w:rsidP="00A3230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32309">
        <w:rPr>
          <w:rFonts w:eastAsia="Times New Roman"/>
          <w:b/>
          <w:bCs/>
          <w:color w:val="000000"/>
          <w:sz w:val="26"/>
          <w:szCs w:val="26"/>
          <w:lang w:eastAsia="en-AU"/>
        </w:rPr>
        <w:t>Made by the Governor</w:t>
      </w:r>
    </w:p>
    <w:p w:rsidR="00A32309" w:rsidRPr="00A32309" w:rsidRDefault="00A32309" w:rsidP="00A32309">
      <w:pPr>
        <w:keepNext/>
        <w:keepLines/>
        <w:autoSpaceDE w:val="0"/>
        <w:autoSpaceDN w:val="0"/>
        <w:adjustRightInd w:val="0"/>
        <w:spacing w:before="120" w:after="0" w:line="240" w:lineRule="auto"/>
        <w:jc w:val="left"/>
        <w:rPr>
          <w:rFonts w:eastAsia="Times New Roman"/>
          <w:color w:val="000000"/>
          <w:sz w:val="23"/>
          <w:szCs w:val="23"/>
          <w:lang w:eastAsia="en-AU"/>
        </w:rPr>
      </w:pPr>
      <w:r w:rsidRPr="00A32309">
        <w:rPr>
          <w:rFonts w:eastAsia="Times New Roman"/>
          <w:color w:val="000000"/>
          <w:sz w:val="23"/>
          <w:szCs w:val="23"/>
          <w:lang w:eastAsia="en-AU"/>
        </w:rPr>
        <w:t>with the advice and consent of the Executive Council</w:t>
      </w:r>
    </w:p>
    <w:p w:rsidR="00A32309" w:rsidRPr="00A32309" w:rsidRDefault="00A32309" w:rsidP="00A32309">
      <w:pPr>
        <w:keepNext/>
        <w:keepLines/>
        <w:autoSpaceDE w:val="0"/>
        <w:autoSpaceDN w:val="0"/>
        <w:adjustRightInd w:val="0"/>
        <w:spacing w:after="0" w:line="240" w:lineRule="auto"/>
        <w:jc w:val="left"/>
        <w:rPr>
          <w:rFonts w:eastAsia="Times New Roman"/>
          <w:color w:val="000000"/>
          <w:sz w:val="23"/>
          <w:szCs w:val="23"/>
          <w:lang w:eastAsia="en-AU"/>
        </w:rPr>
      </w:pPr>
      <w:r w:rsidRPr="00A32309">
        <w:rPr>
          <w:rFonts w:eastAsia="Times New Roman"/>
          <w:color w:val="000000"/>
          <w:sz w:val="23"/>
          <w:szCs w:val="23"/>
          <w:lang w:eastAsia="en-AU"/>
        </w:rPr>
        <w:t>on 22 April 2021</w:t>
      </w:r>
    </w:p>
    <w:p w:rsidR="00694D0A" w:rsidRDefault="00694D0A" w:rsidP="0016463B">
      <w:pPr>
        <w:pStyle w:val="GG-body"/>
        <w:rPr>
          <w:lang w:val="en-US"/>
        </w:rPr>
      </w:pPr>
    </w:p>
    <w:p w:rsidR="00694D0A" w:rsidRDefault="00694D0A" w:rsidP="00694D0A">
      <w:pPr>
        <w:pStyle w:val="Heading2"/>
      </w:pPr>
      <w:r>
        <w:br w:type="page"/>
      </w:r>
      <w:bookmarkStart w:id="11" w:name="_Toc33707980"/>
      <w:bookmarkStart w:id="12" w:name="_Toc33708151"/>
      <w:bookmarkStart w:id="13" w:name="_Toc69916959"/>
      <w:r>
        <w:lastRenderedPageBreak/>
        <w:t>Regulations</w:t>
      </w:r>
      <w:bookmarkEnd w:id="11"/>
      <w:bookmarkEnd w:id="12"/>
      <w:bookmarkEnd w:id="13"/>
    </w:p>
    <w:p w:rsidR="00A92610" w:rsidRPr="00A92610" w:rsidRDefault="00A92610" w:rsidP="00A92610">
      <w:pPr>
        <w:keepLines/>
        <w:autoSpaceDE w:val="0"/>
        <w:autoSpaceDN w:val="0"/>
        <w:adjustRightInd w:val="0"/>
        <w:spacing w:before="240" w:after="0" w:line="240" w:lineRule="auto"/>
        <w:jc w:val="left"/>
        <w:rPr>
          <w:rFonts w:eastAsia="Times New Roman"/>
          <w:color w:val="000000"/>
          <w:sz w:val="28"/>
          <w:szCs w:val="28"/>
          <w:lang w:eastAsia="en-AU"/>
        </w:rPr>
      </w:pPr>
      <w:r w:rsidRPr="00A92610">
        <w:rPr>
          <w:rFonts w:eastAsia="Times New Roman"/>
          <w:color w:val="000000"/>
          <w:sz w:val="28"/>
          <w:szCs w:val="28"/>
          <w:lang w:eastAsia="en-AU"/>
        </w:rPr>
        <w:t>South Australia</w:t>
      </w:r>
    </w:p>
    <w:p w:rsidR="00A92610" w:rsidRPr="00A92610" w:rsidRDefault="00A92610" w:rsidP="00ED2842">
      <w:pPr>
        <w:pStyle w:val="Heading3"/>
        <w:rPr>
          <w:lang w:eastAsia="en-AU"/>
        </w:rPr>
      </w:pPr>
      <w:bookmarkStart w:id="14" w:name="_Toc69916960"/>
      <w:r w:rsidRPr="00A92610">
        <w:rPr>
          <w:lang w:eastAsia="en-AU"/>
        </w:rPr>
        <w:t xml:space="preserve">Retail and Commercial Leases (Prescribed Lessee) </w:t>
      </w:r>
      <w:r w:rsidR="00BA121F">
        <w:rPr>
          <w:lang w:eastAsia="en-AU"/>
        </w:rPr>
        <w:br/>
      </w:r>
      <w:r w:rsidRPr="00A92610">
        <w:rPr>
          <w:lang w:eastAsia="en-AU"/>
        </w:rPr>
        <w:t>Variation Regulations 2021</w:t>
      </w:r>
      <w:bookmarkEnd w:id="14"/>
    </w:p>
    <w:p w:rsidR="00A92610" w:rsidRPr="00A92610" w:rsidRDefault="00A92610" w:rsidP="00A92610">
      <w:pPr>
        <w:keepLines/>
        <w:autoSpaceDE w:val="0"/>
        <w:autoSpaceDN w:val="0"/>
        <w:adjustRightInd w:val="0"/>
        <w:spacing w:before="80" w:after="240" w:line="240" w:lineRule="auto"/>
        <w:jc w:val="left"/>
        <w:rPr>
          <w:rFonts w:eastAsia="Times New Roman"/>
          <w:color w:val="000000"/>
          <w:sz w:val="24"/>
          <w:szCs w:val="24"/>
          <w:lang w:eastAsia="en-AU"/>
        </w:rPr>
      </w:pPr>
      <w:r w:rsidRPr="00A92610">
        <w:rPr>
          <w:rFonts w:eastAsia="Times New Roman"/>
          <w:color w:val="000000"/>
          <w:sz w:val="24"/>
          <w:szCs w:val="24"/>
          <w:lang w:eastAsia="en-AU"/>
        </w:rPr>
        <w:t xml:space="preserve">under the </w:t>
      </w:r>
      <w:r w:rsidRPr="00A92610">
        <w:rPr>
          <w:rFonts w:eastAsia="Times New Roman"/>
          <w:i/>
          <w:iCs/>
          <w:color w:val="000000"/>
          <w:sz w:val="24"/>
          <w:szCs w:val="24"/>
          <w:lang w:eastAsia="en-AU"/>
        </w:rPr>
        <w:t>Retail and Commercial Leases Act 1995</w:t>
      </w:r>
    </w:p>
    <w:p w:rsidR="00A92610" w:rsidRPr="00A92610" w:rsidRDefault="00A92610" w:rsidP="00A9261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92610" w:rsidRPr="00A92610" w:rsidRDefault="00A92610" w:rsidP="00A92610">
      <w:pPr>
        <w:keepLines/>
        <w:autoSpaceDE w:val="0"/>
        <w:autoSpaceDN w:val="0"/>
        <w:adjustRightInd w:val="0"/>
        <w:spacing w:before="120" w:after="0" w:line="240" w:lineRule="auto"/>
        <w:jc w:val="left"/>
        <w:rPr>
          <w:rFonts w:eastAsia="Times New Roman"/>
          <w:b/>
          <w:bCs/>
          <w:color w:val="000000"/>
          <w:sz w:val="32"/>
          <w:szCs w:val="32"/>
          <w:lang w:eastAsia="en-AU"/>
        </w:rPr>
      </w:pPr>
      <w:r w:rsidRPr="00A92610">
        <w:rPr>
          <w:rFonts w:eastAsia="Times New Roman"/>
          <w:b/>
          <w:bCs/>
          <w:color w:val="000000"/>
          <w:sz w:val="32"/>
          <w:szCs w:val="32"/>
          <w:lang w:eastAsia="en-AU"/>
        </w:rPr>
        <w:t>Contents</w:t>
      </w:r>
    </w:p>
    <w:p w:rsidR="00A92610" w:rsidRPr="00A92610" w:rsidRDefault="00134C11" w:rsidP="00A9261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92610" w:rsidRPr="00A92610">
          <w:rPr>
            <w:rFonts w:eastAsia="Times New Roman"/>
            <w:color w:val="000000"/>
            <w:sz w:val="28"/>
            <w:szCs w:val="28"/>
            <w:lang w:eastAsia="en-AU"/>
          </w:rPr>
          <w:t>Part 1—Preliminary</w:t>
        </w:r>
      </w:hyperlink>
    </w:p>
    <w:p w:rsidR="00A92610" w:rsidRPr="00A92610" w:rsidRDefault="00134C11" w:rsidP="00A9261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92610" w:rsidRPr="00A92610">
          <w:rPr>
            <w:rFonts w:eastAsia="Times New Roman"/>
            <w:color w:val="000000"/>
            <w:sz w:val="22"/>
            <w:lang w:eastAsia="en-AU"/>
          </w:rPr>
          <w:t>1</w:t>
        </w:r>
        <w:r w:rsidR="00A92610" w:rsidRPr="00A92610">
          <w:rPr>
            <w:rFonts w:eastAsia="Times New Roman"/>
            <w:color w:val="000000"/>
            <w:sz w:val="22"/>
            <w:lang w:eastAsia="en-AU"/>
          </w:rPr>
          <w:tab/>
          <w:t>Short title</w:t>
        </w:r>
      </w:hyperlink>
    </w:p>
    <w:p w:rsidR="00A92610" w:rsidRPr="00A92610" w:rsidRDefault="00134C11" w:rsidP="00A9261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92610" w:rsidRPr="00A92610">
          <w:rPr>
            <w:rFonts w:eastAsia="Times New Roman"/>
            <w:color w:val="000000"/>
            <w:sz w:val="22"/>
            <w:lang w:eastAsia="en-AU"/>
          </w:rPr>
          <w:t>2</w:t>
        </w:r>
        <w:r w:rsidR="00A92610" w:rsidRPr="00A92610">
          <w:rPr>
            <w:rFonts w:eastAsia="Times New Roman"/>
            <w:color w:val="000000"/>
            <w:sz w:val="22"/>
            <w:lang w:eastAsia="en-AU"/>
          </w:rPr>
          <w:tab/>
          <w:t>Commencement</w:t>
        </w:r>
      </w:hyperlink>
    </w:p>
    <w:p w:rsidR="00A92610" w:rsidRPr="00A92610" w:rsidRDefault="00134C11" w:rsidP="00A9261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92610" w:rsidRPr="00A92610">
          <w:rPr>
            <w:rFonts w:eastAsia="Times New Roman"/>
            <w:color w:val="000000"/>
            <w:sz w:val="22"/>
            <w:lang w:eastAsia="en-AU"/>
          </w:rPr>
          <w:t>3</w:t>
        </w:r>
        <w:r w:rsidR="00A92610" w:rsidRPr="00A92610">
          <w:rPr>
            <w:rFonts w:eastAsia="Times New Roman"/>
            <w:color w:val="000000"/>
            <w:sz w:val="22"/>
            <w:lang w:eastAsia="en-AU"/>
          </w:rPr>
          <w:tab/>
          <w:t>Variation provisions</w:t>
        </w:r>
      </w:hyperlink>
    </w:p>
    <w:p w:rsidR="00A92610" w:rsidRPr="00A92610" w:rsidRDefault="00134C11" w:rsidP="00A9261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92610" w:rsidRPr="00A92610">
          <w:rPr>
            <w:rFonts w:eastAsia="Times New Roman"/>
            <w:color w:val="000000"/>
            <w:sz w:val="28"/>
            <w:szCs w:val="28"/>
            <w:lang w:eastAsia="en-AU"/>
          </w:rPr>
          <w:t xml:space="preserve">Part 2—Variation of </w:t>
        </w:r>
        <w:r w:rsidR="00A92610" w:rsidRPr="00A92610">
          <w:rPr>
            <w:rFonts w:eastAsia="Times New Roman"/>
            <w:i/>
            <w:iCs/>
            <w:color w:val="000000"/>
            <w:sz w:val="28"/>
            <w:szCs w:val="28"/>
            <w:lang w:eastAsia="en-AU"/>
          </w:rPr>
          <w:t>Retail and Commercial Leases Regulations 2010</w:t>
        </w:r>
      </w:hyperlink>
    </w:p>
    <w:p w:rsidR="00A92610" w:rsidRPr="00A92610" w:rsidRDefault="00134C11" w:rsidP="00A9261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A92610" w:rsidRPr="00A92610">
          <w:rPr>
            <w:rFonts w:eastAsia="Times New Roman"/>
            <w:color w:val="000000"/>
            <w:sz w:val="22"/>
            <w:lang w:eastAsia="en-AU"/>
          </w:rPr>
          <w:t>4</w:t>
        </w:r>
        <w:r w:rsidR="00A92610" w:rsidRPr="00A92610">
          <w:rPr>
            <w:rFonts w:eastAsia="Times New Roman"/>
            <w:color w:val="000000"/>
            <w:sz w:val="22"/>
            <w:lang w:eastAsia="en-AU"/>
          </w:rPr>
          <w:tab/>
          <w:t>Variation of regulation 4—Exclusions from application of Act</w:t>
        </w:r>
      </w:hyperlink>
    </w:p>
    <w:p w:rsidR="00A92610" w:rsidRPr="00A92610" w:rsidRDefault="00A92610" w:rsidP="00A9261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92610" w:rsidRPr="00A92610" w:rsidRDefault="00A92610" w:rsidP="00A9261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 w:name="Elkera_Print_TOC1"/>
      <w:bookmarkStart w:id="16" w:name="Elkera_Print_BK1"/>
      <w:r w:rsidRPr="00A92610">
        <w:rPr>
          <w:rFonts w:eastAsia="Times New Roman"/>
          <w:b/>
          <w:bCs/>
          <w:color w:val="000000"/>
          <w:sz w:val="32"/>
          <w:szCs w:val="32"/>
          <w:lang w:eastAsia="en-AU"/>
        </w:rPr>
        <w:t>Part 1—Preliminary</w:t>
      </w:r>
      <w:bookmarkEnd w:id="15"/>
      <w:bookmarkEnd w:id="16"/>
    </w:p>
    <w:p w:rsidR="00A92610" w:rsidRPr="00A92610" w:rsidRDefault="00A92610" w:rsidP="00A9261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2"/>
      <w:bookmarkStart w:id="18" w:name="Elkera_Print_BK2"/>
      <w:r w:rsidRPr="00A92610">
        <w:rPr>
          <w:rFonts w:eastAsia="Times New Roman"/>
          <w:b/>
          <w:bCs/>
          <w:color w:val="000000"/>
          <w:sz w:val="26"/>
          <w:szCs w:val="26"/>
          <w:lang w:eastAsia="en-AU"/>
        </w:rPr>
        <w:t>1—Short title</w:t>
      </w:r>
      <w:bookmarkEnd w:id="17"/>
      <w:bookmarkEnd w:id="18"/>
    </w:p>
    <w:p w:rsidR="00A92610" w:rsidRPr="00A92610" w:rsidRDefault="00A92610" w:rsidP="00A92610">
      <w:pPr>
        <w:keepLines/>
        <w:autoSpaceDE w:val="0"/>
        <w:autoSpaceDN w:val="0"/>
        <w:adjustRightInd w:val="0"/>
        <w:spacing w:before="120" w:after="0" w:line="240" w:lineRule="auto"/>
        <w:ind w:left="794"/>
        <w:jc w:val="left"/>
        <w:rPr>
          <w:rFonts w:eastAsia="Times New Roman"/>
          <w:color w:val="000000"/>
          <w:sz w:val="23"/>
          <w:szCs w:val="23"/>
          <w:lang w:eastAsia="en-AU"/>
        </w:rPr>
      </w:pPr>
      <w:r w:rsidRPr="00A92610">
        <w:rPr>
          <w:rFonts w:eastAsia="Times New Roman"/>
          <w:color w:val="000000"/>
          <w:sz w:val="23"/>
          <w:szCs w:val="23"/>
          <w:lang w:eastAsia="en-AU"/>
        </w:rPr>
        <w:t xml:space="preserve">These regulations may be cited as the </w:t>
      </w:r>
      <w:r w:rsidRPr="00A92610">
        <w:rPr>
          <w:rFonts w:eastAsia="Times New Roman"/>
          <w:i/>
          <w:iCs/>
          <w:color w:val="000000"/>
          <w:sz w:val="23"/>
          <w:szCs w:val="23"/>
          <w:lang w:eastAsia="en-AU"/>
        </w:rPr>
        <w:t>Retail and Commercial Leases (Prescribed Lessee) Variation Regulations 2021</w:t>
      </w:r>
      <w:r w:rsidRPr="00A92610">
        <w:rPr>
          <w:rFonts w:eastAsia="Times New Roman"/>
          <w:color w:val="000000"/>
          <w:sz w:val="23"/>
          <w:szCs w:val="23"/>
          <w:lang w:eastAsia="en-AU"/>
        </w:rPr>
        <w:t>.</w:t>
      </w:r>
    </w:p>
    <w:p w:rsidR="00A92610" w:rsidRPr="00A92610" w:rsidRDefault="00A92610" w:rsidP="00A9261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3"/>
      <w:bookmarkStart w:id="20" w:name="Elkera_Print_BK3"/>
      <w:r w:rsidRPr="00A92610">
        <w:rPr>
          <w:rFonts w:eastAsia="Times New Roman"/>
          <w:b/>
          <w:bCs/>
          <w:color w:val="000000"/>
          <w:sz w:val="26"/>
          <w:szCs w:val="26"/>
          <w:lang w:eastAsia="en-AU"/>
        </w:rPr>
        <w:t>2—Commencement</w:t>
      </w:r>
      <w:bookmarkEnd w:id="19"/>
      <w:bookmarkEnd w:id="20"/>
    </w:p>
    <w:p w:rsidR="00A92610" w:rsidRPr="00A92610" w:rsidRDefault="00A92610" w:rsidP="00A92610">
      <w:pPr>
        <w:keepLines/>
        <w:autoSpaceDE w:val="0"/>
        <w:autoSpaceDN w:val="0"/>
        <w:adjustRightInd w:val="0"/>
        <w:spacing w:before="120" w:after="0" w:line="240" w:lineRule="auto"/>
        <w:ind w:left="794"/>
        <w:jc w:val="left"/>
        <w:rPr>
          <w:rFonts w:eastAsia="Times New Roman"/>
          <w:color w:val="000000"/>
          <w:sz w:val="23"/>
          <w:szCs w:val="23"/>
          <w:lang w:eastAsia="en-AU"/>
        </w:rPr>
      </w:pPr>
      <w:r w:rsidRPr="00A92610">
        <w:rPr>
          <w:rFonts w:eastAsia="Times New Roman"/>
          <w:color w:val="000000"/>
          <w:sz w:val="23"/>
          <w:szCs w:val="23"/>
          <w:lang w:eastAsia="en-AU"/>
        </w:rPr>
        <w:t>These regulations come into operation on the day on which they are made.</w:t>
      </w:r>
    </w:p>
    <w:p w:rsidR="00A92610" w:rsidRPr="00A92610" w:rsidRDefault="00A92610" w:rsidP="00A9261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4"/>
      <w:bookmarkStart w:id="22" w:name="Elkera_Print_BK4"/>
      <w:r w:rsidRPr="00A92610">
        <w:rPr>
          <w:rFonts w:eastAsia="Times New Roman"/>
          <w:b/>
          <w:bCs/>
          <w:color w:val="000000"/>
          <w:sz w:val="26"/>
          <w:szCs w:val="26"/>
          <w:lang w:eastAsia="en-AU"/>
        </w:rPr>
        <w:t>3—Variation provisions</w:t>
      </w:r>
      <w:bookmarkEnd w:id="21"/>
      <w:bookmarkEnd w:id="22"/>
    </w:p>
    <w:p w:rsidR="00A92610" w:rsidRPr="00A92610" w:rsidRDefault="00A92610" w:rsidP="00A92610">
      <w:pPr>
        <w:keepLines/>
        <w:autoSpaceDE w:val="0"/>
        <w:autoSpaceDN w:val="0"/>
        <w:adjustRightInd w:val="0"/>
        <w:spacing w:before="120" w:after="0" w:line="240" w:lineRule="auto"/>
        <w:ind w:left="794"/>
        <w:jc w:val="left"/>
        <w:rPr>
          <w:rFonts w:eastAsia="Times New Roman"/>
          <w:color w:val="000000"/>
          <w:sz w:val="23"/>
          <w:szCs w:val="23"/>
          <w:lang w:eastAsia="en-AU"/>
        </w:rPr>
      </w:pPr>
      <w:r w:rsidRPr="00A92610">
        <w:rPr>
          <w:rFonts w:eastAsia="Times New Roman"/>
          <w:color w:val="000000"/>
          <w:sz w:val="23"/>
          <w:szCs w:val="23"/>
          <w:lang w:eastAsia="en-AU"/>
        </w:rPr>
        <w:t>In these regulations, a provision under a heading referring to the variation of specified regulations varies the regulations so specified.</w:t>
      </w:r>
    </w:p>
    <w:p w:rsidR="00A92610" w:rsidRPr="00A92610" w:rsidRDefault="00A92610" w:rsidP="00A9261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3" w:name="Elkera_Print_TOC5"/>
      <w:bookmarkStart w:id="24" w:name="Elkera_Print_BK5"/>
      <w:r w:rsidRPr="00A92610">
        <w:rPr>
          <w:rFonts w:eastAsia="Times New Roman"/>
          <w:b/>
          <w:bCs/>
          <w:color w:val="000000"/>
          <w:sz w:val="32"/>
          <w:szCs w:val="32"/>
          <w:lang w:eastAsia="en-AU"/>
        </w:rPr>
        <w:t xml:space="preserve">Part 2—Variation of </w:t>
      </w:r>
      <w:r w:rsidRPr="00A92610">
        <w:rPr>
          <w:rFonts w:eastAsia="Times New Roman"/>
          <w:b/>
          <w:bCs/>
          <w:i/>
          <w:iCs/>
          <w:color w:val="000000"/>
          <w:sz w:val="32"/>
          <w:szCs w:val="32"/>
          <w:lang w:eastAsia="en-AU"/>
        </w:rPr>
        <w:t>Retail and Commercial Leases Regulations 2010</w:t>
      </w:r>
      <w:bookmarkEnd w:id="23"/>
      <w:bookmarkEnd w:id="24"/>
    </w:p>
    <w:p w:rsidR="00A92610" w:rsidRPr="00A92610" w:rsidRDefault="00A92610" w:rsidP="00A9261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6"/>
      <w:bookmarkStart w:id="26" w:name="Elkera_Print_BK6"/>
      <w:r w:rsidRPr="00A92610">
        <w:rPr>
          <w:rFonts w:eastAsia="Times New Roman"/>
          <w:b/>
          <w:bCs/>
          <w:color w:val="000000"/>
          <w:sz w:val="26"/>
          <w:szCs w:val="26"/>
          <w:lang w:eastAsia="en-AU"/>
        </w:rPr>
        <w:t>4—Variation of regulation 4—Exclusions from application of Act</w:t>
      </w:r>
      <w:bookmarkEnd w:id="25"/>
      <w:bookmarkEnd w:id="26"/>
    </w:p>
    <w:p w:rsidR="00A92610" w:rsidRPr="00A92610" w:rsidRDefault="00A92610" w:rsidP="00A9261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92610">
        <w:rPr>
          <w:rFonts w:eastAsia="Times New Roman"/>
          <w:color w:val="000000"/>
          <w:sz w:val="23"/>
          <w:szCs w:val="23"/>
          <w:lang w:eastAsia="en-AU"/>
        </w:rPr>
        <w:t>Regulation 4—before subregulation (2) insert:</w:t>
      </w:r>
    </w:p>
    <w:p w:rsidR="00A92610" w:rsidRPr="00A92610" w:rsidRDefault="00A92610" w:rsidP="00A9261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92610">
        <w:rPr>
          <w:rFonts w:eastAsia="Times New Roman"/>
          <w:color w:val="000000"/>
          <w:sz w:val="23"/>
          <w:szCs w:val="23"/>
          <w:lang w:eastAsia="en-AU"/>
        </w:rPr>
        <w:tab/>
        <w:t>(1)</w:t>
      </w:r>
      <w:r w:rsidRPr="00A92610">
        <w:rPr>
          <w:rFonts w:eastAsia="Times New Roman"/>
          <w:color w:val="000000"/>
          <w:sz w:val="23"/>
          <w:szCs w:val="23"/>
          <w:lang w:eastAsia="en-AU"/>
        </w:rPr>
        <w:tab/>
        <w:t>Pursuant to section 4(2)(g)(ii) of the Act, in respect of a lessor who is a municipal or district council or other authority with the powers and functions of local government, a lessee who is a party to a lease under which the amount of rent payable under the lease does not exceed $50 000 per annum (exclusive of GST) and who—</w:t>
      </w:r>
    </w:p>
    <w:p w:rsidR="00A92610" w:rsidRPr="00A92610" w:rsidRDefault="00A92610" w:rsidP="00A9261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92610">
        <w:rPr>
          <w:rFonts w:eastAsia="Times New Roman"/>
          <w:color w:val="000000"/>
          <w:sz w:val="23"/>
          <w:szCs w:val="23"/>
          <w:lang w:eastAsia="en-AU"/>
        </w:rPr>
        <w:tab/>
        <w:t>(a)</w:t>
      </w:r>
      <w:r w:rsidRPr="00A92610">
        <w:rPr>
          <w:rFonts w:eastAsia="Times New Roman"/>
          <w:color w:val="000000"/>
          <w:sz w:val="23"/>
          <w:szCs w:val="23"/>
          <w:lang w:eastAsia="en-AU"/>
        </w:rPr>
        <w:tab/>
        <w:t xml:space="preserve">is registered under the </w:t>
      </w:r>
      <w:hyperlink r:id="rId18" w:history="1">
        <w:r w:rsidRPr="00A92610">
          <w:rPr>
            <w:rFonts w:eastAsia="Times New Roman"/>
            <w:i/>
            <w:iCs/>
            <w:color w:val="000000"/>
            <w:sz w:val="23"/>
            <w:szCs w:val="23"/>
            <w:lang w:eastAsia="en-AU"/>
          </w:rPr>
          <w:t>Australian Charities and Not-for-profits Commission Act 2012</w:t>
        </w:r>
      </w:hyperlink>
      <w:r w:rsidRPr="00A92610">
        <w:rPr>
          <w:rFonts w:eastAsia="Times New Roman"/>
          <w:color w:val="000000"/>
          <w:sz w:val="23"/>
          <w:szCs w:val="23"/>
          <w:lang w:eastAsia="en-AU"/>
        </w:rPr>
        <w:t xml:space="preserve"> of the Commonwealth; or</w:t>
      </w:r>
    </w:p>
    <w:p w:rsidR="00A92610" w:rsidRPr="00A92610" w:rsidRDefault="00A92610" w:rsidP="00A9261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92610">
        <w:rPr>
          <w:rFonts w:eastAsia="Times New Roman"/>
          <w:color w:val="000000"/>
          <w:sz w:val="23"/>
          <w:szCs w:val="23"/>
          <w:lang w:eastAsia="en-AU"/>
        </w:rPr>
        <w:tab/>
        <w:t>(b)</w:t>
      </w:r>
      <w:r w:rsidRPr="00A92610">
        <w:rPr>
          <w:rFonts w:eastAsia="Times New Roman"/>
          <w:color w:val="000000"/>
          <w:sz w:val="23"/>
          <w:szCs w:val="23"/>
          <w:lang w:eastAsia="en-AU"/>
        </w:rPr>
        <w:tab/>
        <w:t>is an entity that is not carried on for the purposes of profit or gain to its individual members and that is, by the terms of its constitution, prohibited from making any distribution, whether in money, property or otherwise, to its members; or</w:t>
      </w:r>
    </w:p>
    <w:p w:rsidR="00A92610" w:rsidRPr="00A92610" w:rsidRDefault="00A92610" w:rsidP="00A9261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92610">
        <w:rPr>
          <w:rFonts w:eastAsia="Times New Roman"/>
          <w:color w:val="000000"/>
          <w:sz w:val="23"/>
          <w:szCs w:val="23"/>
          <w:lang w:eastAsia="en-AU"/>
        </w:rPr>
        <w:lastRenderedPageBreak/>
        <w:tab/>
        <w:t>(c)</w:t>
      </w:r>
      <w:r w:rsidRPr="00A92610">
        <w:rPr>
          <w:rFonts w:eastAsia="Times New Roman"/>
          <w:color w:val="000000"/>
          <w:sz w:val="23"/>
          <w:szCs w:val="23"/>
          <w:lang w:eastAsia="en-AU"/>
        </w:rPr>
        <w:tab/>
        <w:t>uses the premises the subject of the lease for the provision of health, welfare, community, cultural, sporting or recreational services on a non</w:t>
      </w:r>
      <w:r w:rsidRPr="00A92610">
        <w:rPr>
          <w:rFonts w:eastAsia="Times New Roman"/>
          <w:color w:val="000000"/>
          <w:sz w:val="23"/>
          <w:szCs w:val="23"/>
          <w:lang w:eastAsia="en-AU"/>
        </w:rPr>
        <w:noBreakHyphen/>
        <w:t>commercial basis,</w:t>
      </w:r>
    </w:p>
    <w:p w:rsidR="00A92610" w:rsidRPr="00A92610" w:rsidRDefault="00A92610" w:rsidP="00A92610">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92610">
        <w:rPr>
          <w:rFonts w:eastAsia="Times New Roman"/>
          <w:color w:val="000000"/>
          <w:sz w:val="23"/>
          <w:szCs w:val="23"/>
          <w:lang w:eastAsia="en-AU"/>
        </w:rPr>
        <w:t>is prescribed for the purposes of section 4(2)(g) of the Act.</w:t>
      </w:r>
    </w:p>
    <w:p w:rsidR="00A92610" w:rsidRPr="00A92610" w:rsidRDefault="00A92610" w:rsidP="00A9261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92610">
        <w:rPr>
          <w:rFonts w:eastAsia="Times New Roman"/>
          <w:b/>
          <w:bCs/>
          <w:color w:val="000000"/>
          <w:sz w:val="20"/>
          <w:szCs w:val="20"/>
          <w:lang w:eastAsia="en-AU"/>
        </w:rPr>
        <w:t>Note—</w:t>
      </w:r>
    </w:p>
    <w:p w:rsidR="00A92610" w:rsidRPr="00A92610" w:rsidRDefault="00A92610" w:rsidP="00A92610">
      <w:pPr>
        <w:keepLines/>
        <w:autoSpaceDE w:val="0"/>
        <w:autoSpaceDN w:val="0"/>
        <w:adjustRightInd w:val="0"/>
        <w:spacing w:before="120" w:after="0" w:line="240" w:lineRule="auto"/>
        <w:ind w:left="794"/>
        <w:jc w:val="left"/>
        <w:rPr>
          <w:rFonts w:eastAsia="Times New Roman"/>
          <w:color w:val="000000"/>
          <w:sz w:val="20"/>
          <w:szCs w:val="20"/>
          <w:lang w:eastAsia="en-AU"/>
        </w:rPr>
      </w:pPr>
      <w:r w:rsidRPr="00A92610">
        <w:rPr>
          <w:rFonts w:eastAsia="Times New Roman"/>
          <w:color w:val="000000"/>
          <w:sz w:val="20"/>
          <w:szCs w:val="20"/>
          <w:lang w:eastAsia="en-AU"/>
        </w:rPr>
        <w:t xml:space="preserve">As required by section 10AA(2) of the </w:t>
      </w:r>
      <w:hyperlink r:id="rId19" w:history="1">
        <w:r w:rsidRPr="00A92610">
          <w:rPr>
            <w:rFonts w:eastAsia="Times New Roman"/>
            <w:i/>
            <w:iCs/>
            <w:color w:val="000000"/>
            <w:sz w:val="20"/>
            <w:szCs w:val="20"/>
            <w:lang w:eastAsia="en-AU"/>
          </w:rPr>
          <w:t>Subordinate Legislation Act 1978</w:t>
        </w:r>
      </w:hyperlink>
      <w:r w:rsidRPr="00A92610">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92610" w:rsidRPr="00A92610" w:rsidRDefault="00A92610" w:rsidP="00A9261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92610">
        <w:rPr>
          <w:rFonts w:eastAsia="Times New Roman"/>
          <w:b/>
          <w:bCs/>
          <w:color w:val="000000"/>
          <w:sz w:val="26"/>
          <w:szCs w:val="26"/>
          <w:lang w:eastAsia="en-AU"/>
        </w:rPr>
        <w:t>Made by the Governor</w:t>
      </w:r>
    </w:p>
    <w:p w:rsidR="00A92610" w:rsidRPr="00A92610" w:rsidRDefault="00A92610" w:rsidP="00A92610">
      <w:pPr>
        <w:keepNext/>
        <w:keepLines/>
        <w:autoSpaceDE w:val="0"/>
        <w:autoSpaceDN w:val="0"/>
        <w:adjustRightInd w:val="0"/>
        <w:spacing w:before="120" w:after="0" w:line="240" w:lineRule="auto"/>
        <w:jc w:val="left"/>
        <w:rPr>
          <w:rFonts w:eastAsia="Times New Roman"/>
          <w:color w:val="000000"/>
          <w:sz w:val="23"/>
          <w:szCs w:val="23"/>
          <w:lang w:eastAsia="en-AU"/>
        </w:rPr>
      </w:pPr>
      <w:r w:rsidRPr="00A92610">
        <w:rPr>
          <w:rFonts w:eastAsia="Times New Roman"/>
          <w:color w:val="000000"/>
          <w:sz w:val="23"/>
          <w:szCs w:val="23"/>
          <w:lang w:eastAsia="en-AU"/>
        </w:rPr>
        <w:t>with the advice and consent of the Executive Council</w:t>
      </w:r>
    </w:p>
    <w:p w:rsidR="00A92610" w:rsidRPr="00A92610" w:rsidRDefault="00A92610" w:rsidP="00A92610">
      <w:pPr>
        <w:keepNext/>
        <w:keepLines/>
        <w:autoSpaceDE w:val="0"/>
        <w:autoSpaceDN w:val="0"/>
        <w:adjustRightInd w:val="0"/>
        <w:spacing w:after="0" w:line="240" w:lineRule="auto"/>
        <w:jc w:val="left"/>
        <w:rPr>
          <w:rFonts w:eastAsia="Times New Roman"/>
          <w:color w:val="000000"/>
          <w:sz w:val="23"/>
          <w:szCs w:val="23"/>
          <w:lang w:eastAsia="en-AU"/>
        </w:rPr>
      </w:pPr>
      <w:r w:rsidRPr="00A92610">
        <w:rPr>
          <w:rFonts w:eastAsia="Times New Roman"/>
          <w:color w:val="000000"/>
          <w:sz w:val="23"/>
          <w:szCs w:val="23"/>
          <w:lang w:eastAsia="en-AU"/>
        </w:rPr>
        <w:t>on</w:t>
      </w:r>
      <w:r>
        <w:rPr>
          <w:rFonts w:eastAsia="Times New Roman"/>
          <w:color w:val="000000"/>
          <w:sz w:val="23"/>
          <w:szCs w:val="23"/>
          <w:lang w:eastAsia="en-AU"/>
        </w:rPr>
        <w:t xml:space="preserve"> 22 April 2021</w:t>
      </w:r>
    </w:p>
    <w:p w:rsidR="00A92610" w:rsidRPr="00A92610" w:rsidRDefault="00A92610" w:rsidP="00A92610">
      <w:pPr>
        <w:keepNext/>
        <w:keepLines/>
        <w:autoSpaceDE w:val="0"/>
        <w:autoSpaceDN w:val="0"/>
        <w:adjustRightInd w:val="0"/>
        <w:spacing w:before="120" w:after="0" w:line="240" w:lineRule="auto"/>
        <w:jc w:val="left"/>
        <w:rPr>
          <w:rFonts w:eastAsia="Times New Roman"/>
          <w:color w:val="000000"/>
          <w:sz w:val="23"/>
          <w:szCs w:val="23"/>
          <w:lang w:eastAsia="en-AU"/>
        </w:rPr>
      </w:pPr>
      <w:r w:rsidRPr="00A92610">
        <w:rPr>
          <w:rFonts w:eastAsia="Times New Roman"/>
          <w:color w:val="000000"/>
          <w:sz w:val="23"/>
          <w:szCs w:val="23"/>
          <w:lang w:eastAsia="en-AU"/>
        </w:rPr>
        <w:t>No </w:t>
      </w:r>
      <w:r>
        <w:rPr>
          <w:rFonts w:eastAsia="Times New Roman"/>
          <w:color w:val="000000"/>
          <w:sz w:val="23"/>
          <w:szCs w:val="23"/>
          <w:lang w:eastAsia="en-AU"/>
        </w:rPr>
        <w:t>42</w:t>
      </w:r>
      <w:r w:rsidRPr="00A92610">
        <w:rPr>
          <w:rFonts w:eastAsia="Times New Roman"/>
          <w:color w:val="000000"/>
          <w:sz w:val="23"/>
          <w:szCs w:val="23"/>
          <w:lang w:eastAsia="en-AU"/>
        </w:rPr>
        <w:t> of </w:t>
      </w:r>
      <w:r>
        <w:rPr>
          <w:rFonts w:eastAsia="Times New Roman"/>
          <w:color w:val="000000"/>
          <w:sz w:val="23"/>
          <w:szCs w:val="23"/>
          <w:lang w:eastAsia="en-AU"/>
        </w:rPr>
        <w:t>2021</w:t>
      </w:r>
    </w:p>
    <w:p w:rsidR="0016463B" w:rsidRPr="0016463B" w:rsidRDefault="0016463B" w:rsidP="0016463B">
      <w:pPr>
        <w:pStyle w:val="GG-body"/>
      </w:pPr>
    </w:p>
    <w:p w:rsidR="00761676" w:rsidRPr="009D1E2E" w:rsidRDefault="009D1E2E" w:rsidP="00761676">
      <w:pPr>
        <w:pStyle w:val="Heading1"/>
        <w:spacing w:before="0"/>
      </w:pPr>
      <w:r>
        <w:rPr>
          <w:lang w:val="en-US"/>
        </w:rPr>
        <w:br w:type="page"/>
      </w:r>
      <w:bookmarkStart w:id="27" w:name="_Toc33707982"/>
      <w:bookmarkStart w:id="28" w:name="_Toc33708153"/>
    </w:p>
    <w:p w:rsidR="009D1E2E" w:rsidRPr="009D1E2E" w:rsidRDefault="009D1E2E" w:rsidP="006E1D35">
      <w:pPr>
        <w:pStyle w:val="Heading1"/>
        <w:spacing w:before="0"/>
      </w:pPr>
      <w:bookmarkStart w:id="29" w:name="_Toc69916961"/>
      <w:r w:rsidRPr="009D1E2E">
        <w:lastRenderedPageBreak/>
        <w:t>State Government Instruments</w:t>
      </w:r>
      <w:bookmarkEnd w:id="27"/>
      <w:bookmarkEnd w:id="28"/>
      <w:bookmarkEnd w:id="29"/>
    </w:p>
    <w:p w:rsidR="001F45F0" w:rsidRPr="001F45F0" w:rsidRDefault="001F45F0" w:rsidP="0050342F">
      <w:pPr>
        <w:pStyle w:val="Heading2"/>
      </w:pPr>
      <w:bookmarkStart w:id="30" w:name="_Toc69916962"/>
      <w:r w:rsidRPr="001F45F0">
        <w:t>Development Act 1993</w:t>
      </w:r>
      <w:bookmarkEnd w:id="30"/>
    </w:p>
    <w:p w:rsidR="001F45F0" w:rsidRPr="001F45F0" w:rsidRDefault="001F45F0" w:rsidP="001F45F0">
      <w:pPr>
        <w:jc w:val="center"/>
        <w:rPr>
          <w:smallCaps/>
          <w:szCs w:val="17"/>
        </w:rPr>
      </w:pPr>
      <w:r w:rsidRPr="001F45F0">
        <w:rPr>
          <w:smallCaps/>
          <w:szCs w:val="17"/>
        </w:rPr>
        <w:t>Section 46(4)</w:t>
      </w:r>
    </w:p>
    <w:p w:rsidR="001F45F0" w:rsidRPr="001F45F0" w:rsidRDefault="001F45F0" w:rsidP="001F45F0">
      <w:pPr>
        <w:jc w:val="center"/>
        <w:rPr>
          <w:i/>
          <w:szCs w:val="17"/>
        </w:rPr>
      </w:pPr>
      <w:r w:rsidRPr="001F45F0">
        <w:rPr>
          <w:i/>
          <w:szCs w:val="17"/>
        </w:rPr>
        <w:t>Whalers Way Orbital Launch Complex</w:t>
      </w:r>
    </w:p>
    <w:p w:rsidR="001F45F0" w:rsidRPr="001F45F0" w:rsidRDefault="001F45F0" w:rsidP="001F45F0">
      <w:pPr>
        <w:rPr>
          <w:rFonts w:eastAsia="Times New Roman"/>
          <w:i/>
          <w:szCs w:val="17"/>
        </w:rPr>
      </w:pPr>
      <w:r w:rsidRPr="001F45F0">
        <w:rPr>
          <w:rFonts w:eastAsia="Times New Roman"/>
          <w:i/>
          <w:szCs w:val="17"/>
        </w:rPr>
        <w:t>Preamble</w:t>
      </w:r>
    </w:p>
    <w:p w:rsidR="001F45F0" w:rsidRPr="001F45F0" w:rsidRDefault="001F45F0" w:rsidP="001F45F0">
      <w:pPr>
        <w:rPr>
          <w:rFonts w:eastAsia="Times New Roman"/>
          <w:szCs w:val="17"/>
        </w:rPr>
      </w:pPr>
      <w:r w:rsidRPr="001F45F0">
        <w:rPr>
          <w:rFonts w:eastAsia="Times New Roman"/>
          <w:szCs w:val="17"/>
        </w:rPr>
        <w:t xml:space="preserve">On 29 August 2019 by notice in the </w:t>
      </w:r>
      <w:r w:rsidRPr="001F45F0">
        <w:rPr>
          <w:rFonts w:eastAsia="Times New Roman"/>
          <w:i/>
          <w:szCs w:val="17"/>
        </w:rPr>
        <w:t>Gazette</w:t>
      </w:r>
      <w:r w:rsidRPr="001F45F0">
        <w:rPr>
          <w:rFonts w:eastAsia="Times New Roman"/>
          <w:szCs w:val="17"/>
        </w:rPr>
        <w:t xml:space="preserve"> at page 3132 the Minister for Planning made a declaration under Section 46(1) of the </w:t>
      </w:r>
      <w:r w:rsidRPr="001F45F0">
        <w:rPr>
          <w:rFonts w:eastAsia="Times New Roman"/>
          <w:i/>
          <w:szCs w:val="17"/>
        </w:rPr>
        <w:t>Development Act 1993</w:t>
      </w:r>
      <w:r w:rsidRPr="001F45F0">
        <w:rPr>
          <w:rFonts w:eastAsia="Times New Roman"/>
          <w:szCs w:val="17"/>
        </w:rPr>
        <w:t xml:space="preserve"> in relation to the staged establishment and operation of an orbital space launch facility at Allotment 101 at Whalers Way, Sleaford.</w:t>
      </w:r>
    </w:p>
    <w:p w:rsidR="001F45F0" w:rsidRPr="001F45F0" w:rsidRDefault="001F45F0" w:rsidP="001F45F0">
      <w:pPr>
        <w:jc w:val="center"/>
        <w:rPr>
          <w:smallCaps/>
          <w:szCs w:val="17"/>
        </w:rPr>
      </w:pPr>
      <w:r w:rsidRPr="001F45F0">
        <w:rPr>
          <w:smallCaps/>
          <w:szCs w:val="17"/>
        </w:rPr>
        <w:t>Notice</w:t>
      </w:r>
    </w:p>
    <w:p w:rsidR="001F45F0" w:rsidRPr="001F45F0" w:rsidRDefault="001F45F0" w:rsidP="001F45F0">
      <w:pPr>
        <w:rPr>
          <w:rFonts w:eastAsia="Times New Roman"/>
          <w:szCs w:val="17"/>
        </w:rPr>
      </w:pPr>
      <w:r w:rsidRPr="001F45F0">
        <w:rPr>
          <w:rFonts w:eastAsia="Times New Roman"/>
          <w:szCs w:val="17"/>
        </w:rPr>
        <w:t xml:space="preserve">PURSUANT to Section 46(4) of the </w:t>
      </w:r>
      <w:r w:rsidRPr="001F45F0">
        <w:rPr>
          <w:rFonts w:eastAsia="Times New Roman"/>
          <w:i/>
          <w:szCs w:val="17"/>
        </w:rPr>
        <w:t>Development Act 1993</w:t>
      </w:r>
      <w:r w:rsidRPr="001F45F0">
        <w:rPr>
          <w:rFonts w:eastAsia="Times New Roman"/>
          <w:szCs w:val="17"/>
        </w:rPr>
        <w:t>, I vary the Declaration as follows:</w:t>
      </w:r>
    </w:p>
    <w:p w:rsidR="001F45F0" w:rsidRPr="001F45F0" w:rsidRDefault="001F45F0" w:rsidP="001F45F0">
      <w:pPr>
        <w:ind w:left="426" w:hanging="284"/>
        <w:rPr>
          <w:rFonts w:eastAsia="Times New Roman"/>
          <w:szCs w:val="17"/>
        </w:rPr>
      </w:pPr>
      <w:r w:rsidRPr="001F45F0">
        <w:rPr>
          <w:rFonts w:eastAsia="Times New Roman"/>
          <w:szCs w:val="17"/>
        </w:rPr>
        <w:t>1.</w:t>
      </w:r>
      <w:r w:rsidRPr="001F45F0">
        <w:rPr>
          <w:rFonts w:eastAsia="Times New Roman"/>
          <w:szCs w:val="17"/>
        </w:rPr>
        <w:tab/>
        <w:t>Insert within Schedule 1 a new paragraph after paragraph (f)</w:t>
      </w:r>
    </w:p>
    <w:p w:rsidR="001F45F0" w:rsidRPr="001F45F0" w:rsidRDefault="001F45F0" w:rsidP="001F45F0">
      <w:pPr>
        <w:ind w:left="426"/>
        <w:rPr>
          <w:rFonts w:eastAsia="Times New Roman"/>
          <w:szCs w:val="17"/>
        </w:rPr>
      </w:pPr>
      <w:r w:rsidRPr="001F45F0">
        <w:rPr>
          <w:rFonts w:eastAsia="Times New Roman"/>
          <w:szCs w:val="17"/>
        </w:rPr>
        <w:t>“But Excluding:</w:t>
      </w:r>
    </w:p>
    <w:p w:rsidR="001F45F0" w:rsidRPr="001F45F0" w:rsidRDefault="001F45F0" w:rsidP="001F45F0">
      <w:pPr>
        <w:ind w:left="851" w:hanging="284"/>
        <w:rPr>
          <w:rFonts w:eastAsia="Times New Roman"/>
          <w:szCs w:val="17"/>
        </w:rPr>
      </w:pPr>
      <w:r w:rsidRPr="001F45F0">
        <w:rPr>
          <w:rFonts w:eastAsia="Times New Roman"/>
          <w:szCs w:val="17"/>
        </w:rPr>
        <w:t>(a)</w:t>
      </w:r>
      <w:r w:rsidRPr="001F45F0">
        <w:rPr>
          <w:rFonts w:eastAsia="Times New Roman"/>
          <w:szCs w:val="17"/>
        </w:rPr>
        <w:tab/>
        <w:t>Development for the purposes of establishing and carrying out three test rocket launches up until 31 December 2021.”</w:t>
      </w:r>
    </w:p>
    <w:p w:rsidR="001F45F0" w:rsidRPr="001F45F0" w:rsidRDefault="001F45F0" w:rsidP="001F45F0">
      <w:pPr>
        <w:rPr>
          <w:rFonts w:eastAsia="Times New Roman"/>
          <w:szCs w:val="17"/>
        </w:rPr>
      </w:pPr>
      <w:r w:rsidRPr="001F45F0">
        <w:rPr>
          <w:rFonts w:eastAsia="Times New Roman"/>
          <w:szCs w:val="17"/>
        </w:rPr>
        <w:t>The varied Declaration is set out in full in the Schedule.</w:t>
      </w:r>
    </w:p>
    <w:p w:rsidR="001F45F0" w:rsidRPr="001F45F0" w:rsidRDefault="001F45F0" w:rsidP="001F45F0">
      <w:pPr>
        <w:spacing w:after="0"/>
        <w:rPr>
          <w:rFonts w:eastAsia="Times New Roman"/>
          <w:szCs w:val="17"/>
        </w:rPr>
      </w:pPr>
      <w:r w:rsidRPr="001F45F0">
        <w:rPr>
          <w:rFonts w:eastAsia="Times New Roman"/>
          <w:szCs w:val="17"/>
        </w:rPr>
        <w:t>Dated: 20 April 2021</w:t>
      </w:r>
    </w:p>
    <w:p w:rsidR="001F45F0" w:rsidRPr="001F45F0" w:rsidRDefault="001F45F0" w:rsidP="001F45F0">
      <w:pPr>
        <w:spacing w:after="0"/>
        <w:jc w:val="right"/>
        <w:rPr>
          <w:rFonts w:eastAsia="Times New Roman"/>
          <w:smallCaps/>
          <w:szCs w:val="20"/>
        </w:rPr>
      </w:pPr>
      <w:r w:rsidRPr="001F45F0">
        <w:rPr>
          <w:rFonts w:eastAsia="Times New Roman"/>
          <w:smallCaps/>
          <w:szCs w:val="20"/>
        </w:rPr>
        <w:t>Hon Vickie Chapman MP</w:t>
      </w:r>
    </w:p>
    <w:p w:rsidR="001F45F0" w:rsidRPr="001F45F0" w:rsidRDefault="001F45F0" w:rsidP="001F45F0">
      <w:pPr>
        <w:spacing w:after="0"/>
        <w:jc w:val="right"/>
        <w:rPr>
          <w:rFonts w:eastAsia="Times New Roman"/>
          <w:szCs w:val="17"/>
        </w:rPr>
      </w:pPr>
      <w:r w:rsidRPr="001F45F0">
        <w:rPr>
          <w:rFonts w:eastAsia="Times New Roman"/>
          <w:szCs w:val="17"/>
        </w:rPr>
        <w:t>Minister for Planning and Local Government</w:t>
      </w:r>
    </w:p>
    <w:p w:rsidR="001F45F0" w:rsidRPr="001F45F0" w:rsidRDefault="001F45F0" w:rsidP="001F45F0">
      <w:pPr>
        <w:pBdr>
          <w:top w:val="single" w:sz="4" w:space="1" w:color="auto"/>
        </w:pBdr>
        <w:spacing w:before="100" w:line="14" w:lineRule="exact"/>
        <w:ind w:left="1080" w:right="1080"/>
        <w:jc w:val="center"/>
        <w:rPr>
          <w:rFonts w:eastAsia="Times New Roman"/>
          <w:szCs w:val="17"/>
        </w:rPr>
      </w:pPr>
    </w:p>
    <w:p w:rsidR="001F45F0" w:rsidRPr="001F45F0" w:rsidRDefault="001F45F0" w:rsidP="001F45F0">
      <w:pPr>
        <w:jc w:val="center"/>
        <w:rPr>
          <w:smallCaps/>
          <w:szCs w:val="17"/>
        </w:rPr>
      </w:pPr>
      <w:r w:rsidRPr="001F45F0">
        <w:rPr>
          <w:smallCaps/>
          <w:szCs w:val="17"/>
        </w:rPr>
        <w:t>Schedule—Varied Declaration</w:t>
      </w:r>
    </w:p>
    <w:p w:rsidR="001F45F0" w:rsidRPr="001F45F0" w:rsidRDefault="001F45F0" w:rsidP="001F45F0">
      <w:pPr>
        <w:rPr>
          <w:rFonts w:eastAsia="Times New Roman"/>
          <w:i/>
          <w:szCs w:val="17"/>
        </w:rPr>
      </w:pPr>
      <w:r w:rsidRPr="001F45F0">
        <w:rPr>
          <w:rFonts w:eastAsia="Times New Roman"/>
          <w:i/>
          <w:szCs w:val="17"/>
        </w:rPr>
        <w:t>Preamble</w:t>
      </w:r>
    </w:p>
    <w:p w:rsidR="001F45F0" w:rsidRPr="001F45F0" w:rsidRDefault="001F45F0" w:rsidP="001F45F0">
      <w:pPr>
        <w:rPr>
          <w:rFonts w:eastAsia="Times New Roman"/>
          <w:szCs w:val="17"/>
        </w:rPr>
      </w:pPr>
      <w:r w:rsidRPr="001F45F0">
        <w:rPr>
          <w:rFonts w:eastAsia="Times New Roman"/>
          <w:szCs w:val="17"/>
        </w:rPr>
        <w:t xml:space="preserve">Subsection (1) of Section 46 of the </w:t>
      </w:r>
      <w:r w:rsidRPr="001F45F0">
        <w:rPr>
          <w:rFonts w:eastAsia="Times New Roman"/>
          <w:i/>
          <w:szCs w:val="17"/>
        </w:rPr>
        <w:t>Development Act 1993</w:t>
      </w:r>
      <w:r w:rsidRPr="001F45F0">
        <w:rPr>
          <w:rFonts w:eastAsia="Times New Roman"/>
          <w:szCs w:val="17"/>
        </w:rPr>
        <w:t>, allows the Minister for Planning and local Government to apply that section to a specified kind of development or project if the Minister is of the opinion that a declaration under that section is appropriate or necessary for the proper assessment of development or a project of major environmental, social or economic importance.</w:t>
      </w:r>
    </w:p>
    <w:p w:rsidR="001F45F0" w:rsidRPr="001F45F0" w:rsidRDefault="001F45F0" w:rsidP="001F45F0">
      <w:pPr>
        <w:jc w:val="center"/>
        <w:rPr>
          <w:smallCaps/>
          <w:szCs w:val="17"/>
        </w:rPr>
      </w:pPr>
      <w:r w:rsidRPr="001F45F0">
        <w:rPr>
          <w:smallCaps/>
          <w:szCs w:val="17"/>
        </w:rPr>
        <w:t>Notice</w:t>
      </w:r>
    </w:p>
    <w:p w:rsidR="001F45F0" w:rsidRPr="001F45F0" w:rsidRDefault="001F45F0" w:rsidP="001F45F0">
      <w:pPr>
        <w:rPr>
          <w:rFonts w:eastAsia="Times New Roman"/>
          <w:szCs w:val="17"/>
        </w:rPr>
      </w:pPr>
      <w:r w:rsidRPr="001F45F0">
        <w:rPr>
          <w:rFonts w:eastAsia="Times New Roman"/>
          <w:szCs w:val="17"/>
        </w:rPr>
        <w:t xml:space="preserve">PURSUANT to Section 46(1)(a) of the </w:t>
      </w:r>
      <w:r w:rsidRPr="001F45F0">
        <w:rPr>
          <w:rFonts w:eastAsia="Times New Roman"/>
          <w:i/>
          <w:szCs w:val="17"/>
        </w:rPr>
        <w:t>Development Act 1993</w:t>
      </w:r>
      <w:r w:rsidRPr="001F45F0">
        <w:rPr>
          <w:rFonts w:eastAsia="Times New Roman"/>
          <w:szCs w:val="17"/>
        </w:rPr>
        <w:t>, being of the opinion that a declaration under Section 46 of the Act is appropriate for the proper assessment of a development of major environmental, and social and economic importance, I declare that Section 46 of the Act applies to any development of a kind specified in Schedule 1, in that part of the State specified in Schedule 2:</w:t>
      </w:r>
    </w:p>
    <w:p w:rsidR="001F45F0" w:rsidRPr="001F45F0" w:rsidRDefault="001F45F0" w:rsidP="001F45F0">
      <w:pPr>
        <w:jc w:val="center"/>
        <w:rPr>
          <w:smallCaps/>
          <w:szCs w:val="17"/>
        </w:rPr>
      </w:pPr>
      <w:r w:rsidRPr="001F45F0">
        <w:rPr>
          <w:smallCaps/>
          <w:szCs w:val="17"/>
        </w:rPr>
        <w:t>Schedule 1</w:t>
      </w:r>
    </w:p>
    <w:p w:rsidR="001F45F0" w:rsidRPr="001F45F0" w:rsidRDefault="001F45F0" w:rsidP="001F45F0">
      <w:pPr>
        <w:jc w:val="center"/>
        <w:rPr>
          <w:i/>
          <w:szCs w:val="17"/>
        </w:rPr>
      </w:pPr>
      <w:r w:rsidRPr="001F45F0">
        <w:rPr>
          <w:i/>
          <w:szCs w:val="17"/>
        </w:rPr>
        <w:t>Specified Kinds of Development</w:t>
      </w:r>
    </w:p>
    <w:p w:rsidR="001F45F0" w:rsidRPr="001F45F0" w:rsidRDefault="001F45F0" w:rsidP="001F45F0">
      <w:pPr>
        <w:rPr>
          <w:rFonts w:eastAsia="Times New Roman"/>
          <w:szCs w:val="17"/>
        </w:rPr>
      </w:pPr>
      <w:r w:rsidRPr="001F45F0">
        <w:rPr>
          <w:rFonts w:eastAsia="Times New Roman"/>
          <w:szCs w:val="17"/>
        </w:rPr>
        <w:t xml:space="preserve">Development directly associated with the staged establishment and operation of an orbital space launch facility at Whalers Way, Sleaford </w:t>
      </w:r>
      <w:r w:rsidRPr="001F45F0">
        <w:rPr>
          <w:rFonts w:eastAsia="Times New Roman"/>
          <w:spacing w:val="-4"/>
          <w:szCs w:val="17"/>
        </w:rPr>
        <w:t>(land as described in Schedule 2), being 25 kilometres south-west of Port Lincoln on Eyre Peninsula, including any or all of the following elements:</w:t>
      </w:r>
    </w:p>
    <w:p w:rsidR="001F45F0" w:rsidRPr="001F45F0" w:rsidRDefault="001F45F0" w:rsidP="001F45F0">
      <w:pPr>
        <w:ind w:left="567" w:hanging="425"/>
        <w:rPr>
          <w:rFonts w:eastAsia="Times New Roman"/>
          <w:szCs w:val="17"/>
        </w:rPr>
      </w:pPr>
      <w:r w:rsidRPr="001F45F0">
        <w:rPr>
          <w:rFonts w:eastAsia="Times New Roman"/>
          <w:szCs w:val="17"/>
        </w:rPr>
        <w:t>(a)</w:t>
      </w:r>
      <w:r w:rsidRPr="001F45F0">
        <w:rPr>
          <w:rFonts w:eastAsia="Times New Roman"/>
          <w:szCs w:val="17"/>
        </w:rPr>
        <w:tab/>
        <w:t>all activities and works associated with the construction and operation of an orbital space launch facility, and associated infrastructure, in that part of the State specified in Schedule 2, including:</w:t>
      </w:r>
    </w:p>
    <w:p w:rsidR="001F45F0" w:rsidRPr="001F45F0" w:rsidRDefault="001F45F0" w:rsidP="001F45F0">
      <w:pPr>
        <w:ind w:left="993" w:hanging="425"/>
        <w:rPr>
          <w:rFonts w:eastAsia="Times New Roman"/>
          <w:szCs w:val="17"/>
        </w:rPr>
      </w:pPr>
      <w:r w:rsidRPr="001F45F0">
        <w:rPr>
          <w:rFonts w:eastAsia="Times New Roman"/>
          <w:szCs w:val="17"/>
        </w:rPr>
        <w:t>(i)</w:t>
      </w:r>
      <w:r w:rsidRPr="001F45F0">
        <w:rPr>
          <w:rFonts w:eastAsia="Times New Roman"/>
          <w:szCs w:val="17"/>
        </w:rPr>
        <w:tab/>
        <w:t>launch pads;</w:t>
      </w:r>
    </w:p>
    <w:p w:rsidR="001F45F0" w:rsidRPr="001F45F0" w:rsidRDefault="001F45F0" w:rsidP="001F45F0">
      <w:pPr>
        <w:ind w:left="993" w:hanging="425"/>
        <w:rPr>
          <w:rFonts w:eastAsia="Times New Roman"/>
          <w:szCs w:val="17"/>
        </w:rPr>
      </w:pPr>
      <w:r w:rsidRPr="001F45F0">
        <w:rPr>
          <w:rFonts w:eastAsia="Times New Roman"/>
          <w:szCs w:val="17"/>
        </w:rPr>
        <w:t>(ii)</w:t>
      </w:r>
      <w:r w:rsidRPr="001F45F0">
        <w:rPr>
          <w:rFonts w:eastAsia="Times New Roman"/>
          <w:szCs w:val="17"/>
        </w:rPr>
        <w:tab/>
        <w:t>assembly facilities (both temporary and permanent);</w:t>
      </w:r>
    </w:p>
    <w:p w:rsidR="001F45F0" w:rsidRPr="001F45F0" w:rsidRDefault="001F45F0" w:rsidP="001F45F0">
      <w:pPr>
        <w:ind w:left="993" w:hanging="425"/>
        <w:rPr>
          <w:rFonts w:eastAsia="Times New Roman"/>
          <w:szCs w:val="17"/>
        </w:rPr>
      </w:pPr>
      <w:r w:rsidRPr="001F45F0">
        <w:rPr>
          <w:rFonts w:eastAsia="Times New Roman"/>
          <w:szCs w:val="17"/>
        </w:rPr>
        <w:t>(iii)</w:t>
      </w:r>
      <w:r w:rsidRPr="001F45F0">
        <w:rPr>
          <w:rFonts w:eastAsia="Times New Roman"/>
          <w:szCs w:val="17"/>
        </w:rPr>
        <w:tab/>
        <w:t>secure block houses, blast walls and firing bunkers;</w:t>
      </w:r>
    </w:p>
    <w:p w:rsidR="001F45F0" w:rsidRPr="001F45F0" w:rsidRDefault="001F45F0" w:rsidP="001F45F0">
      <w:pPr>
        <w:ind w:left="993" w:hanging="425"/>
        <w:rPr>
          <w:rFonts w:eastAsia="Times New Roman"/>
          <w:szCs w:val="17"/>
        </w:rPr>
      </w:pPr>
      <w:r w:rsidRPr="001F45F0">
        <w:rPr>
          <w:rFonts w:eastAsia="Times New Roman"/>
          <w:szCs w:val="17"/>
        </w:rPr>
        <w:t>(iv)</w:t>
      </w:r>
      <w:r w:rsidRPr="001F45F0">
        <w:rPr>
          <w:rFonts w:eastAsia="Times New Roman"/>
          <w:szCs w:val="17"/>
        </w:rPr>
        <w:tab/>
        <w:t>lightening rods and anemometer towers;</w:t>
      </w:r>
    </w:p>
    <w:p w:rsidR="001F45F0" w:rsidRPr="001F45F0" w:rsidRDefault="001F45F0" w:rsidP="001F45F0">
      <w:pPr>
        <w:ind w:left="993" w:hanging="425"/>
        <w:rPr>
          <w:rFonts w:eastAsia="Times New Roman"/>
          <w:szCs w:val="17"/>
        </w:rPr>
      </w:pPr>
      <w:r w:rsidRPr="001F45F0">
        <w:rPr>
          <w:rFonts w:eastAsia="Times New Roman"/>
          <w:szCs w:val="17"/>
        </w:rPr>
        <w:t>(v)</w:t>
      </w:r>
      <w:r w:rsidRPr="001F45F0">
        <w:rPr>
          <w:rFonts w:eastAsia="Times New Roman"/>
          <w:szCs w:val="17"/>
        </w:rPr>
        <w:tab/>
        <w:t>propellant (liquid, hybrid and solid) storage;</w:t>
      </w:r>
    </w:p>
    <w:p w:rsidR="001F45F0" w:rsidRPr="001F45F0" w:rsidRDefault="001F45F0" w:rsidP="001F45F0">
      <w:pPr>
        <w:ind w:left="993" w:hanging="425"/>
        <w:rPr>
          <w:rFonts w:eastAsia="Times New Roman"/>
          <w:szCs w:val="17"/>
        </w:rPr>
      </w:pPr>
      <w:r w:rsidRPr="001F45F0">
        <w:rPr>
          <w:rFonts w:eastAsia="Times New Roman"/>
          <w:szCs w:val="17"/>
        </w:rPr>
        <w:t>(vi)</w:t>
      </w:r>
      <w:r w:rsidRPr="001F45F0">
        <w:rPr>
          <w:rFonts w:eastAsia="Times New Roman"/>
          <w:szCs w:val="17"/>
        </w:rPr>
        <w:tab/>
        <w:t xml:space="preserve">diesel power generators and solar arrays; </w:t>
      </w:r>
    </w:p>
    <w:p w:rsidR="001F45F0" w:rsidRPr="001F45F0" w:rsidRDefault="001F45F0" w:rsidP="001F45F0">
      <w:pPr>
        <w:ind w:left="993" w:hanging="425"/>
        <w:rPr>
          <w:rFonts w:eastAsia="Times New Roman"/>
          <w:szCs w:val="17"/>
        </w:rPr>
      </w:pPr>
      <w:r w:rsidRPr="001F45F0">
        <w:rPr>
          <w:rFonts w:eastAsia="Times New Roman"/>
          <w:szCs w:val="17"/>
        </w:rPr>
        <w:t>(vii)</w:t>
      </w:r>
      <w:r w:rsidRPr="001F45F0">
        <w:rPr>
          <w:rFonts w:eastAsia="Times New Roman"/>
          <w:szCs w:val="17"/>
        </w:rPr>
        <w:tab/>
        <w:t>bunding for blast wave deflection;</w:t>
      </w:r>
    </w:p>
    <w:p w:rsidR="001F45F0" w:rsidRPr="001F45F0" w:rsidRDefault="001F45F0" w:rsidP="001F45F0">
      <w:pPr>
        <w:ind w:left="993" w:hanging="425"/>
        <w:rPr>
          <w:rFonts w:eastAsia="Times New Roman"/>
          <w:szCs w:val="17"/>
        </w:rPr>
      </w:pPr>
      <w:r w:rsidRPr="001F45F0">
        <w:rPr>
          <w:rFonts w:eastAsia="Times New Roman"/>
          <w:szCs w:val="17"/>
        </w:rPr>
        <w:t>(viii)</w:t>
      </w:r>
      <w:r w:rsidRPr="001F45F0">
        <w:rPr>
          <w:rFonts w:eastAsia="Times New Roman"/>
          <w:szCs w:val="17"/>
        </w:rPr>
        <w:tab/>
        <w:t>office, laboratory and research related facilities;</w:t>
      </w:r>
    </w:p>
    <w:p w:rsidR="001F45F0" w:rsidRPr="001F45F0" w:rsidRDefault="001F45F0" w:rsidP="001F45F0">
      <w:pPr>
        <w:ind w:left="993" w:hanging="425"/>
        <w:rPr>
          <w:rFonts w:eastAsia="Times New Roman"/>
          <w:szCs w:val="17"/>
        </w:rPr>
      </w:pPr>
      <w:r w:rsidRPr="001F45F0">
        <w:rPr>
          <w:rFonts w:eastAsia="Times New Roman"/>
          <w:szCs w:val="17"/>
        </w:rPr>
        <w:t>(ix)</w:t>
      </w:r>
      <w:r w:rsidRPr="001F45F0">
        <w:rPr>
          <w:rFonts w:eastAsia="Times New Roman"/>
          <w:szCs w:val="17"/>
        </w:rPr>
        <w:tab/>
        <w:t>visitor viewing facilities; and</w:t>
      </w:r>
    </w:p>
    <w:p w:rsidR="001F45F0" w:rsidRPr="001F45F0" w:rsidRDefault="001F45F0" w:rsidP="001F45F0">
      <w:pPr>
        <w:ind w:left="993" w:hanging="425"/>
        <w:rPr>
          <w:rFonts w:eastAsia="Times New Roman"/>
          <w:szCs w:val="17"/>
        </w:rPr>
      </w:pPr>
      <w:r w:rsidRPr="001F45F0">
        <w:rPr>
          <w:rFonts w:eastAsia="Times New Roman"/>
          <w:szCs w:val="17"/>
        </w:rPr>
        <w:t>(x)</w:t>
      </w:r>
      <w:r w:rsidRPr="001F45F0">
        <w:rPr>
          <w:rFonts w:eastAsia="Times New Roman"/>
          <w:szCs w:val="17"/>
        </w:rPr>
        <w:tab/>
        <w:t>road transport access;</w:t>
      </w:r>
    </w:p>
    <w:p w:rsidR="001F45F0" w:rsidRPr="001F45F0" w:rsidRDefault="001F45F0" w:rsidP="001F45F0">
      <w:pPr>
        <w:ind w:left="567" w:hanging="425"/>
        <w:rPr>
          <w:rFonts w:eastAsia="Times New Roman"/>
          <w:szCs w:val="17"/>
        </w:rPr>
      </w:pPr>
      <w:r w:rsidRPr="001F45F0">
        <w:rPr>
          <w:rFonts w:eastAsia="Times New Roman"/>
          <w:szCs w:val="17"/>
        </w:rPr>
        <w:t>(b)</w:t>
      </w:r>
      <w:r w:rsidRPr="001F45F0">
        <w:rPr>
          <w:rFonts w:eastAsia="Times New Roman"/>
          <w:szCs w:val="17"/>
        </w:rPr>
        <w:tab/>
        <w:t>any change in the use of land associated with any development within the ambit of paragraphs (a);</w:t>
      </w:r>
    </w:p>
    <w:p w:rsidR="001F45F0" w:rsidRPr="001F45F0" w:rsidRDefault="001F45F0" w:rsidP="001F45F0">
      <w:pPr>
        <w:ind w:left="567" w:hanging="425"/>
        <w:rPr>
          <w:rFonts w:eastAsia="Times New Roman"/>
          <w:szCs w:val="17"/>
        </w:rPr>
      </w:pPr>
      <w:r w:rsidRPr="001F45F0">
        <w:rPr>
          <w:rFonts w:eastAsia="Times New Roman"/>
          <w:szCs w:val="17"/>
        </w:rPr>
        <w:t>(c)</w:t>
      </w:r>
      <w:r w:rsidRPr="001F45F0">
        <w:rPr>
          <w:rFonts w:eastAsia="Times New Roman"/>
          <w:szCs w:val="17"/>
        </w:rPr>
        <w:tab/>
        <w:t xml:space="preserve">the undertaking of works for the purposes of, or otherwise related to; roads, parking, stormwater, water supply, fuel storage, power supply, telecommunications, fire suppression, perimeter fencing and effluent treatment in connection with the development; </w:t>
      </w:r>
    </w:p>
    <w:p w:rsidR="001F45F0" w:rsidRPr="001F45F0" w:rsidRDefault="001F45F0" w:rsidP="001F45F0">
      <w:pPr>
        <w:ind w:left="567" w:hanging="425"/>
        <w:rPr>
          <w:rFonts w:eastAsia="Times New Roman"/>
          <w:szCs w:val="17"/>
        </w:rPr>
      </w:pPr>
      <w:r w:rsidRPr="001F45F0">
        <w:rPr>
          <w:rFonts w:eastAsia="Times New Roman"/>
          <w:szCs w:val="17"/>
        </w:rPr>
        <w:t>(d)</w:t>
      </w:r>
      <w:r w:rsidRPr="001F45F0">
        <w:rPr>
          <w:rFonts w:eastAsia="Times New Roman"/>
          <w:szCs w:val="17"/>
        </w:rPr>
        <w:tab/>
        <w:t>any associated excavation and filling of land;</w:t>
      </w:r>
    </w:p>
    <w:p w:rsidR="001F45F0" w:rsidRPr="001F45F0" w:rsidRDefault="001F45F0" w:rsidP="001F45F0">
      <w:pPr>
        <w:ind w:left="567" w:hanging="425"/>
        <w:rPr>
          <w:rFonts w:eastAsia="Times New Roman"/>
          <w:szCs w:val="17"/>
        </w:rPr>
      </w:pPr>
      <w:r w:rsidRPr="001F45F0">
        <w:rPr>
          <w:rFonts w:eastAsia="Times New Roman"/>
          <w:szCs w:val="17"/>
        </w:rPr>
        <w:t>(e)</w:t>
      </w:r>
      <w:r w:rsidRPr="001F45F0">
        <w:rPr>
          <w:rFonts w:eastAsia="Times New Roman"/>
          <w:szCs w:val="17"/>
        </w:rPr>
        <w:tab/>
        <w:t>the division of land by lease associated with the development; and</w:t>
      </w:r>
    </w:p>
    <w:p w:rsidR="001F45F0" w:rsidRPr="001F45F0" w:rsidRDefault="001F45F0" w:rsidP="001F45F0">
      <w:pPr>
        <w:ind w:left="567" w:hanging="425"/>
        <w:rPr>
          <w:rFonts w:eastAsia="Times New Roman"/>
          <w:szCs w:val="17"/>
        </w:rPr>
      </w:pPr>
      <w:r w:rsidRPr="001F45F0">
        <w:rPr>
          <w:rFonts w:eastAsia="Times New Roman"/>
          <w:szCs w:val="17"/>
        </w:rPr>
        <w:t>(f)</w:t>
      </w:r>
      <w:r w:rsidRPr="001F45F0">
        <w:rPr>
          <w:rFonts w:eastAsia="Times New Roman"/>
          <w:szCs w:val="17"/>
        </w:rPr>
        <w:tab/>
        <w:t>any related or ancillary development associated with the development within the ambit of preceding paragraphs.</w:t>
      </w:r>
    </w:p>
    <w:p w:rsidR="001F45F0" w:rsidRPr="001F45F0" w:rsidRDefault="001F45F0" w:rsidP="001F45F0">
      <w:pPr>
        <w:rPr>
          <w:rFonts w:eastAsia="Times New Roman"/>
          <w:szCs w:val="17"/>
        </w:rPr>
      </w:pPr>
      <w:r w:rsidRPr="001F45F0">
        <w:rPr>
          <w:rFonts w:eastAsia="Times New Roman"/>
          <w:szCs w:val="17"/>
        </w:rPr>
        <w:t>But Excluding:</w:t>
      </w:r>
    </w:p>
    <w:p w:rsidR="001F45F0" w:rsidRPr="001F45F0" w:rsidRDefault="001F45F0" w:rsidP="001F45F0">
      <w:pPr>
        <w:ind w:left="567" w:hanging="425"/>
        <w:rPr>
          <w:rFonts w:eastAsia="Times New Roman"/>
          <w:szCs w:val="17"/>
        </w:rPr>
      </w:pPr>
      <w:r w:rsidRPr="001F45F0">
        <w:rPr>
          <w:rFonts w:eastAsia="Times New Roman"/>
          <w:szCs w:val="17"/>
        </w:rPr>
        <w:t>(a)</w:t>
      </w:r>
      <w:r w:rsidRPr="001F45F0">
        <w:rPr>
          <w:rFonts w:eastAsia="Times New Roman"/>
          <w:szCs w:val="17"/>
        </w:rPr>
        <w:tab/>
        <w:t>Development for the purposes of establishing and carrying out three test rocket launches up until 31 December 2021.</w:t>
      </w:r>
    </w:p>
    <w:p w:rsidR="001F45F0" w:rsidRPr="001F45F0" w:rsidRDefault="001F45F0" w:rsidP="001F45F0">
      <w:pPr>
        <w:jc w:val="center"/>
        <w:rPr>
          <w:smallCaps/>
          <w:szCs w:val="17"/>
        </w:rPr>
      </w:pPr>
      <w:r w:rsidRPr="001F45F0">
        <w:rPr>
          <w:smallCaps/>
          <w:szCs w:val="17"/>
        </w:rPr>
        <w:t>Schedule 2</w:t>
      </w:r>
    </w:p>
    <w:p w:rsidR="001F45F0" w:rsidRPr="001F45F0" w:rsidRDefault="001F45F0" w:rsidP="001F45F0">
      <w:pPr>
        <w:jc w:val="center"/>
        <w:rPr>
          <w:i/>
          <w:szCs w:val="17"/>
        </w:rPr>
      </w:pPr>
      <w:r w:rsidRPr="001F45F0">
        <w:rPr>
          <w:i/>
          <w:szCs w:val="17"/>
        </w:rPr>
        <w:t>Location of Development</w:t>
      </w:r>
    </w:p>
    <w:p w:rsidR="001F45F0" w:rsidRPr="001F45F0" w:rsidRDefault="001F45F0" w:rsidP="001F45F0">
      <w:pPr>
        <w:rPr>
          <w:rFonts w:eastAsia="Times New Roman"/>
          <w:szCs w:val="17"/>
        </w:rPr>
      </w:pPr>
      <w:r w:rsidRPr="001F45F0">
        <w:rPr>
          <w:rFonts w:eastAsia="Times New Roman"/>
          <w:szCs w:val="17"/>
        </w:rPr>
        <w:t>The following part of the State is specified for the purposes of Schedule 1:</w:t>
      </w:r>
    </w:p>
    <w:p w:rsidR="001F45F0" w:rsidRPr="001F45F0" w:rsidRDefault="001F45F0" w:rsidP="001F45F0">
      <w:pPr>
        <w:ind w:left="567" w:hanging="425"/>
        <w:rPr>
          <w:rFonts w:eastAsia="Times New Roman"/>
          <w:szCs w:val="17"/>
        </w:rPr>
      </w:pPr>
      <w:r w:rsidRPr="001F45F0">
        <w:rPr>
          <w:rFonts w:eastAsia="Times New Roman"/>
          <w:szCs w:val="17"/>
        </w:rPr>
        <w:t>(a)</w:t>
      </w:r>
      <w:r w:rsidRPr="001F45F0">
        <w:rPr>
          <w:rFonts w:eastAsia="Times New Roman"/>
          <w:szCs w:val="17"/>
        </w:rPr>
        <w:tab/>
        <w:t>Allotment 101 in Deposited Plan 71437, Hundred of Sleaford, Certificate of Title Volume 5993, Folio 374.</w:t>
      </w:r>
    </w:p>
    <w:p w:rsidR="001F45F0" w:rsidRPr="001F45F0" w:rsidRDefault="001F45F0" w:rsidP="001F45F0">
      <w:pPr>
        <w:spacing w:after="0"/>
        <w:rPr>
          <w:rFonts w:eastAsia="Times New Roman"/>
          <w:szCs w:val="17"/>
        </w:rPr>
      </w:pPr>
      <w:r w:rsidRPr="001F45F0">
        <w:rPr>
          <w:rFonts w:eastAsia="Times New Roman"/>
          <w:szCs w:val="17"/>
        </w:rPr>
        <w:t>Dated: 20 April 2021</w:t>
      </w:r>
    </w:p>
    <w:p w:rsidR="001F45F0" w:rsidRPr="001F45F0" w:rsidRDefault="001F45F0" w:rsidP="001F45F0">
      <w:pPr>
        <w:spacing w:after="0"/>
        <w:jc w:val="right"/>
        <w:rPr>
          <w:rFonts w:eastAsia="Times New Roman"/>
          <w:smallCaps/>
          <w:szCs w:val="20"/>
        </w:rPr>
      </w:pPr>
      <w:r w:rsidRPr="001F45F0">
        <w:rPr>
          <w:rFonts w:eastAsia="Times New Roman"/>
          <w:smallCaps/>
          <w:szCs w:val="20"/>
        </w:rPr>
        <w:t>Hon Vickie Chapman MP</w:t>
      </w:r>
    </w:p>
    <w:p w:rsidR="0050342F" w:rsidRDefault="001F45F0" w:rsidP="0050342F">
      <w:pPr>
        <w:spacing w:after="0"/>
        <w:jc w:val="right"/>
        <w:rPr>
          <w:rFonts w:eastAsia="Times New Roman"/>
          <w:szCs w:val="17"/>
        </w:rPr>
      </w:pPr>
      <w:r w:rsidRPr="001F45F0">
        <w:rPr>
          <w:rFonts w:eastAsia="Times New Roman"/>
          <w:szCs w:val="17"/>
        </w:rPr>
        <w:t>Minister for Planning and Local Government</w:t>
      </w:r>
    </w:p>
    <w:p w:rsidR="0050342F" w:rsidRDefault="0050342F" w:rsidP="0050342F">
      <w:pPr>
        <w:pBdr>
          <w:bottom w:val="single" w:sz="4" w:space="1" w:color="auto"/>
        </w:pBdr>
        <w:spacing w:after="0" w:line="52" w:lineRule="exact"/>
        <w:jc w:val="center"/>
        <w:rPr>
          <w:rFonts w:eastAsia="Times New Roman"/>
          <w:szCs w:val="17"/>
        </w:rPr>
      </w:pPr>
    </w:p>
    <w:p w:rsidR="0050342F" w:rsidRDefault="0050342F" w:rsidP="0050342F">
      <w:pPr>
        <w:pBdr>
          <w:top w:val="single" w:sz="4" w:space="1" w:color="auto"/>
        </w:pBdr>
        <w:spacing w:before="34" w:after="0" w:line="14" w:lineRule="exact"/>
        <w:jc w:val="center"/>
        <w:rPr>
          <w:rFonts w:eastAsia="Times New Roman"/>
          <w:szCs w:val="17"/>
        </w:rPr>
      </w:pPr>
    </w:p>
    <w:p w:rsidR="001F45F0" w:rsidRDefault="001F45F0" w:rsidP="005034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Pr>
          <w:rFonts w:eastAsia="Times New Roman"/>
          <w:szCs w:val="17"/>
        </w:rPr>
        <w:br w:type="page"/>
      </w:r>
    </w:p>
    <w:p w:rsidR="008C121E" w:rsidRPr="008C121E" w:rsidRDefault="008C121E" w:rsidP="00051940">
      <w:pPr>
        <w:pStyle w:val="Heading2"/>
      </w:pPr>
      <w:bookmarkStart w:id="31" w:name="_Toc69916963"/>
      <w:r w:rsidRPr="008C121E">
        <w:lastRenderedPageBreak/>
        <w:t>Education And Children’s Services Regulations 2020</w:t>
      </w:r>
      <w:bookmarkEnd w:id="31"/>
    </w:p>
    <w:p w:rsidR="008C121E" w:rsidRPr="008C121E" w:rsidRDefault="008C121E" w:rsidP="008C121E">
      <w:pPr>
        <w:jc w:val="center"/>
        <w:rPr>
          <w:i/>
          <w:szCs w:val="17"/>
        </w:rPr>
      </w:pPr>
      <w:r w:rsidRPr="008C121E">
        <w:rPr>
          <w:i/>
          <w:szCs w:val="17"/>
        </w:rPr>
        <w:t>Notice of Policy by the Minister for Education</w:t>
      </w:r>
    </w:p>
    <w:p w:rsidR="008C121E" w:rsidRPr="008C121E" w:rsidRDefault="008C121E" w:rsidP="008C121E">
      <w:pPr>
        <w:rPr>
          <w:rFonts w:eastAsia="Times New Roman"/>
          <w:szCs w:val="17"/>
        </w:rPr>
      </w:pPr>
      <w:r w:rsidRPr="008C121E">
        <w:rPr>
          <w:rFonts w:eastAsia="Times New Roman"/>
          <w:szCs w:val="17"/>
        </w:rPr>
        <w:t xml:space="preserve">PURSUANT to Regulation 12(1) of the Education and </w:t>
      </w:r>
      <w:r w:rsidRPr="008C121E">
        <w:rPr>
          <w:rFonts w:eastAsia="Times New Roman"/>
          <w:i/>
          <w:szCs w:val="17"/>
        </w:rPr>
        <w:t>Children’s Services Regulations 2020</w:t>
      </w:r>
      <w:r w:rsidRPr="008C121E">
        <w:rPr>
          <w:rFonts w:eastAsia="Times New Roman"/>
          <w:szCs w:val="17"/>
        </w:rPr>
        <w:t>, I, the Minister for Education publish the following Capacity Management Plan for the purposes of the enrolment of a child at Adelaide Botanic High School:</w:t>
      </w:r>
    </w:p>
    <w:p w:rsidR="008C121E" w:rsidRPr="008C121E" w:rsidRDefault="008C121E" w:rsidP="008C121E">
      <w:pPr>
        <w:jc w:val="center"/>
        <w:rPr>
          <w:b/>
          <w:caps/>
          <w:szCs w:val="17"/>
        </w:rPr>
      </w:pPr>
      <w:r w:rsidRPr="008C121E">
        <w:rPr>
          <w:b/>
          <w:caps/>
          <w:szCs w:val="17"/>
        </w:rPr>
        <w:t>CAPACITY MANAGEMENT PLAN</w:t>
      </w:r>
    </w:p>
    <w:p w:rsidR="008C121E" w:rsidRPr="008C121E" w:rsidRDefault="008C121E" w:rsidP="008C121E">
      <w:pPr>
        <w:jc w:val="center"/>
        <w:rPr>
          <w:i/>
          <w:szCs w:val="17"/>
        </w:rPr>
      </w:pPr>
      <w:r w:rsidRPr="008C121E">
        <w:rPr>
          <w:i/>
          <w:szCs w:val="17"/>
        </w:rPr>
        <w:t>Adelaide Botanic High School</w:t>
      </w:r>
    </w:p>
    <w:p w:rsidR="008C121E" w:rsidRPr="008C121E" w:rsidRDefault="008C121E" w:rsidP="008C121E">
      <w:pPr>
        <w:rPr>
          <w:rFonts w:eastAsia="Times New Roman"/>
          <w:szCs w:val="17"/>
        </w:rPr>
      </w:pPr>
      <w:r w:rsidRPr="008C121E">
        <w:rPr>
          <w:rFonts w:eastAsia="Times New Roman"/>
          <w:szCs w:val="17"/>
        </w:rPr>
        <w:t>This Capacity Management Plan sets out the conditions for enrolment at Adelaide Botanic High School (“the school”).</w:t>
      </w:r>
    </w:p>
    <w:p w:rsidR="008C121E" w:rsidRPr="008C121E" w:rsidRDefault="008C121E" w:rsidP="008C121E">
      <w:pPr>
        <w:rPr>
          <w:rFonts w:eastAsia="Times New Roman"/>
          <w:b/>
          <w:szCs w:val="17"/>
        </w:rPr>
      </w:pPr>
      <w:r w:rsidRPr="008C121E">
        <w:rPr>
          <w:rFonts w:eastAsia="Times New Roman"/>
          <w:b/>
          <w:szCs w:val="17"/>
        </w:rPr>
        <w:t>Adelaide Botanic High School zone</w:t>
      </w:r>
    </w:p>
    <w:p w:rsidR="008C121E" w:rsidRPr="008C121E" w:rsidRDefault="008C121E" w:rsidP="008C121E">
      <w:pPr>
        <w:rPr>
          <w:rFonts w:eastAsia="Times New Roman"/>
          <w:szCs w:val="17"/>
        </w:rPr>
      </w:pPr>
      <w:r w:rsidRPr="008C121E">
        <w:rPr>
          <w:rFonts w:eastAsia="Times New Roman"/>
          <w:szCs w:val="17"/>
        </w:rPr>
        <w:t>A school zone is a defined area from which the school accepts its core intake of students. From the start of the 2020 school year, Adelaide Botanic High School operates a shared school zone with Adelaide High School, within the area bounded by:</w:t>
      </w:r>
    </w:p>
    <w:p w:rsidR="008C121E" w:rsidRPr="008C121E" w:rsidRDefault="008C121E" w:rsidP="008C121E">
      <w:pPr>
        <w:rPr>
          <w:rFonts w:eastAsia="Times New Roman"/>
          <w:szCs w:val="17"/>
        </w:rPr>
      </w:pPr>
      <w:r w:rsidRPr="008C121E">
        <w:rPr>
          <w:rFonts w:eastAsia="Times New Roman"/>
          <w:szCs w:val="17"/>
        </w:rPr>
        <w:t>The entire suburbs of Prospect, Nailsworth, Collinswood, Walkerville, Medindie Gardens, Medindie, Thorngate, Fitzroy, North Adelaide, Adelaide, Gilberton, Hackney, College Park, Stepney, Maylands, Everard Park, Ashford, Keswick, Mile End South, Keswick Terminal, Thebarton, Hindmarsh, Brompton, Bowden and Ovingham.</w:t>
      </w:r>
    </w:p>
    <w:p w:rsidR="008C121E" w:rsidRPr="008C121E" w:rsidRDefault="008C121E" w:rsidP="008C121E">
      <w:pPr>
        <w:rPr>
          <w:rFonts w:eastAsia="Times New Roman"/>
          <w:szCs w:val="17"/>
        </w:rPr>
      </w:pPr>
      <w:r w:rsidRPr="008C121E">
        <w:rPr>
          <w:rFonts w:eastAsia="Times New Roman"/>
          <w:szCs w:val="17"/>
        </w:rPr>
        <w:t>The part suburbs of St Peters (properties located to the south west of Winchester Street), Wayville (properties located to the west of the Adelaide to Glenelg tram line), Goodwood (properties located to the west of the Adelaide to Glenelg tram line), Forestville (properties located to the west of the Adelaide to Glenelg tram line) and Mile End (properties located to the east of South Road).</w:t>
      </w:r>
    </w:p>
    <w:p w:rsidR="008C121E" w:rsidRPr="008C121E" w:rsidRDefault="008C121E" w:rsidP="008C121E">
      <w:pPr>
        <w:rPr>
          <w:rFonts w:eastAsia="Times New Roman"/>
          <w:szCs w:val="17"/>
        </w:rPr>
      </w:pPr>
      <w:r w:rsidRPr="008C121E">
        <w:rPr>
          <w:rFonts w:eastAsia="Times New Roman"/>
          <w:szCs w:val="17"/>
        </w:rPr>
        <w:t>Families living in the shared school zone wishing to enrol their children at Adelaide Botanic High School may be directed to Adelaide High School if capacity is reached in specific year levels or the year level is not currently available.</w:t>
      </w:r>
    </w:p>
    <w:p w:rsidR="008C121E" w:rsidRPr="008C121E" w:rsidRDefault="008C121E" w:rsidP="008C121E">
      <w:pPr>
        <w:rPr>
          <w:rFonts w:eastAsia="Times New Roman"/>
          <w:spacing w:val="2"/>
          <w:szCs w:val="17"/>
        </w:rPr>
      </w:pPr>
      <w:r w:rsidRPr="008C121E">
        <w:rPr>
          <w:rFonts w:eastAsia="Times New Roman"/>
          <w:spacing w:val="2"/>
          <w:szCs w:val="17"/>
        </w:rPr>
        <w:t xml:space="preserve">An online map and a search tool to indicate if an applicant’s home address is within the school zone is available at </w:t>
      </w:r>
      <w:hyperlink r:id="rId20" w:history="1">
        <w:r w:rsidRPr="008C121E">
          <w:rPr>
            <w:rFonts w:eastAsia="Times New Roman"/>
            <w:color w:val="0000FF"/>
            <w:spacing w:val="2"/>
            <w:szCs w:val="17"/>
            <w:u w:val="single"/>
          </w:rPr>
          <w:t>https://www.education.sa.gov.au/findaschool</w:t>
        </w:r>
      </w:hyperlink>
      <w:r w:rsidRPr="008C121E">
        <w:rPr>
          <w:rFonts w:eastAsia="Times New Roman"/>
          <w:spacing w:val="2"/>
          <w:szCs w:val="17"/>
        </w:rPr>
        <w:t>.</w:t>
      </w:r>
    </w:p>
    <w:p w:rsidR="008C121E" w:rsidRPr="008C121E" w:rsidRDefault="008C121E" w:rsidP="008C121E">
      <w:pPr>
        <w:spacing w:after="60"/>
        <w:jc w:val="center"/>
        <w:rPr>
          <w:i/>
          <w:szCs w:val="17"/>
        </w:rPr>
      </w:pPr>
      <w:r w:rsidRPr="008C121E">
        <w:rPr>
          <w:i/>
          <w:szCs w:val="17"/>
        </w:rPr>
        <w:t>Student Enrolment Numbers</w:t>
      </w:r>
    </w:p>
    <w:p w:rsidR="008C121E" w:rsidRPr="008C121E" w:rsidRDefault="008C121E" w:rsidP="008C121E">
      <w:pPr>
        <w:spacing w:after="60"/>
        <w:rPr>
          <w:rFonts w:eastAsia="Times New Roman"/>
          <w:szCs w:val="17"/>
        </w:rPr>
      </w:pPr>
      <w:r w:rsidRPr="008C121E">
        <w:rPr>
          <w:rFonts w:eastAsia="Times New Roman"/>
          <w:szCs w:val="17"/>
        </w:rPr>
        <w:t>Due to the transition of Year 7 to High School there will be an intake of Year 7 and Year 8 students in 2022. From 2023 onwards Year 7 will be the only intake year level.</w:t>
      </w:r>
    </w:p>
    <w:p w:rsidR="008C121E" w:rsidRPr="008C121E" w:rsidRDefault="008C121E" w:rsidP="008C121E">
      <w:pPr>
        <w:spacing w:after="60"/>
        <w:rPr>
          <w:rFonts w:eastAsia="Times New Roman"/>
          <w:b/>
          <w:szCs w:val="17"/>
        </w:rPr>
      </w:pPr>
      <w:r w:rsidRPr="008C121E">
        <w:rPr>
          <w:rFonts w:eastAsia="Times New Roman"/>
          <w:b/>
          <w:szCs w:val="17"/>
        </w:rPr>
        <w:t>Year 7</w:t>
      </w:r>
    </w:p>
    <w:p w:rsidR="008C121E" w:rsidRPr="008C121E" w:rsidRDefault="008C121E" w:rsidP="008C121E">
      <w:pPr>
        <w:spacing w:after="60"/>
        <w:rPr>
          <w:rFonts w:eastAsia="Times New Roman"/>
          <w:spacing w:val="-2"/>
          <w:szCs w:val="17"/>
        </w:rPr>
      </w:pPr>
      <w:r w:rsidRPr="008C121E">
        <w:rPr>
          <w:rFonts w:eastAsia="Times New Roman"/>
          <w:spacing w:val="-4"/>
          <w:szCs w:val="17"/>
        </w:rPr>
        <w:t xml:space="preserve">The student enrolment ceiling for Year 7 in 2022 is limited to </w:t>
      </w:r>
      <w:r w:rsidRPr="008C121E">
        <w:rPr>
          <w:rFonts w:eastAsia="Times New Roman"/>
          <w:b/>
          <w:spacing w:val="-4"/>
          <w:szCs w:val="17"/>
        </w:rPr>
        <w:t>208</w:t>
      </w:r>
      <w:r w:rsidRPr="008C121E">
        <w:rPr>
          <w:rFonts w:eastAsia="Times New Roman"/>
          <w:spacing w:val="-4"/>
          <w:szCs w:val="17"/>
        </w:rPr>
        <w:t>, unless there are more applications that have met the enrolment criteria below.</w:t>
      </w:r>
      <w:r w:rsidRPr="008C121E">
        <w:rPr>
          <w:rFonts w:eastAsia="Times New Roman"/>
          <w:spacing w:val="-2"/>
          <w:szCs w:val="17"/>
        </w:rPr>
        <w:t xml:space="preserve"> </w:t>
      </w:r>
      <w:r w:rsidRPr="008C121E">
        <w:rPr>
          <w:rFonts w:eastAsia="Times New Roman"/>
          <w:szCs w:val="17"/>
        </w:rPr>
        <w:t>If there are more than 208 applications for enrolment that have met the criteria for enrolment below, applicants living in the school zone may be shared with Adelaide High School.</w:t>
      </w:r>
    </w:p>
    <w:p w:rsidR="008C121E" w:rsidRPr="008C121E" w:rsidRDefault="008C121E" w:rsidP="008C121E">
      <w:pPr>
        <w:spacing w:after="60"/>
        <w:rPr>
          <w:rFonts w:eastAsia="Times New Roman"/>
          <w:b/>
          <w:szCs w:val="17"/>
        </w:rPr>
      </w:pPr>
      <w:r w:rsidRPr="008C121E">
        <w:rPr>
          <w:rFonts w:eastAsia="Times New Roman"/>
          <w:b/>
          <w:szCs w:val="17"/>
        </w:rPr>
        <w:t>Year 8</w:t>
      </w:r>
    </w:p>
    <w:p w:rsidR="008C121E" w:rsidRPr="008C121E" w:rsidRDefault="008C121E" w:rsidP="008C121E">
      <w:pPr>
        <w:spacing w:after="60"/>
        <w:rPr>
          <w:rFonts w:eastAsia="Times New Roman"/>
          <w:spacing w:val="-2"/>
          <w:szCs w:val="17"/>
        </w:rPr>
      </w:pPr>
      <w:r w:rsidRPr="008C121E">
        <w:rPr>
          <w:rFonts w:eastAsia="Times New Roman"/>
          <w:spacing w:val="-2"/>
          <w:szCs w:val="17"/>
        </w:rPr>
        <w:t xml:space="preserve">The student enrolment ceiling for year 8 in 2022 is limited to </w:t>
      </w:r>
      <w:r w:rsidRPr="008C121E">
        <w:rPr>
          <w:rFonts w:eastAsia="Times New Roman"/>
          <w:b/>
          <w:spacing w:val="-2"/>
          <w:szCs w:val="17"/>
        </w:rPr>
        <w:t>208</w:t>
      </w:r>
      <w:r w:rsidRPr="008C121E">
        <w:rPr>
          <w:rFonts w:eastAsia="Times New Roman"/>
          <w:spacing w:val="-2"/>
          <w:szCs w:val="17"/>
        </w:rPr>
        <w:t>, unless there are more applications that have met the enrolment criteria below. If there are more than 208 applications for enrolment that have met the criteria for enrolment below, applicants living in the school zone may be shared with Adelaide High School.</w:t>
      </w:r>
    </w:p>
    <w:p w:rsidR="008C121E" w:rsidRPr="008C121E" w:rsidRDefault="008C121E" w:rsidP="008C121E">
      <w:pPr>
        <w:spacing w:after="60"/>
        <w:rPr>
          <w:rFonts w:eastAsia="Times New Roman"/>
          <w:b/>
          <w:szCs w:val="17"/>
        </w:rPr>
      </w:pPr>
      <w:r w:rsidRPr="008C121E">
        <w:rPr>
          <w:rFonts w:eastAsia="Times New Roman"/>
          <w:b/>
          <w:szCs w:val="17"/>
        </w:rPr>
        <w:t>Selective entry special interest program</w:t>
      </w:r>
    </w:p>
    <w:p w:rsidR="008C121E" w:rsidRPr="008C121E" w:rsidRDefault="008C121E" w:rsidP="008C121E">
      <w:pPr>
        <w:spacing w:after="60"/>
        <w:rPr>
          <w:rFonts w:eastAsia="Times New Roman"/>
          <w:spacing w:val="-2"/>
          <w:szCs w:val="17"/>
        </w:rPr>
      </w:pPr>
      <w:r w:rsidRPr="008C121E">
        <w:rPr>
          <w:rFonts w:eastAsia="Times New Roman"/>
          <w:spacing w:val="-2"/>
          <w:szCs w:val="17"/>
        </w:rPr>
        <w:t>The maximum number of out of zone enrolments to the school’s selective entry special interest program is limited at year 7 (and year 8 in 2022) as follows:</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Year 7—</w:t>
      </w:r>
      <w:r w:rsidRPr="008C121E">
        <w:rPr>
          <w:rFonts w:eastAsia="Times New Roman"/>
          <w:b/>
          <w:szCs w:val="17"/>
        </w:rPr>
        <w:t>20</w:t>
      </w:r>
      <w:r w:rsidRPr="008C121E">
        <w:rPr>
          <w:rFonts w:eastAsia="Times New Roman"/>
          <w:szCs w:val="17"/>
        </w:rPr>
        <w:t xml:space="preserve"> Health and Sciences (STEM) pathway</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Year 8—</w:t>
      </w:r>
      <w:r w:rsidRPr="008C121E">
        <w:rPr>
          <w:rFonts w:eastAsia="Times New Roman"/>
          <w:b/>
          <w:szCs w:val="17"/>
        </w:rPr>
        <w:t>20</w:t>
      </w:r>
      <w:r w:rsidRPr="008C121E">
        <w:rPr>
          <w:rFonts w:eastAsia="Times New Roman"/>
          <w:szCs w:val="17"/>
        </w:rPr>
        <w:t xml:space="preserve"> Health and Sciences (STEM) pathway</w:t>
      </w:r>
    </w:p>
    <w:p w:rsidR="008C121E" w:rsidRPr="008C121E" w:rsidRDefault="008C121E" w:rsidP="008C121E">
      <w:pPr>
        <w:spacing w:after="60"/>
        <w:rPr>
          <w:rFonts w:eastAsia="Times New Roman"/>
          <w:szCs w:val="17"/>
        </w:rPr>
      </w:pPr>
      <w:r w:rsidRPr="008C121E">
        <w:rPr>
          <w:rFonts w:eastAsia="Times New Roman"/>
          <w:szCs w:val="17"/>
        </w:rPr>
        <w:t xml:space="preserve">Selective entry numbers are included in the Year 7 (and Year 8 in 2022) enrolment ceiling of </w:t>
      </w:r>
      <w:r w:rsidRPr="008C121E">
        <w:rPr>
          <w:rFonts w:eastAsia="Times New Roman"/>
          <w:b/>
          <w:szCs w:val="17"/>
        </w:rPr>
        <w:t>208</w:t>
      </w:r>
      <w:r w:rsidRPr="008C121E">
        <w:rPr>
          <w:rFonts w:eastAsia="Times New Roman"/>
          <w:szCs w:val="17"/>
        </w:rPr>
        <w:t xml:space="preserve"> students. Entries to the program are subject to the eligibility requirements published by the school, available from: </w:t>
      </w:r>
      <w:hyperlink r:id="rId21" w:history="1">
        <w:r w:rsidRPr="008C121E">
          <w:rPr>
            <w:rFonts w:eastAsia="Times New Roman"/>
            <w:color w:val="0000FF"/>
            <w:szCs w:val="17"/>
            <w:u w:val="single"/>
          </w:rPr>
          <w:t>https://abhs.sa.edu.au/</w:t>
        </w:r>
      </w:hyperlink>
    </w:p>
    <w:p w:rsidR="008C121E" w:rsidRPr="008C121E" w:rsidRDefault="008C121E" w:rsidP="008C121E">
      <w:pPr>
        <w:spacing w:after="60"/>
        <w:rPr>
          <w:rFonts w:eastAsia="Times New Roman"/>
          <w:b/>
          <w:szCs w:val="17"/>
        </w:rPr>
      </w:pPr>
      <w:r w:rsidRPr="008C121E">
        <w:rPr>
          <w:rFonts w:eastAsia="Times New Roman"/>
          <w:b/>
          <w:szCs w:val="17"/>
        </w:rPr>
        <w:t>International Education Program</w:t>
      </w:r>
    </w:p>
    <w:p w:rsidR="008C121E" w:rsidRPr="008C121E" w:rsidRDefault="008C121E" w:rsidP="008C121E">
      <w:pPr>
        <w:spacing w:after="60"/>
        <w:rPr>
          <w:rFonts w:eastAsia="Times New Roman"/>
          <w:szCs w:val="17"/>
        </w:rPr>
      </w:pPr>
      <w:r w:rsidRPr="008C121E">
        <w:rPr>
          <w:rFonts w:eastAsia="Times New Roman"/>
          <w:szCs w:val="17"/>
        </w:rPr>
        <w:t>No International Education Program places will be offered at the school.</w:t>
      </w:r>
    </w:p>
    <w:p w:rsidR="008C121E" w:rsidRPr="008C121E" w:rsidRDefault="008C121E" w:rsidP="008C121E">
      <w:pPr>
        <w:spacing w:after="60"/>
        <w:jc w:val="center"/>
        <w:rPr>
          <w:i/>
          <w:szCs w:val="17"/>
        </w:rPr>
      </w:pPr>
      <w:r w:rsidRPr="008C121E">
        <w:rPr>
          <w:i/>
          <w:szCs w:val="17"/>
        </w:rPr>
        <w:t>Enrolment Criteria—By Year Level</w:t>
      </w:r>
    </w:p>
    <w:p w:rsidR="008C121E" w:rsidRPr="008C121E" w:rsidRDefault="008C121E" w:rsidP="008C121E">
      <w:pPr>
        <w:spacing w:after="60"/>
        <w:rPr>
          <w:rFonts w:eastAsia="Times New Roman"/>
          <w:b/>
          <w:szCs w:val="17"/>
        </w:rPr>
      </w:pPr>
      <w:r w:rsidRPr="008C121E">
        <w:rPr>
          <w:rFonts w:eastAsia="Times New Roman"/>
          <w:b/>
          <w:szCs w:val="17"/>
        </w:rPr>
        <w:t>YEAR LEVEL: 7 (and 8 in 2022)</w:t>
      </w:r>
    </w:p>
    <w:p w:rsidR="008C121E" w:rsidRPr="008C121E" w:rsidRDefault="008C121E" w:rsidP="008C121E">
      <w:pPr>
        <w:spacing w:after="60"/>
        <w:rPr>
          <w:rFonts w:eastAsia="Times New Roman"/>
          <w:szCs w:val="17"/>
        </w:rPr>
      </w:pPr>
      <w:r w:rsidRPr="008C121E">
        <w:rPr>
          <w:rFonts w:eastAsia="Times New Roman"/>
          <w:szCs w:val="17"/>
        </w:rPr>
        <w:t>Applications for enrolment from parents of prospective Year 7 (and Year 8 in 2022) students require that the student must be enrolled in a government or non-government school in South Australia at the time the parents apply for enrolment through the statewide registration of interest process (coordinated by the Department for Education).</w:t>
      </w:r>
    </w:p>
    <w:p w:rsidR="008C121E" w:rsidRPr="008C121E" w:rsidRDefault="008C121E" w:rsidP="008C121E">
      <w:pPr>
        <w:spacing w:after="60"/>
        <w:rPr>
          <w:rFonts w:eastAsia="Times New Roman"/>
          <w:szCs w:val="17"/>
        </w:rPr>
      </w:pPr>
      <w:r w:rsidRPr="008C121E">
        <w:rPr>
          <w:rFonts w:eastAsia="Times New Roman"/>
          <w:szCs w:val="17"/>
        </w:rPr>
        <w:t>The applicant must meet one of the following requirements to be eligible for a Year 7 (and Year 8 in 2022) allocation at Adelaide Botanic High School through the registration of interest process for the coming school year:</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the child is living in the shared school zone of Adelaide Botanic High School and Adelaide High School</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the child has been offered enrolment on the basis that the child lives in a suburb formerly in the shared school zone of Adelaide Botanic High School and Adelaide High School and has a sibling currently attending the school</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the child has received and accepted an offer for enrolment by the school to participate in the selective entry special interest program</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the child identifies as Aboriginal and/or Torres Strait Islander through the Enter for Success program (applications due by the end of term 4, the previous year).</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 xml:space="preserve">the child has been granted enrolment due to special or extenuating circumstances, including but not limited to a child in care where there is a custody or guardianship order made under the </w:t>
      </w:r>
      <w:r w:rsidRPr="008C121E">
        <w:rPr>
          <w:rFonts w:eastAsia="Times New Roman"/>
          <w:i/>
          <w:szCs w:val="17"/>
        </w:rPr>
        <w:t>Children and Young People (Safety) Act 2017</w:t>
      </w:r>
      <w:r w:rsidRPr="008C121E">
        <w:rPr>
          <w:rFonts w:eastAsia="Times New Roman"/>
          <w:szCs w:val="17"/>
        </w:rPr>
        <w:t>.</w:t>
      </w:r>
    </w:p>
    <w:p w:rsidR="008C121E" w:rsidRPr="008C121E" w:rsidRDefault="008C121E" w:rsidP="008C121E">
      <w:pPr>
        <w:spacing w:after="60"/>
        <w:rPr>
          <w:rFonts w:eastAsia="Times New Roman"/>
          <w:b/>
          <w:szCs w:val="17"/>
        </w:rPr>
      </w:pPr>
      <w:r w:rsidRPr="008C121E">
        <w:rPr>
          <w:rFonts w:eastAsia="Times New Roman"/>
          <w:b/>
          <w:szCs w:val="17"/>
        </w:rPr>
        <w:t>Applications for Year 7 (and Year 8 in 2022) from students living in the shared school zone</w:t>
      </w:r>
    </w:p>
    <w:p w:rsidR="008C121E" w:rsidRPr="008C121E" w:rsidRDefault="008C121E" w:rsidP="008C121E">
      <w:pPr>
        <w:spacing w:after="60"/>
        <w:rPr>
          <w:rFonts w:eastAsia="Times New Roman"/>
          <w:spacing w:val="-2"/>
          <w:szCs w:val="17"/>
        </w:rPr>
      </w:pPr>
      <w:r w:rsidRPr="008C121E">
        <w:rPr>
          <w:rFonts w:eastAsia="Times New Roman"/>
          <w:spacing w:val="-2"/>
          <w:szCs w:val="17"/>
        </w:rPr>
        <w:t>Parents of prospective Year 7 (and Year 8 in 2022) students living in the shared school zone can nominate their choice of school through the department’s registration of interest process. Places will be offered based on a child’s highest choice of school, and availability of places.</w:t>
      </w:r>
    </w:p>
    <w:p w:rsidR="008C121E" w:rsidRPr="008C121E" w:rsidRDefault="008C121E" w:rsidP="008C121E">
      <w:pPr>
        <w:spacing w:after="60"/>
        <w:rPr>
          <w:rFonts w:eastAsia="Times New Roman"/>
          <w:szCs w:val="17"/>
        </w:rPr>
      </w:pPr>
      <w:r w:rsidRPr="008C121E">
        <w:rPr>
          <w:rFonts w:eastAsia="Times New Roman"/>
          <w:szCs w:val="17"/>
        </w:rPr>
        <w:t>If more applications than the enrolment ceiling are received from parents living in the shared school zone, a priority order may be applied to applications and places will be offered based on whether any, all or a combination of the following applies:</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the child currently has a sibling attending the school</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the distance of the child’s residence from the school</w:t>
      </w:r>
    </w:p>
    <w:p w:rsidR="008C121E" w:rsidRPr="008C121E" w:rsidRDefault="008C121E" w:rsidP="008C121E">
      <w:pPr>
        <w:spacing w:after="60"/>
        <w:ind w:left="284" w:hanging="142"/>
        <w:rPr>
          <w:rFonts w:eastAsia="Times New Roman"/>
          <w:szCs w:val="17"/>
        </w:rPr>
      </w:pPr>
      <w:r w:rsidRPr="008C121E">
        <w:rPr>
          <w:rFonts w:eastAsia="Times New Roman"/>
          <w:szCs w:val="17"/>
        </w:rPr>
        <w:t>•</w:t>
      </w:r>
      <w:r w:rsidRPr="008C121E">
        <w:rPr>
          <w:rFonts w:eastAsia="Times New Roman"/>
          <w:szCs w:val="17"/>
        </w:rPr>
        <w:tab/>
        <w:t>other personal needs, such as curriculum (excluding special interest pathways), transportation/location convenience, and social/family links at the school.</w:t>
      </w:r>
    </w:p>
    <w:p w:rsidR="008C121E" w:rsidRPr="008C121E" w:rsidRDefault="008C121E" w:rsidP="008C121E">
      <w:pPr>
        <w:rPr>
          <w:rFonts w:eastAsia="Times New Roman"/>
          <w:szCs w:val="17"/>
        </w:rPr>
      </w:pPr>
      <w:r w:rsidRPr="008C121E">
        <w:rPr>
          <w:rFonts w:eastAsia="Times New Roman"/>
          <w:szCs w:val="17"/>
        </w:rPr>
        <w:t>Applicants not allocated their first choice of school will be placed on the enrolment register, and will be referred for enrolment to the shared zone school (Adelaide High School).</w:t>
      </w:r>
      <w:r>
        <w:rPr>
          <w:rFonts w:eastAsia="Times New Roman"/>
          <w:b/>
          <w:szCs w:val="17"/>
        </w:rPr>
        <w:br w:type="page"/>
      </w:r>
    </w:p>
    <w:p w:rsidR="008C121E" w:rsidRPr="008C121E" w:rsidRDefault="008C121E" w:rsidP="008C121E">
      <w:pPr>
        <w:rPr>
          <w:rFonts w:eastAsia="Times New Roman"/>
          <w:b/>
          <w:szCs w:val="17"/>
        </w:rPr>
      </w:pPr>
      <w:r w:rsidRPr="008C121E">
        <w:rPr>
          <w:rFonts w:eastAsia="Times New Roman"/>
          <w:b/>
          <w:szCs w:val="17"/>
        </w:rPr>
        <w:lastRenderedPageBreak/>
        <w:t>Applications for Year 7 (and Year 8 in 2022) from students living outside the zone with siblings currently at the school</w:t>
      </w:r>
    </w:p>
    <w:p w:rsidR="008C121E" w:rsidRPr="008C121E" w:rsidRDefault="008C121E" w:rsidP="008C121E">
      <w:pPr>
        <w:rPr>
          <w:rFonts w:eastAsia="Times New Roman"/>
          <w:szCs w:val="17"/>
        </w:rPr>
      </w:pPr>
      <w:r w:rsidRPr="008C121E">
        <w:rPr>
          <w:rFonts w:eastAsia="Times New Roman"/>
          <w:szCs w:val="17"/>
        </w:rPr>
        <w:t>There is no automatic entry to the school for Year 7 (and Year 8 in 2022) students who live outside the school’s zone and have siblings who currently attend the school.</w:t>
      </w:r>
    </w:p>
    <w:p w:rsidR="008C121E" w:rsidRPr="008C121E" w:rsidRDefault="008C121E" w:rsidP="008C121E">
      <w:pPr>
        <w:rPr>
          <w:rFonts w:eastAsia="Times New Roman"/>
          <w:szCs w:val="17"/>
        </w:rPr>
      </w:pPr>
      <w:r w:rsidRPr="008C121E">
        <w:rPr>
          <w:rFonts w:eastAsia="Times New Roman"/>
          <w:szCs w:val="17"/>
        </w:rPr>
        <w:t>Application for Year 7 (and Year 8 in 2022) from students who have siblings at the school and live outside the school zone, but in suburbs formerly in the shared school zone of Adelaide Botanic High School and Adelaide High School will be considered for enrolment if:</w:t>
      </w:r>
    </w:p>
    <w:p w:rsidR="008C121E" w:rsidRPr="008C121E" w:rsidRDefault="008C121E" w:rsidP="008C121E">
      <w:pPr>
        <w:ind w:left="284" w:hanging="142"/>
        <w:rPr>
          <w:rFonts w:eastAsia="Times New Roman"/>
          <w:szCs w:val="17"/>
        </w:rPr>
      </w:pPr>
      <w:r w:rsidRPr="008C121E">
        <w:rPr>
          <w:rFonts w:eastAsia="Times New Roman"/>
          <w:szCs w:val="17"/>
        </w:rPr>
        <w:t>•</w:t>
      </w:r>
      <w:r w:rsidRPr="008C121E">
        <w:rPr>
          <w:rFonts w:eastAsia="Times New Roman"/>
          <w:szCs w:val="17"/>
        </w:rPr>
        <w:tab/>
        <w:t>the child has applied through the department’s statewide registration of interest process; and</w:t>
      </w:r>
    </w:p>
    <w:p w:rsidR="008C121E" w:rsidRPr="008C121E" w:rsidRDefault="008C121E" w:rsidP="008C121E">
      <w:pPr>
        <w:ind w:left="284" w:hanging="142"/>
        <w:rPr>
          <w:rFonts w:eastAsia="Times New Roman"/>
          <w:szCs w:val="17"/>
        </w:rPr>
      </w:pPr>
      <w:r w:rsidRPr="008C121E">
        <w:rPr>
          <w:rFonts w:eastAsia="Times New Roman"/>
          <w:szCs w:val="17"/>
        </w:rPr>
        <w:t>•</w:t>
      </w:r>
      <w:r w:rsidRPr="008C121E">
        <w:rPr>
          <w:rFonts w:eastAsia="Times New Roman"/>
          <w:szCs w:val="17"/>
        </w:rPr>
        <w:tab/>
        <w:t>the sibling was living in the shared school zone in the suburbs of Clarence Park (west of East Avenue), Black Forest, Glandore, Kurralta Park, Marleston (east of Grove Avenue), Richmond (east of Brooker Terrace), Hilton, Mile End (east of Bagot Avenue and west of South Road) or Torrensville (east of Jervois Street) when they enrolled at the school for 2019; and</w:t>
      </w:r>
    </w:p>
    <w:p w:rsidR="008C121E" w:rsidRPr="008C121E" w:rsidRDefault="008C121E" w:rsidP="008C121E">
      <w:pPr>
        <w:ind w:left="284" w:hanging="142"/>
        <w:rPr>
          <w:rFonts w:eastAsia="Times New Roman"/>
          <w:szCs w:val="17"/>
        </w:rPr>
      </w:pPr>
      <w:r w:rsidRPr="008C121E">
        <w:rPr>
          <w:rFonts w:eastAsia="Times New Roman"/>
          <w:szCs w:val="17"/>
        </w:rPr>
        <w:t>•</w:t>
      </w:r>
      <w:r w:rsidRPr="008C121E">
        <w:rPr>
          <w:rFonts w:eastAsia="Times New Roman"/>
          <w:szCs w:val="17"/>
        </w:rPr>
        <w:tab/>
        <w:t>the sibling continues to be enrolled to attend the school in the coming school year; and</w:t>
      </w:r>
    </w:p>
    <w:p w:rsidR="008C121E" w:rsidRPr="008C121E" w:rsidRDefault="008C121E" w:rsidP="008C121E">
      <w:pPr>
        <w:ind w:left="284" w:hanging="142"/>
        <w:rPr>
          <w:rFonts w:eastAsia="Times New Roman"/>
          <w:szCs w:val="17"/>
        </w:rPr>
      </w:pPr>
      <w:r w:rsidRPr="008C121E">
        <w:rPr>
          <w:rFonts w:eastAsia="Times New Roman"/>
          <w:szCs w:val="17"/>
        </w:rPr>
        <w:t>•</w:t>
      </w:r>
      <w:r w:rsidRPr="008C121E">
        <w:rPr>
          <w:rFonts w:eastAsia="Times New Roman"/>
          <w:szCs w:val="17"/>
        </w:rPr>
        <w:tab/>
        <w:t>the child is still living in suburbs previously included in the school’s shared zone (listed above).</w:t>
      </w:r>
    </w:p>
    <w:p w:rsidR="008C121E" w:rsidRPr="008C121E" w:rsidRDefault="008C121E" w:rsidP="008C121E">
      <w:pPr>
        <w:rPr>
          <w:rFonts w:eastAsia="Times New Roman"/>
          <w:szCs w:val="17"/>
        </w:rPr>
      </w:pPr>
      <w:r w:rsidRPr="008C121E">
        <w:rPr>
          <w:rFonts w:eastAsia="Times New Roman"/>
          <w:szCs w:val="17"/>
        </w:rPr>
        <w:t>Applications for enrolment for children with siblings at the school that meet the requirements set out above will be considered only until the start of the 2023 school year.</w:t>
      </w:r>
    </w:p>
    <w:p w:rsidR="008C121E" w:rsidRPr="008C121E" w:rsidRDefault="008C121E" w:rsidP="008C121E">
      <w:pPr>
        <w:rPr>
          <w:rFonts w:eastAsia="Times New Roman"/>
          <w:b/>
          <w:szCs w:val="17"/>
        </w:rPr>
      </w:pPr>
      <w:r w:rsidRPr="008C121E">
        <w:rPr>
          <w:rFonts w:eastAsia="Times New Roman"/>
          <w:b/>
          <w:szCs w:val="17"/>
        </w:rPr>
        <w:t>Late applications for Year 7 (and Year 8 in 2022) from students living in the school zone</w:t>
      </w:r>
    </w:p>
    <w:p w:rsidR="008C121E" w:rsidRPr="008C121E" w:rsidRDefault="008C121E" w:rsidP="008C121E">
      <w:pPr>
        <w:rPr>
          <w:rFonts w:eastAsia="Times New Roman"/>
          <w:spacing w:val="-2"/>
          <w:szCs w:val="17"/>
        </w:rPr>
      </w:pPr>
      <w:r w:rsidRPr="008C121E">
        <w:rPr>
          <w:rFonts w:eastAsia="Times New Roman"/>
          <w:spacing w:val="-2"/>
          <w:szCs w:val="17"/>
        </w:rPr>
        <w:t>Families who move into the school zone, or who are already living in the school zone but lodge their application for enrolment after the department’s registration of interest process is completed (end of term 2), will have their applications considered if or when vacancies exist, with priority consideration afforded to those applicants already on the school’s enrolment register.</w:t>
      </w:r>
    </w:p>
    <w:p w:rsidR="008C121E" w:rsidRPr="008C121E" w:rsidRDefault="008C121E" w:rsidP="008C121E">
      <w:pPr>
        <w:rPr>
          <w:rFonts w:eastAsia="Times New Roman"/>
          <w:spacing w:val="-2"/>
          <w:szCs w:val="17"/>
        </w:rPr>
      </w:pPr>
      <w:r w:rsidRPr="008C121E">
        <w:rPr>
          <w:rFonts w:eastAsia="Times New Roman"/>
          <w:spacing w:val="-2"/>
          <w:szCs w:val="17"/>
        </w:rPr>
        <w:t>In these cases, applications will be considered based on siblings at the school, the distance of the child’s residence from the school and any other personal needs, such as curriculum (excluding special interest programs), transportation/location convenience, and social/family links.</w:t>
      </w:r>
    </w:p>
    <w:p w:rsidR="008C121E" w:rsidRPr="008C121E" w:rsidRDefault="008C121E" w:rsidP="008C121E">
      <w:pPr>
        <w:rPr>
          <w:rFonts w:eastAsia="Times New Roman"/>
          <w:spacing w:val="-2"/>
          <w:szCs w:val="17"/>
        </w:rPr>
      </w:pPr>
      <w:r w:rsidRPr="008C121E">
        <w:rPr>
          <w:rFonts w:eastAsia="Times New Roman"/>
          <w:spacing w:val="-2"/>
          <w:szCs w:val="17"/>
        </w:rPr>
        <w:t>The school will notify parents by the beginning of week 1, term 4 if a vacancy is available for their child to attend the following school year.</w:t>
      </w:r>
    </w:p>
    <w:p w:rsidR="008C121E" w:rsidRPr="008C121E" w:rsidRDefault="008C121E" w:rsidP="008C121E">
      <w:pPr>
        <w:rPr>
          <w:rFonts w:eastAsia="Times New Roman"/>
          <w:szCs w:val="17"/>
        </w:rPr>
      </w:pPr>
      <w:r w:rsidRPr="008C121E">
        <w:rPr>
          <w:rFonts w:eastAsia="Times New Roman"/>
          <w:szCs w:val="17"/>
        </w:rPr>
        <w:t>If no vacancies exist, the applicants will be placed on the enrolment register and referred for enrolment to other neighbouring schools.</w:t>
      </w:r>
    </w:p>
    <w:p w:rsidR="008C121E" w:rsidRPr="008C121E" w:rsidRDefault="008C121E" w:rsidP="008C121E">
      <w:pPr>
        <w:rPr>
          <w:rFonts w:eastAsia="Times New Roman"/>
          <w:b/>
          <w:szCs w:val="17"/>
        </w:rPr>
      </w:pPr>
      <w:r w:rsidRPr="008C121E">
        <w:rPr>
          <w:rFonts w:eastAsia="Times New Roman"/>
          <w:b/>
          <w:szCs w:val="17"/>
        </w:rPr>
        <w:t>YEAR LEVEL: 8 to 11 (9 to 12 in 2022)</w:t>
      </w:r>
    </w:p>
    <w:p w:rsidR="008C121E" w:rsidRPr="008C121E" w:rsidRDefault="008C121E" w:rsidP="008C121E">
      <w:pPr>
        <w:rPr>
          <w:rFonts w:eastAsia="Times New Roman"/>
          <w:b/>
          <w:szCs w:val="17"/>
        </w:rPr>
      </w:pPr>
      <w:r w:rsidRPr="008C121E">
        <w:rPr>
          <w:rFonts w:eastAsia="Times New Roman"/>
          <w:b/>
          <w:szCs w:val="17"/>
        </w:rPr>
        <w:t>Application for Year 8 to 11 (9 to 12 in 2022) from students living in the school zone</w:t>
      </w:r>
    </w:p>
    <w:p w:rsidR="008C121E" w:rsidRPr="008C121E" w:rsidRDefault="008C121E" w:rsidP="008C121E">
      <w:pPr>
        <w:rPr>
          <w:rFonts w:eastAsia="Times New Roman"/>
          <w:szCs w:val="17"/>
        </w:rPr>
      </w:pPr>
      <w:r w:rsidRPr="008C121E">
        <w:rPr>
          <w:rFonts w:eastAsia="Times New Roman"/>
          <w:szCs w:val="17"/>
        </w:rPr>
        <w:t>Applications for enrolment from parents of prospective students living in the school zone will be considered if or when vacancies exist, with priority consideration afforded to those applicants already on the enrolment register.</w:t>
      </w:r>
    </w:p>
    <w:p w:rsidR="008C121E" w:rsidRPr="008C121E" w:rsidRDefault="008C121E" w:rsidP="008C121E">
      <w:pPr>
        <w:rPr>
          <w:rFonts w:eastAsia="Times New Roman"/>
          <w:szCs w:val="17"/>
        </w:rPr>
      </w:pPr>
      <w:r w:rsidRPr="008C121E">
        <w:rPr>
          <w:rFonts w:eastAsia="Times New Roman"/>
          <w:szCs w:val="17"/>
        </w:rPr>
        <w:t>In these cases, applications will be considered based on siblings at the school, the distance of the child’s residence from the school and any other personal needs, such as curriculum, transportation/location convenience, and social/family links.</w:t>
      </w:r>
    </w:p>
    <w:p w:rsidR="008C121E" w:rsidRPr="008C121E" w:rsidRDefault="008C121E" w:rsidP="008C121E">
      <w:pPr>
        <w:rPr>
          <w:rFonts w:eastAsia="Times New Roman"/>
          <w:spacing w:val="-2"/>
          <w:szCs w:val="17"/>
        </w:rPr>
      </w:pPr>
      <w:r w:rsidRPr="008C121E">
        <w:rPr>
          <w:rFonts w:eastAsia="Times New Roman"/>
          <w:spacing w:val="-2"/>
          <w:szCs w:val="17"/>
        </w:rPr>
        <w:t>The school will notify parents by the beginning of week 1, term 4, if a vacancy is available for their child to attend the following school year.</w:t>
      </w:r>
    </w:p>
    <w:p w:rsidR="008C121E" w:rsidRPr="008C121E" w:rsidRDefault="008C121E" w:rsidP="008C121E">
      <w:pPr>
        <w:rPr>
          <w:rFonts w:eastAsia="Times New Roman"/>
          <w:szCs w:val="17"/>
        </w:rPr>
      </w:pPr>
      <w:r w:rsidRPr="008C121E">
        <w:rPr>
          <w:rFonts w:eastAsia="Times New Roman"/>
          <w:szCs w:val="17"/>
        </w:rPr>
        <w:t>If no vacancies exist the applicants will be encouraged to remain at their current high school, or referred for enrolment to other neighbouring schools, and upon an applicant’s request will be placed on the school’s enrolment register.</w:t>
      </w:r>
    </w:p>
    <w:p w:rsidR="008C121E" w:rsidRPr="008C121E" w:rsidRDefault="008C121E" w:rsidP="008C121E">
      <w:pPr>
        <w:rPr>
          <w:rFonts w:eastAsia="Times New Roman"/>
          <w:b/>
          <w:szCs w:val="17"/>
        </w:rPr>
      </w:pPr>
      <w:r w:rsidRPr="008C121E">
        <w:rPr>
          <w:rFonts w:eastAsia="Times New Roman"/>
          <w:b/>
          <w:szCs w:val="17"/>
        </w:rPr>
        <w:t>Out of zone applications with siblings currently at the school</w:t>
      </w:r>
    </w:p>
    <w:p w:rsidR="008C121E" w:rsidRPr="008C121E" w:rsidRDefault="008C121E" w:rsidP="008C121E">
      <w:pPr>
        <w:rPr>
          <w:rFonts w:eastAsia="Times New Roman"/>
          <w:szCs w:val="17"/>
        </w:rPr>
      </w:pPr>
      <w:r w:rsidRPr="008C121E">
        <w:rPr>
          <w:rFonts w:eastAsia="Times New Roman"/>
          <w:szCs w:val="17"/>
        </w:rPr>
        <w:t>There is no automatic entry to the school for prospective Year 8 to 11 students (9 to 12 in 2022) students who live outside the school’s zone and have siblings who currently attend the school.</w:t>
      </w:r>
    </w:p>
    <w:p w:rsidR="008C121E" w:rsidRPr="008C121E" w:rsidRDefault="008C121E" w:rsidP="008C121E">
      <w:pPr>
        <w:jc w:val="center"/>
        <w:rPr>
          <w:i/>
          <w:szCs w:val="17"/>
        </w:rPr>
      </w:pPr>
      <w:r w:rsidRPr="008C121E">
        <w:rPr>
          <w:i/>
          <w:szCs w:val="17"/>
        </w:rPr>
        <w:t>Enrolment Criteria—General</w:t>
      </w:r>
    </w:p>
    <w:p w:rsidR="008C121E" w:rsidRPr="008C121E" w:rsidRDefault="008C121E" w:rsidP="008C121E">
      <w:pPr>
        <w:rPr>
          <w:rFonts w:eastAsia="Times New Roman"/>
          <w:b/>
          <w:szCs w:val="17"/>
        </w:rPr>
      </w:pPr>
      <w:r w:rsidRPr="008C121E">
        <w:rPr>
          <w:rFonts w:eastAsia="Times New Roman"/>
          <w:b/>
          <w:szCs w:val="17"/>
        </w:rPr>
        <w:t>Transfer of students between schools in the shared school zone</w:t>
      </w:r>
    </w:p>
    <w:p w:rsidR="008C121E" w:rsidRPr="008C121E" w:rsidRDefault="008C121E" w:rsidP="008C121E">
      <w:pPr>
        <w:rPr>
          <w:rFonts w:eastAsia="Times New Roman"/>
          <w:szCs w:val="17"/>
        </w:rPr>
      </w:pPr>
      <w:r w:rsidRPr="008C121E">
        <w:rPr>
          <w:rFonts w:eastAsia="Times New Roman"/>
          <w:szCs w:val="17"/>
        </w:rPr>
        <w:t>Applications for students living in the shared school zone seeking to transfer from Adelaide High School to Adelaide Botanic High School will only be considered in special circumstances and by agreement between the principals of the schools. These applications will be assessed on a case by case basis.</w:t>
      </w:r>
    </w:p>
    <w:p w:rsidR="008C121E" w:rsidRPr="008C121E" w:rsidRDefault="008C121E" w:rsidP="008C121E">
      <w:pPr>
        <w:rPr>
          <w:rFonts w:eastAsia="Times New Roman"/>
          <w:b/>
          <w:szCs w:val="17"/>
        </w:rPr>
      </w:pPr>
      <w:r w:rsidRPr="008C121E">
        <w:rPr>
          <w:rFonts w:eastAsia="Times New Roman"/>
          <w:b/>
          <w:szCs w:val="17"/>
        </w:rPr>
        <w:t>Special Circumstances</w:t>
      </w:r>
    </w:p>
    <w:p w:rsidR="008C121E" w:rsidRPr="008C121E" w:rsidRDefault="008C121E" w:rsidP="008C121E">
      <w:pPr>
        <w:rPr>
          <w:rFonts w:eastAsia="Times New Roman"/>
          <w:szCs w:val="17"/>
        </w:rPr>
      </w:pPr>
      <w:r w:rsidRPr="008C121E">
        <w:rPr>
          <w:rFonts w:eastAsia="Times New Roman"/>
          <w:szCs w:val="17"/>
        </w:rPr>
        <w:t xml:space="preserve">Enrolment applications for special consideration based on compelling or unusual reasons, including but not limited to a child in care where there is a custody or guardianship order made under the </w:t>
      </w:r>
      <w:r w:rsidRPr="008C121E">
        <w:rPr>
          <w:rFonts w:eastAsia="Times New Roman"/>
          <w:i/>
          <w:szCs w:val="17"/>
        </w:rPr>
        <w:t>Children and Young People (Safety) Act 2017</w:t>
      </w:r>
      <w:r w:rsidRPr="008C121E">
        <w:rPr>
          <w:rFonts w:eastAsia="Times New Roman"/>
          <w:szCs w:val="17"/>
        </w:rPr>
        <w:t>, may be granted by the Principal in consultation with the Education Director. These applications will be assessed on a case by case basis.</w:t>
      </w:r>
    </w:p>
    <w:p w:rsidR="008C121E" w:rsidRPr="008C121E" w:rsidRDefault="008C121E" w:rsidP="008C121E">
      <w:pPr>
        <w:jc w:val="center"/>
        <w:rPr>
          <w:i/>
          <w:szCs w:val="17"/>
        </w:rPr>
      </w:pPr>
      <w:r w:rsidRPr="008C121E">
        <w:rPr>
          <w:i/>
          <w:szCs w:val="17"/>
        </w:rPr>
        <w:t>Enrolment Process</w:t>
      </w:r>
    </w:p>
    <w:p w:rsidR="008C121E" w:rsidRPr="008C121E" w:rsidRDefault="008C121E" w:rsidP="008C121E">
      <w:pPr>
        <w:rPr>
          <w:rFonts w:eastAsia="Times New Roman"/>
          <w:b/>
          <w:szCs w:val="17"/>
        </w:rPr>
      </w:pPr>
      <w:r w:rsidRPr="008C121E">
        <w:rPr>
          <w:rFonts w:eastAsia="Times New Roman"/>
          <w:b/>
          <w:szCs w:val="17"/>
        </w:rPr>
        <w:t>Enrolment Register</w:t>
      </w:r>
    </w:p>
    <w:p w:rsidR="008C121E" w:rsidRPr="008C121E" w:rsidRDefault="008C121E" w:rsidP="008C121E">
      <w:pPr>
        <w:rPr>
          <w:rFonts w:eastAsia="Times New Roman"/>
          <w:szCs w:val="17"/>
        </w:rPr>
      </w:pPr>
      <w:r w:rsidRPr="008C121E">
        <w:rPr>
          <w:rFonts w:eastAsia="Times New Roman"/>
          <w:szCs w:val="17"/>
        </w:rPr>
        <w:t>Parents whose child’s name has been placed on the enrolment register will be contacted by the beginning of week 1, Term 4 if a vacancy is available for their child to attend the following school year.</w:t>
      </w:r>
    </w:p>
    <w:p w:rsidR="008C121E" w:rsidRPr="008C121E" w:rsidRDefault="008C121E" w:rsidP="008C121E">
      <w:pPr>
        <w:rPr>
          <w:rFonts w:eastAsia="Times New Roman"/>
          <w:szCs w:val="17"/>
        </w:rPr>
      </w:pPr>
      <w:r w:rsidRPr="008C121E">
        <w:rPr>
          <w:rFonts w:eastAsia="Times New Roman"/>
          <w:szCs w:val="17"/>
        </w:rPr>
        <w:t>The enrolment register will be reviewed and updated annually.</w:t>
      </w:r>
    </w:p>
    <w:p w:rsidR="008C121E" w:rsidRPr="008C121E" w:rsidRDefault="008C121E" w:rsidP="008C121E">
      <w:pPr>
        <w:rPr>
          <w:rFonts w:eastAsia="Times New Roman"/>
          <w:szCs w:val="17"/>
        </w:rPr>
      </w:pPr>
      <w:r w:rsidRPr="008C121E">
        <w:rPr>
          <w:rFonts w:eastAsia="Times New Roman"/>
          <w:szCs w:val="17"/>
        </w:rPr>
        <w:t>The position that a child’s name appears on the register is confidential and will only be disclosed as required by law.</w:t>
      </w:r>
    </w:p>
    <w:p w:rsidR="008C121E" w:rsidRPr="008C121E" w:rsidRDefault="008C121E" w:rsidP="008C121E">
      <w:pPr>
        <w:rPr>
          <w:rFonts w:eastAsia="Times New Roman"/>
          <w:b/>
          <w:szCs w:val="17"/>
        </w:rPr>
      </w:pPr>
      <w:r w:rsidRPr="008C121E">
        <w:rPr>
          <w:rFonts w:eastAsia="Times New Roman"/>
          <w:b/>
          <w:szCs w:val="17"/>
        </w:rPr>
        <w:t>Monitoring and enforcement</w:t>
      </w:r>
    </w:p>
    <w:p w:rsidR="008C121E" w:rsidRPr="008C121E" w:rsidRDefault="008C121E" w:rsidP="008C121E">
      <w:pPr>
        <w:rPr>
          <w:rFonts w:eastAsia="Times New Roman"/>
          <w:szCs w:val="17"/>
        </w:rPr>
      </w:pPr>
      <w:r w:rsidRPr="008C121E">
        <w:rPr>
          <w:rFonts w:eastAsia="Times New Roman"/>
          <w:szCs w:val="17"/>
        </w:rPr>
        <w:t>It is the responsibility of the parents applying for enrolment to be able to verify to the satisfaction of the school that the information provided is true and factual.</w:t>
      </w:r>
    </w:p>
    <w:p w:rsidR="008C121E" w:rsidRPr="008C121E" w:rsidRDefault="008C121E" w:rsidP="008C121E">
      <w:pPr>
        <w:rPr>
          <w:rFonts w:eastAsia="Times New Roman"/>
          <w:spacing w:val="-2"/>
          <w:szCs w:val="17"/>
        </w:rPr>
      </w:pPr>
      <w:r w:rsidRPr="008C121E">
        <w:rPr>
          <w:rFonts w:eastAsia="Times New Roman"/>
          <w:spacing w:val="-4"/>
          <w:szCs w:val="17"/>
        </w:rPr>
        <w:t xml:space="preserve">If a child was enrolled at the school on the basis of false or misleading information (including residential address) the Chief Executive may direct </w:t>
      </w:r>
      <w:r w:rsidRPr="008C121E">
        <w:rPr>
          <w:rFonts w:eastAsia="Times New Roman"/>
          <w:spacing w:val="-2"/>
          <w:szCs w:val="17"/>
        </w:rPr>
        <w:t xml:space="preserve">that the child be instead enrolled at another Government school pursuant to Section 63(1) of the </w:t>
      </w:r>
      <w:r w:rsidRPr="008C121E">
        <w:rPr>
          <w:rFonts w:eastAsia="Times New Roman"/>
          <w:i/>
          <w:spacing w:val="-2"/>
          <w:szCs w:val="17"/>
        </w:rPr>
        <w:t>Education and Children’s Services Act 2019</w:t>
      </w:r>
      <w:r w:rsidRPr="008C121E">
        <w:rPr>
          <w:rFonts w:eastAsia="Times New Roman"/>
          <w:spacing w:val="-2"/>
          <w:szCs w:val="17"/>
        </w:rPr>
        <w:t>.</w:t>
      </w:r>
    </w:p>
    <w:p w:rsidR="008C121E" w:rsidRPr="008C121E" w:rsidRDefault="008C121E" w:rsidP="008C121E">
      <w:pPr>
        <w:rPr>
          <w:rFonts w:eastAsia="Times New Roman"/>
          <w:szCs w:val="17"/>
        </w:rPr>
      </w:pPr>
      <w:r w:rsidRPr="008C121E">
        <w:rPr>
          <w:rFonts w:eastAsia="Times New Roman"/>
          <w:szCs w:val="17"/>
        </w:rPr>
        <w:t>The Principal is responsible for the implementation of this Capacity Management Plan and all decisions on enrolments.</w:t>
      </w:r>
    </w:p>
    <w:p w:rsidR="008C121E" w:rsidRPr="008C121E" w:rsidRDefault="008C121E" w:rsidP="008C121E">
      <w:pPr>
        <w:rPr>
          <w:rFonts w:eastAsia="Times New Roman"/>
          <w:szCs w:val="17"/>
        </w:rPr>
      </w:pPr>
      <w:r w:rsidRPr="008C121E">
        <w:rPr>
          <w:rFonts w:eastAsia="Times New Roman"/>
          <w:szCs w:val="17"/>
        </w:rPr>
        <w:t>This Capacity Management Plan will be reviewed as required.</w:t>
      </w:r>
    </w:p>
    <w:p w:rsidR="008C121E" w:rsidRPr="008C121E" w:rsidRDefault="008C121E" w:rsidP="008C121E">
      <w:pPr>
        <w:spacing w:after="0"/>
        <w:rPr>
          <w:rFonts w:eastAsia="Times New Roman"/>
          <w:szCs w:val="17"/>
        </w:rPr>
      </w:pPr>
      <w:r w:rsidRPr="008C121E">
        <w:rPr>
          <w:rFonts w:eastAsia="Times New Roman"/>
          <w:szCs w:val="17"/>
        </w:rPr>
        <w:t>Dated: 18 April 2021</w:t>
      </w:r>
    </w:p>
    <w:p w:rsidR="008C121E" w:rsidRPr="008C121E" w:rsidRDefault="008C121E" w:rsidP="008C121E">
      <w:pPr>
        <w:spacing w:after="0"/>
        <w:jc w:val="right"/>
        <w:rPr>
          <w:rFonts w:eastAsia="Times New Roman"/>
          <w:smallCaps/>
          <w:szCs w:val="20"/>
        </w:rPr>
      </w:pPr>
      <w:r w:rsidRPr="008C121E">
        <w:rPr>
          <w:rFonts w:eastAsia="Times New Roman"/>
          <w:smallCaps/>
          <w:szCs w:val="20"/>
        </w:rPr>
        <w:t>John Gardner</w:t>
      </w:r>
    </w:p>
    <w:p w:rsidR="008C121E" w:rsidRPr="008C121E" w:rsidRDefault="008C121E" w:rsidP="008C121E">
      <w:pPr>
        <w:spacing w:after="0"/>
        <w:jc w:val="right"/>
        <w:rPr>
          <w:rFonts w:eastAsia="Times New Roman"/>
          <w:szCs w:val="17"/>
        </w:rPr>
      </w:pPr>
      <w:r w:rsidRPr="008C121E">
        <w:rPr>
          <w:rFonts w:eastAsia="Times New Roman"/>
          <w:szCs w:val="17"/>
        </w:rPr>
        <w:t>Minister for Education</w:t>
      </w:r>
    </w:p>
    <w:p w:rsidR="008C121E" w:rsidRPr="008C121E" w:rsidRDefault="008C121E" w:rsidP="008C121E">
      <w:pPr>
        <w:pBdr>
          <w:top w:val="single" w:sz="4" w:space="1" w:color="auto"/>
        </w:pBdr>
        <w:spacing w:before="100" w:after="0" w:line="14" w:lineRule="exact"/>
        <w:jc w:val="center"/>
        <w:rPr>
          <w:rFonts w:eastAsia="Times New Roman"/>
          <w:szCs w:val="17"/>
        </w:rPr>
      </w:pPr>
    </w:p>
    <w:p w:rsidR="008C121E" w:rsidRPr="008C121E" w:rsidRDefault="008C121E" w:rsidP="00727F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727FB4" w:rsidRDefault="00727FB4">
      <w:pPr>
        <w:spacing w:after="0" w:line="240" w:lineRule="auto"/>
        <w:jc w:val="left"/>
        <w:rPr>
          <w:rFonts w:eastAsia="Times New Roman"/>
          <w:szCs w:val="17"/>
        </w:rPr>
      </w:pPr>
      <w:r>
        <w:rPr>
          <w:rFonts w:eastAsia="Times New Roman"/>
          <w:szCs w:val="17"/>
        </w:rPr>
        <w:br w:type="page"/>
      </w:r>
    </w:p>
    <w:p w:rsidR="00124CEC" w:rsidRPr="00124CEC" w:rsidRDefault="00124CEC" w:rsidP="00124CEC">
      <w:pPr>
        <w:jc w:val="center"/>
        <w:rPr>
          <w:caps/>
          <w:szCs w:val="17"/>
        </w:rPr>
      </w:pPr>
      <w:r w:rsidRPr="00124CEC">
        <w:rPr>
          <w:caps/>
          <w:szCs w:val="17"/>
        </w:rPr>
        <w:lastRenderedPageBreak/>
        <w:t>Education and Children’s Services Regulations 2020</w:t>
      </w:r>
    </w:p>
    <w:p w:rsidR="00124CEC" w:rsidRPr="00124CEC" w:rsidRDefault="00124CEC" w:rsidP="00124CEC">
      <w:pPr>
        <w:jc w:val="center"/>
        <w:rPr>
          <w:i/>
          <w:szCs w:val="17"/>
        </w:rPr>
      </w:pPr>
      <w:r w:rsidRPr="00124CEC">
        <w:rPr>
          <w:i/>
          <w:szCs w:val="17"/>
        </w:rPr>
        <w:t>Notice of Policy by the Minister for Education</w:t>
      </w:r>
    </w:p>
    <w:p w:rsidR="00124CEC" w:rsidRPr="00124CEC" w:rsidRDefault="00124CEC" w:rsidP="00124CEC">
      <w:pPr>
        <w:rPr>
          <w:rFonts w:eastAsia="Times New Roman"/>
          <w:szCs w:val="17"/>
        </w:rPr>
      </w:pPr>
      <w:r w:rsidRPr="00124CEC">
        <w:rPr>
          <w:rFonts w:eastAsia="Times New Roman"/>
          <w:szCs w:val="17"/>
        </w:rPr>
        <w:t xml:space="preserve">PURSUANT to Regulation 12(1) of the </w:t>
      </w:r>
      <w:r w:rsidRPr="00124CEC">
        <w:rPr>
          <w:rFonts w:eastAsia="Times New Roman"/>
          <w:i/>
          <w:szCs w:val="17"/>
        </w:rPr>
        <w:t>Education and Children’s Services Regulations 2020</w:t>
      </w:r>
      <w:r w:rsidRPr="00124CEC">
        <w:rPr>
          <w:rFonts w:eastAsia="Times New Roman"/>
          <w:szCs w:val="17"/>
        </w:rPr>
        <w:t>, I, the Minister for Education publish the following Capacity Management Plan for the purposes of the enrolment of a child at Adelaide High School:</w:t>
      </w:r>
    </w:p>
    <w:p w:rsidR="00124CEC" w:rsidRPr="00124CEC" w:rsidRDefault="00124CEC" w:rsidP="00124CEC">
      <w:pPr>
        <w:jc w:val="center"/>
        <w:rPr>
          <w:b/>
          <w:caps/>
          <w:szCs w:val="17"/>
        </w:rPr>
      </w:pPr>
      <w:r w:rsidRPr="00124CEC">
        <w:rPr>
          <w:b/>
          <w:caps/>
          <w:szCs w:val="17"/>
        </w:rPr>
        <w:t>CAPACITY MANAGEMENT PLAN</w:t>
      </w:r>
    </w:p>
    <w:p w:rsidR="00124CEC" w:rsidRPr="00124CEC" w:rsidRDefault="00124CEC" w:rsidP="00124CEC">
      <w:pPr>
        <w:jc w:val="center"/>
        <w:rPr>
          <w:i/>
          <w:szCs w:val="17"/>
        </w:rPr>
      </w:pPr>
      <w:r w:rsidRPr="00124CEC">
        <w:rPr>
          <w:i/>
          <w:szCs w:val="17"/>
        </w:rPr>
        <w:t>Adelaide High School</w:t>
      </w:r>
    </w:p>
    <w:p w:rsidR="00124CEC" w:rsidRPr="00124CEC" w:rsidRDefault="00124CEC" w:rsidP="00124CEC">
      <w:pPr>
        <w:rPr>
          <w:rFonts w:eastAsia="Times New Roman"/>
          <w:szCs w:val="17"/>
        </w:rPr>
      </w:pPr>
      <w:r w:rsidRPr="00124CEC">
        <w:rPr>
          <w:rFonts w:eastAsia="Times New Roman"/>
          <w:szCs w:val="17"/>
        </w:rPr>
        <w:t>This Capacity Management Plan sets out the conditions for enrolment at Adelaide High School (“the school”).</w:t>
      </w:r>
    </w:p>
    <w:p w:rsidR="00124CEC" w:rsidRPr="00124CEC" w:rsidRDefault="00124CEC" w:rsidP="00124CEC">
      <w:pPr>
        <w:rPr>
          <w:rFonts w:eastAsia="Times New Roman"/>
          <w:b/>
          <w:szCs w:val="17"/>
        </w:rPr>
      </w:pPr>
      <w:r w:rsidRPr="00124CEC">
        <w:rPr>
          <w:rFonts w:eastAsia="Times New Roman"/>
          <w:b/>
          <w:szCs w:val="17"/>
        </w:rPr>
        <w:t>Adelaide High School zone</w:t>
      </w:r>
    </w:p>
    <w:p w:rsidR="00124CEC" w:rsidRPr="00124CEC" w:rsidRDefault="00124CEC" w:rsidP="00124CEC">
      <w:pPr>
        <w:rPr>
          <w:rFonts w:eastAsia="Times New Roman"/>
          <w:szCs w:val="17"/>
        </w:rPr>
      </w:pPr>
      <w:r w:rsidRPr="00124CEC">
        <w:rPr>
          <w:rFonts w:eastAsia="Times New Roman"/>
          <w:szCs w:val="17"/>
        </w:rPr>
        <w:t>A school zone is a defined area from which the school accepts its core intake of students. From the start of the 2020 school year, Adelaide High School operates a shared school zone with Adelaide Botanic High School, within the area bounded by:</w:t>
      </w:r>
    </w:p>
    <w:p w:rsidR="00124CEC" w:rsidRPr="00124CEC" w:rsidRDefault="00124CEC" w:rsidP="00124CEC">
      <w:pPr>
        <w:rPr>
          <w:rFonts w:eastAsia="Times New Roman"/>
          <w:szCs w:val="17"/>
        </w:rPr>
      </w:pPr>
      <w:r w:rsidRPr="00124CEC">
        <w:rPr>
          <w:rFonts w:eastAsia="Times New Roman"/>
          <w:szCs w:val="17"/>
        </w:rPr>
        <w:t>The entire suburbs of Prospect, Nailsworth, Collinswood, Walkerville, Medindie Gardens, Medindie, Thorngate, Fitzroy, North Adelaide, Adelaide, Gilberton, Hackney, College Park, Stepney, Maylands, Everard Park, Ashford, Keswick, Mile End South, Keswick Terminal, Thebarton, Hindmarsh, Brompton, Bowden and Ovingham.</w:t>
      </w:r>
    </w:p>
    <w:p w:rsidR="00124CEC" w:rsidRPr="00124CEC" w:rsidRDefault="00124CEC" w:rsidP="00124CEC">
      <w:pPr>
        <w:rPr>
          <w:rFonts w:eastAsia="Times New Roman"/>
          <w:szCs w:val="17"/>
        </w:rPr>
      </w:pPr>
      <w:r w:rsidRPr="00124CEC">
        <w:rPr>
          <w:rFonts w:eastAsia="Times New Roman"/>
          <w:szCs w:val="17"/>
        </w:rPr>
        <w:t>The part suburbs of St Peters (properties located to the south west of Winchester Street), Wayville (properties located to the west of the Adelaide to Glenelg tram line), Goodwood (properties located to the west of the Adelaide to Glenelg tram line), Forestville (properties located to the west of the Adelaide to Glenelg tram line) and Mile End (properties located to the east of South Road).</w:t>
      </w:r>
    </w:p>
    <w:p w:rsidR="00124CEC" w:rsidRPr="00124CEC" w:rsidRDefault="00124CEC" w:rsidP="00124CEC">
      <w:pPr>
        <w:rPr>
          <w:rFonts w:eastAsia="Times New Roman"/>
          <w:szCs w:val="17"/>
        </w:rPr>
      </w:pPr>
      <w:r w:rsidRPr="00124CEC">
        <w:rPr>
          <w:rFonts w:eastAsia="Times New Roman"/>
          <w:szCs w:val="17"/>
        </w:rPr>
        <w:t>Families living in the shared school zone wishing to enrol their children at Adelaide High School may be directed to Adelaide Botanic High School if capacity is reached in specific year level.</w:t>
      </w:r>
    </w:p>
    <w:p w:rsidR="00124CEC" w:rsidRPr="00124CEC" w:rsidRDefault="00124CEC" w:rsidP="00124CEC">
      <w:pPr>
        <w:rPr>
          <w:rFonts w:eastAsia="Times New Roman"/>
          <w:szCs w:val="17"/>
        </w:rPr>
      </w:pPr>
      <w:r w:rsidRPr="00124CEC">
        <w:rPr>
          <w:rFonts w:eastAsia="Times New Roman"/>
          <w:szCs w:val="17"/>
        </w:rPr>
        <w:t xml:space="preserve">An online map and a search tool to indicate if an applicant’s home address is within the school zone is available at </w:t>
      </w:r>
      <w:hyperlink r:id="rId22" w:history="1">
        <w:r w:rsidRPr="00124CEC">
          <w:rPr>
            <w:rFonts w:eastAsia="Times New Roman"/>
            <w:color w:val="0000FF"/>
            <w:szCs w:val="17"/>
            <w:u w:val="single"/>
          </w:rPr>
          <w:t>https://www.education.sa.gov.au/findaschool</w:t>
        </w:r>
      </w:hyperlink>
      <w:r w:rsidRPr="00124CEC">
        <w:rPr>
          <w:rFonts w:eastAsia="Times New Roman"/>
          <w:szCs w:val="17"/>
        </w:rPr>
        <w:t>.</w:t>
      </w:r>
    </w:p>
    <w:p w:rsidR="00124CEC" w:rsidRPr="00124CEC" w:rsidRDefault="00124CEC" w:rsidP="00124CEC">
      <w:pPr>
        <w:jc w:val="center"/>
        <w:rPr>
          <w:i/>
          <w:szCs w:val="17"/>
        </w:rPr>
      </w:pPr>
      <w:r w:rsidRPr="00124CEC">
        <w:rPr>
          <w:i/>
          <w:szCs w:val="17"/>
        </w:rPr>
        <w:t>Student Enrolment Numbers</w:t>
      </w:r>
    </w:p>
    <w:p w:rsidR="00124CEC" w:rsidRPr="00124CEC" w:rsidRDefault="00124CEC" w:rsidP="00124CEC">
      <w:pPr>
        <w:rPr>
          <w:rFonts w:eastAsia="Times New Roman"/>
          <w:szCs w:val="17"/>
        </w:rPr>
      </w:pPr>
      <w:r w:rsidRPr="00124CEC">
        <w:rPr>
          <w:rFonts w:eastAsia="Times New Roman"/>
          <w:szCs w:val="17"/>
        </w:rPr>
        <w:t>Due to the transition of Year 7 to High School there will be an intake of Year 7 and Year 8 students in 2022. From 2023 onwards Year 7 will be the only intake year level.</w:t>
      </w:r>
    </w:p>
    <w:p w:rsidR="00124CEC" w:rsidRPr="00124CEC" w:rsidRDefault="00124CEC" w:rsidP="00124CEC">
      <w:pPr>
        <w:rPr>
          <w:rFonts w:eastAsia="Times New Roman"/>
          <w:b/>
          <w:szCs w:val="17"/>
        </w:rPr>
      </w:pPr>
      <w:r w:rsidRPr="00124CEC">
        <w:rPr>
          <w:rFonts w:eastAsia="Times New Roman"/>
          <w:b/>
          <w:szCs w:val="17"/>
        </w:rPr>
        <w:t>Year 7</w:t>
      </w:r>
    </w:p>
    <w:p w:rsidR="00124CEC" w:rsidRPr="00124CEC" w:rsidRDefault="00124CEC" w:rsidP="00124CEC">
      <w:pPr>
        <w:rPr>
          <w:rFonts w:eastAsia="Times New Roman"/>
          <w:szCs w:val="17"/>
        </w:rPr>
      </w:pPr>
      <w:r w:rsidRPr="00124CEC">
        <w:rPr>
          <w:rFonts w:eastAsia="Times New Roman"/>
          <w:szCs w:val="17"/>
        </w:rPr>
        <w:t xml:space="preserve">The student enrolment ceiling for Year 7 is limited to </w:t>
      </w:r>
      <w:r w:rsidRPr="00124CEC">
        <w:rPr>
          <w:rFonts w:eastAsia="Times New Roman"/>
          <w:b/>
          <w:szCs w:val="17"/>
        </w:rPr>
        <w:t>300</w:t>
      </w:r>
      <w:r w:rsidRPr="00124CEC">
        <w:rPr>
          <w:rFonts w:eastAsia="Times New Roman"/>
          <w:szCs w:val="17"/>
        </w:rPr>
        <w:t>, unless there are more applications that have met the enrolment criteria below. If there are more than 300 applications for enrolment that have met the criteria for enrolment below, applicants living in the school zone may be shared with Adelaide Botanic High School.</w:t>
      </w:r>
    </w:p>
    <w:p w:rsidR="00124CEC" w:rsidRPr="00124CEC" w:rsidRDefault="00124CEC" w:rsidP="00124CEC">
      <w:pPr>
        <w:rPr>
          <w:rFonts w:eastAsia="Times New Roman"/>
          <w:b/>
          <w:szCs w:val="17"/>
        </w:rPr>
      </w:pPr>
      <w:r w:rsidRPr="00124CEC">
        <w:rPr>
          <w:rFonts w:eastAsia="Times New Roman"/>
          <w:b/>
          <w:szCs w:val="17"/>
        </w:rPr>
        <w:t>Year 8</w:t>
      </w:r>
    </w:p>
    <w:p w:rsidR="00124CEC" w:rsidRPr="00124CEC" w:rsidRDefault="00124CEC" w:rsidP="00124CEC">
      <w:pPr>
        <w:rPr>
          <w:rFonts w:eastAsia="Times New Roman"/>
          <w:szCs w:val="17"/>
        </w:rPr>
      </w:pPr>
      <w:r w:rsidRPr="00124CEC">
        <w:rPr>
          <w:rFonts w:eastAsia="Times New Roman"/>
          <w:szCs w:val="17"/>
        </w:rPr>
        <w:t xml:space="preserve">The student enrolment ceiling for year 8 in 2022 is limited to </w:t>
      </w:r>
      <w:r w:rsidRPr="00124CEC">
        <w:rPr>
          <w:rFonts w:eastAsia="Times New Roman"/>
          <w:b/>
          <w:szCs w:val="17"/>
        </w:rPr>
        <w:t>300</w:t>
      </w:r>
      <w:r w:rsidRPr="00124CEC">
        <w:rPr>
          <w:rFonts w:eastAsia="Times New Roman"/>
          <w:szCs w:val="17"/>
        </w:rPr>
        <w:t>, unless there are more applications that have met the enrolment criteria below. If there are more than 300 applications for enrolment that have met the criteria for enrolment below, applicants living in the school zone may be shared with Adelaide Botanic High School.</w:t>
      </w:r>
    </w:p>
    <w:p w:rsidR="00124CEC" w:rsidRPr="00124CEC" w:rsidRDefault="00124CEC" w:rsidP="00124CEC">
      <w:pPr>
        <w:rPr>
          <w:rFonts w:eastAsia="Times New Roman"/>
          <w:b/>
          <w:szCs w:val="17"/>
        </w:rPr>
      </w:pPr>
      <w:r w:rsidRPr="00124CEC">
        <w:rPr>
          <w:rFonts w:eastAsia="Times New Roman"/>
          <w:b/>
          <w:szCs w:val="17"/>
        </w:rPr>
        <w:t>Selective entry special interest programs</w:t>
      </w:r>
    </w:p>
    <w:p w:rsidR="00124CEC" w:rsidRPr="00124CEC" w:rsidRDefault="00124CEC" w:rsidP="00124CEC">
      <w:pPr>
        <w:rPr>
          <w:rFonts w:eastAsia="Times New Roman"/>
          <w:spacing w:val="-4"/>
          <w:szCs w:val="17"/>
        </w:rPr>
      </w:pPr>
      <w:r w:rsidRPr="00124CEC">
        <w:rPr>
          <w:rFonts w:eastAsia="Times New Roman"/>
          <w:spacing w:val="-4"/>
          <w:szCs w:val="17"/>
        </w:rPr>
        <w:t>The maximum number of out of zone enrolments to the school’s selective entry special interest programs is limited at year 7 (and year 8 in 2022), as follows:</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r>
      <w:r w:rsidRPr="00124CEC">
        <w:rPr>
          <w:rFonts w:eastAsia="Times New Roman"/>
          <w:b/>
          <w:szCs w:val="17"/>
        </w:rPr>
        <w:t>60</w:t>
      </w:r>
      <w:r w:rsidRPr="00124CEC">
        <w:rPr>
          <w:rFonts w:eastAsia="Times New Roman"/>
          <w:szCs w:val="17"/>
        </w:rPr>
        <w:t xml:space="preserve"> Language program</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r>
      <w:r w:rsidRPr="00124CEC">
        <w:rPr>
          <w:rFonts w:eastAsia="Times New Roman"/>
          <w:b/>
          <w:szCs w:val="17"/>
        </w:rPr>
        <w:t>15</w:t>
      </w:r>
      <w:r w:rsidRPr="00124CEC">
        <w:rPr>
          <w:rFonts w:eastAsia="Times New Roman"/>
          <w:szCs w:val="17"/>
        </w:rPr>
        <w:t xml:space="preserve"> Cricket program</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r>
      <w:r w:rsidRPr="00124CEC">
        <w:rPr>
          <w:rFonts w:eastAsia="Times New Roman"/>
          <w:b/>
          <w:szCs w:val="17"/>
        </w:rPr>
        <w:t>15</w:t>
      </w:r>
      <w:r w:rsidRPr="00124CEC">
        <w:rPr>
          <w:rFonts w:eastAsia="Times New Roman"/>
          <w:szCs w:val="17"/>
        </w:rPr>
        <w:t xml:space="preserve"> Rowing program</w:t>
      </w:r>
    </w:p>
    <w:p w:rsidR="00124CEC" w:rsidRPr="00124CEC" w:rsidRDefault="00124CEC" w:rsidP="00124CEC">
      <w:pPr>
        <w:rPr>
          <w:rFonts w:eastAsia="Times New Roman"/>
          <w:spacing w:val="-2"/>
          <w:szCs w:val="17"/>
        </w:rPr>
      </w:pPr>
      <w:r w:rsidRPr="00124CEC">
        <w:rPr>
          <w:rFonts w:eastAsia="Times New Roman"/>
          <w:spacing w:val="-2"/>
          <w:szCs w:val="17"/>
        </w:rPr>
        <w:t xml:space="preserve">Selective entry numbers are included in the Year 7 (and Year 8 in 2022) enrolment ceiling of 300 students. Entries to the programs are subject to the eligibility requirements published by the school, available from: </w:t>
      </w:r>
      <w:hyperlink r:id="rId23" w:history="1">
        <w:r w:rsidRPr="00124CEC">
          <w:rPr>
            <w:rFonts w:eastAsia="Times New Roman"/>
            <w:color w:val="0000FF"/>
            <w:spacing w:val="-2"/>
            <w:szCs w:val="17"/>
            <w:u w:val="single"/>
          </w:rPr>
          <w:t>http://www.adelaidehs.sa.edu.au/Enrolment/Enrolment-Options</w:t>
        </w:r>
      </w:hyperlink>
      <w:r w:rsidRPr="00124CEC">
        <w:rPr>
          <w:rFonts w:eastAsia="Times New Roman"/>
          <w:spacing w:val="-2"/>
          <w:szCs w:val="17"/>
        </w:rPr>
        <w:t xml:space="preserve">. </w:t>
      </w:r>
    </w:p>
    <w:p w:rsidR="00124CEC" w:rsidRPr="00124CEC" w:rsidRDefault="00124CEC" w:rsidP="00124CEC">
      <w:pPr>
        <w:rPr>
          <w:rFonts w:eastAsia="Times New Roman"/>
          <w:b/>
          <w:szCs w:val="17"/>
        </w:rPr>
      </w:pPr>
      <w:r w:rsidRPr="00124CEC">
        <w:rPr>
          <w:rFonts w:eastAsia="Times New Roman"/>
          <w:b/>
          <w:szCs w:val="17"/>
        </w:rPr>
        <w:t>International Education Program</w:t>
      </w:r>
    </w:p>
    <w:p w:rsidR="00124CEC" w:rsidRPr="00124CEC" w:rsidRDefault="00124CEC" w:rsidP="00124CEC">
      <w:pPr>
        <w:rPr>
          <w:rFonts w:eastAsia="Times New Roman"/>
          <w:szCs w:val="17"/>
        </w:rPr>
      </w:pPr>
      <w:r w:rsidRPr="00124CEC">
        <w:rPr>
          <w:rFonts w:eastAsia="Times New Roman"/>
          <w:szCs w:val="17"/>
        </w:rPr>
        <w:t xml:space="preserve">The maximum number of international students who can be offered enrolment at the school in the International Education Program will be limited to </w:t>
      </w:r>
      <w:r w:rsidRPr="00124CEC">
        <w:rPr>
          <w:rFonts w:eastAsia="Times New Roman"/>
          <w:b/>
          <w:szCs w:val="17"/>
        </w:rPr>
        <w:t>75</w:t>
      </w:r>
      <w:r w:rsidRPr="00124CEC">
        <w:rPr>
          <w:rFonts w:eastAsia="Times New Roman"/>
          <w:szCs w:val="17"/>
        </w:rPr>
        <w:t xml:space="preserve"> students across all year levels.</w:t>
      </w:r>
    </w:p>
    <w:p w:rsidR="00124CEC" w:rsidRPr="00124CEC" w:rsidRDefault="00124CEC" w:rsidP="00124CEC">
      <w:pPr>
        <w:rPr>
          <w:rFonts w:eastAsia="Times New Roman"/>
          <w:b/>
          <w:szCs w:val="17"/>
        </w:rPr>
      </w:pPr>
      <w:r w:rsidRPr="00124CEC">
        <w:rPr>
          <w:rFonts w:eastAsia="Times New Roman"/>
          <w:b/>
          <w:szCs w:val="17"/>
        </w:rPr>
        <w:t>Centre for Deaf and Hard of Hearing</w:t>
      </w:r>
    </w:p>
    <w:p w:rsidR="00124CEC" w:rsidRPr="00124CEC" w:rsidRDefault="00124CEC" w:rsidP="00124CEC">
      <w:pPr>
        <w:rPr>
          <w:rFonts w:eastAsia="Times New Roman"/>
          <w:szCs w:val="17"/>
        </w:rPr>
      </w:pPr>
      <w:r w:rsidRPr="00124CEC">
        <w:rPr>
          <w:rFonts w:eastAsia="Times New Roman"/>
          <w:szCs w:val="17"/>
        </w:rPr>
        <w:t>Students with bilateral hearing loss verified by audiologists and who have been recommended as eligible by a department’s sensory panel can enrol into the centre.</w:t>
      </w:r>
    </w:p>
    <w:p w:rsidR="00124CEC" w:rsidRPr="00124CEC" w:rsidRDefault="00124CEC" w:rsidP="00124CEC">
      <w:pPr>
        <w:jc w:val="center"/>
        <w:rPr>
          <w:i/>
          <w:szCs w:val="17"/>
        </w:rPr>
      </w:pPr>
      <w:r w:rsidRPr="00124CEC">
        <w:rPr>
          <w:i/>
          <w:szCs w:val="17"/>
        </w:rPr>
        <w:t>Enrolment Criteria—By Year Level</w:t>
      </w:r>
    </w:p>
    <w:p w:rsidR="00124CEC" w:rsidRPr="00124CEC" w:rsidRDefault="00124CEC" w:rsidP="00124CEC">
      <w:pPr>
        <w:rPr>
          <w:rFonts w:eastAsia="Times New Roman"/>
          <w:b/>
          <w:szCs w:val="17"/>
        </w:rPr>
      </w:pPr>
      <w:r w:rsidRPr="00124CEC">
        <w:rPr>
          <w:rFonts w:eastAsia="Times New Roman"/>
          <w:b/>
          <w:szCs w:val="17"/>
        </w:rPr>
        <w:t>YEAR LEVEL: 7 (and 8 in 2022)</w:t>
      </w:r>
    </w:p>
    <w:p w:rsidR="00124CEC" w:rsidRPr="00124CEC" w:rsidRDefault="00124CEC" w:rsidP="00124CEC">
      <w:pPr>
        <w:rPr>
          <w:rFonts w:eastAsia="Times New Roman"/>
          <w:szCs w:val="17"/>
        </w:rPr>
      </w:pPr>
      <w:r w:rsidRPr="00124CEC">
        <w:rPr>
          <w:rFonts w:eastAsia="Times New Roman"/>
          <w:szCs w:val="17"/>
        </w:rPr>
        <w:t>Applications for enrolment from parents of prospective Year 7 (and Year 8 in 2022) students require that the student must be enrolled in a government or non-government school in South Australia at the time the parents apply for enrolment through the state-wide registration of interest process (coordinated by the Department for Education).</w:t>
      </w:r>
    </w:p>
    <w:p w:rsidR="00124CEC" w:rsidRPr="00124CEC" w:rsidRDefault="00124CEC" w:rsidP="00124CEC">
      <w:pPr>
        <w:rPr>
          <w:rFonts w:eastAsia="Times New Roman"/>
          <w:spacing w:val="-2"/>
          <w:szCs w:val="17"/>
        </w:rPr>
      </w:pPr>
      <w:r w:rsidRPr="00124CEC">
        <w:rPr>
          <w:rFonts w:eastAsia="Times New Roman"/>
          <w:spacing w:val="-2"/>
          <w:szCs w:val="17"/>
        </w:rPr>
        <w:t>The applicant must meet one of the following requirements to be eligible for a year 7 (and Year 8 in 2022) allocation at Adelaide High School through the registration of interest process for the coming school year:</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child is living in the shared school zone of Adelaide High School and Adelaide Botanic High School.</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child has been offered enrolment on the basis that the child lives in a suburb formerly in the shared school zone of Adelaide Botanic High School and Adelaide High School and has a sibling currently attending the school</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child has received and accepted an offer for enrolment by the school to participate in one of the selective entry special interest programs.</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child identifies as Aboriginal and/or Torres Strait Islander through the Enter for Success program (applications due by the end of term 4, the previous year).</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 xml:space="preserve">the child has been granted enrolment due to special or extenuating circumstances, including but not limited to a child in care where there is a custody or guardianship order made under the </w:t>
      </w:r>
      <w:r w:rsidRPr="00124CEC">
        <w:rPr>
          <w:rFonts w:eastAsia="Times New Roman"/>
          <w:i/>
          <w:szCs w:val="17"/>
        </w:rPr>
        <w:t>Children and Young People (Safety) Act 2017</w:t>
      </w:r>
      <w:r w:rsidRPr="00124CEC">
        <w:rPr>
          <w:rFonts w:eastAsia="Times New Roman"/>
          <w:szCs w:val="17"/>
        </w:rPr>
        <w:t>.</w:t>
      </w:r>
    </w:p>
    <w:p w:rsidR="00124CEC" w:rsidRPr="00124CEC" w:rsidRDefault="00124CEC" w:rsidP="00124CEC">
      <w:pPr>
        <w:spacing w:after="0" w:line="240" w:lineRule="auto"/>
        <w:jc w:val="left"/>
        <w:rPr>
          <w:rFonts w:eastAsia="Times New Roman"/>
          <w:b/>
          <w:szCs w:val="17"/>
        </w:rPr>
      </w:pPr>
      <w:r w:rsidRPr="00124CEC">
        <w:rPr>
          <w:rFonts w:eastAsia="Times New Roman"/>
          <w:b/>
          <w:szCs w:val="20"/>
        </w:rPr>
        <w:br w:type="page"/>
      </w:r>
    </w:p>
    <w:p w:rsidR="00124CEC" w:rsidRPr="00124CEC" w:rsidRDefault="00124CEC" w:rsidP="00124CEC">
      <w:pPr>
        <w:rPr>
          <w:rFonts w:eastAsia="Times New Roman"/>
          <w:b/>
          <w:szCs w:val="17"/>
        </w:rPr>
      </w:pPr>
      <w:r w:rsidRPr="00124CEC">
        <w:rPr>
          <w:rFonts w:eastAsia="Times New Roman"/>
          <w:b/>
          <w:szCs w:val="17"/>
        </w:rPr>
        <w:lastRenderedPageBreak/>
        <w:t>Applications for Year 7 (and Year 8 in 2022) from students living in the shared school zone</w:t>
      </w:r>
    </w:p>
    <w:p w:rsidR="00124CEC" w:rsidRPr="00124CEC" w:rsidRDefault="00124CEC" w:rsidP="00124CEC">
      <w:pPr>
        <w:rPr>
          <w:rFonts w:eastAsia="Times New Roman"/>
          <w:spacing w:val="-2"/>
          <w:szCs w:val="17"/>
        </w:rPr>
      </w:pPr>
      <w:r w:rsidRPr="00124CEC">
        <w:rPr>
          <w:rFonts w:eastAsia="Times New Roman"/>
          <w:spacing w:val="-2"/>
          <w:szCs w:val="17"/>
        </w:rPr>
        <w:t>Parents of prospective Year 7 (and Year 8 in 2022) students living in the shared school zone can nominate their choice of school through the department’s registration of interest process. Places will be offered based on a child’s highest choice of school, and availability of places.</w:t>
      </w:r>
    </w:p>
    <w:p w:rsidR="00124CEC" w:rsidRPr="00124CEC" w:rsidRDefault="00124CEC" w:rsidP="00124CEC">
      <w:pPr>
        <w:rPr>
          <w:rFonts w:eastAsia="Times New Roman"/>
          <w:szCs w:val="17"/>
        </w:rPr>
      </w:pPr>
      <w:r w:rsidRPr="00124CEC">
        <w:rPr>
          <w:rFonts w:eastAsia="Times New Roman"/>
          <w:szCs w:val="17"/>
        </w:rPr>
        <w:t>If more applications than the enrolment ceiling are received from parents living in the shared school zone, a priority order may be applied to applications and places will be offered based on whether any, all or a combination of the following applies:</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child currently has a sibling attending the school</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distance of the child’s residence from the school</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other personal needs, such as curriculum (excluding special interest programs), transportation/location convenience, and social/family links at the school.</w:t>
      </w:r>
    </w:p>
    <w:p w:rsidR="00124CEC" w:rsidRPr="00124CEC" w:rsidRDefault="00124CEC" w:rsidP="00124CEC">
      <w:pPr>
        <w:rPr>
          <w:rFonts w:eastAsia="Times New Roman"/>
          <w:spacing w:val="-4"/>
          <w:szCs w:val="17"/>
        </w:rPr>
      </w:pPr>
      <w:r w:rsidRPr="00124CEC">
        <w:rPr>
          <w:rFonts w:eastAsia="Times New Roman"/>
          <w:spacing w:val="-4"/>
          <w:szCs w:val="17"/>
        </w:rPr>
        <w:t>Applicants not allocated their first choice of school will be placed on the enrolment register, and will be referred for enrolment to the shared zone school (Adelaide Botanic High School).</w:t>
      </w:r>
    </w:p>
    <w:p w:rsidR="00124CEC" w:rsidRPr="00124CEC" w:rsidRDefault="00124CEC" w:rsidP="00124CEC">
      <w:pPr>
        <w:rPr>
          <w:rFonts w:eastAsia="Times New Roman"/>
          <w:b/>
          <w:szCs w:val="17"/>
        </w:rPr>
      </w:pPr>
      <w:r w:rsidRPr="00124CEC">
        <w:rPr>
          <w:rFonts w:eastAsia="Times New Roman"/>
          <w:b/>
          <w:szCs w:val="17"/>
        </w:rPr>
        <w:t>Applications for Year 7 (and Year 8 in 2022) from students living outside the zone with siblings currently at the school</w:t>
      </w:r>
    </w:p>
    <w:p w:rsidR="00124CEC" w:rsidRPr="00124CEC" w:rsidRDefault="00124CEC" w:rsidP="00124CEC">
      <w:pPr>
        <w:rPr>
          <w:rFonts w:eastAsia="Times New Roman"/>
          <w:szCs w:val="17"/>
        </w:rPr>
      </w:pPr>
      <w:r w:rsidRPr="00124CEC">
        <w:rPr>
          <w:rFonts w:eastAsia="Times New Roman"/>
          <w:szCs w:val="17"/>
        </w:rPr>
        <w:t>There is no automatic entry to the school for Year 7 (and Year 8 in 2022) students who live outside the school’s zone and have siblings who currently attend the school.</w:t>
      </w:r>
    </w:p>
    <w:p w:rsidR="00124CEC" w:rsidRPr="00124CEC" w:rsidRDefault="00124CEC" w:rsidP="00124CEC">
      <w:pPr>
        <w:rPr>
          <w:rFonts w:eastAsia="Times New Roman"/>
          <w:spacing w:val="-2"/>
          <w:szCs w:val="17"/>
        </w:rPr>
      </w:pPr>
      <w:r w:rsidRPr="00124CEC">
        <w:rPr>
          <w:rFonts w:eastAsia="Times New Roman"/>
          <w:spacing w:val="-2"/>
          <w:szCs w:val="17"/>
        </w:rPr>
        <w:t>Application for Year 7 (and Year 8 in 2022) from students who have siblings currently at the school and live outside the school zone, but in suburbs formerly in the shared school zone of Adelaide Botanic High School and Adelaide High School will be considered for enrolment if:</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child has applied through the department’s statewide registration of interest process; and</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sibling was living in the shared school zone in the suburbs of Clarence Park (west of East Avenue), Black Forest, Glandore, Kurralta Park, Marleston (east of Grove Avenue), Richmond (east of Brooker Terrace), Hilton, Mile End (east of Bagot Avenue and west of South Road) or Torrensville (east of Jervois Street) when they enrolled at the school for 2019; and</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sibling continues to be enrolled to attend the school in the coming school year; and</w:t>
      </w:r>
    </w:p>
    <w:p w:rsidR="00124CEC" w:rsidRPr="00124CEC" w:rsidRDefault="00124CEC" w:rsidP="00124CEC">
      <w:pPr>
        <w:ind w:left="284" w:hanging="142"/>
        <w:rPr>
          <w:rFonts w:eastAsia="Times New Roman"/>
          <w:szCs w:val="17"/>
        </w:rPr>
      </w:pPr>
      <w:r w:rsidRPr="00124CEC">
        <w:rPr>
          <w:rFonts w:eastAsia="Times New Roman"/>
          <w:szCs w:val="17"/>
        </w:rPr>
        <w:t>•</w:t>
      </w:r>
      <w:r w:rsidRPr="00124CEC">
        <w:rPr>
          <w:rFonts w:eastAsia="Times New Roman"/>
          <w:szCs w:val="17"/>
        </w:rPr>
        <w:tab/>
        <w:t>the child is still living in suburbs previously included in the school’s shared zone (listed above).</w:t>
      </w:r>
    </w:p>
    <w:p w:rsidR="00124CEC" w:rsidRPr="00124CEC" w:rsidRDefault="00124CEC" w:rsidP="00124CEC">
      <w:pPr>
        <w:rPr>
          <w:rFonts w:eastAsia="Times New Roman"/>
          <w:szCs w:val="17"/>
        </w:rPr>
      </w:pPr>
      <w:r w:rsidRPr="00124CEC">
        <w:rPr>
          <w:rFonts w:eastAsia="Times New Roman"/>
          <w:szCs w:val="17"/>
        </w:rPr>
        <w:t>Applications for enrolment for children with siblings at the school that meet the requirements set out above will be considered only until the start of the 2023 school year.</w:t>
      </w:r>
    </w:p>
    <w:p w:rsidR="00124CEC" w:rsidRPr="00124CEC" w:rsidRDefault="00124CEC" w:rsidP="00124CEC">
      <w:pPr>
        <w:rPr>
          <w:rFonts w:eastAsia="Times New Roman"/>
          <w:b/>
          <w:szCs w:val="17"/>
        </w:rPr>
      </w:pPr>
      <w:r w:rsidRPr="00124CEC">
        <w:rPr>
          <w:rFonts w:eastAsia="Times New Roman"/>
          <w:b/>
          <w:szCs w:val="17"/>
        </w:rPr>
        <w:t>Late applications for Year 7 (and Year 8 in 2022) from students living in the school zone</w:t>
      </w:r>
    </w:p>
    <w:p w:rsidR="00124CEC" w:rsidRPr="00124CEC" w:rsidRDefault="00124CEC" w:rsidP="00124CEC">
      <w:pPr>
        <w:rPr>
          <w:rFonts w:eastAsia="Times New Roman"/>
          <w:spacing w:val="-2"/>
          <w:szCs w:val="17"/>
        </w:rPr>
      </w:pPr>
      <w:r w:rsidRPr="00124CEC">
        <w:rPr>
          <w:rFonts w:eastAsia="Times New Roman"/>
          <w:spacing w:val="-2"/>
          <w:szCs w:val="17"/>
        </w:rPr>
        <w:t>Families who move into the school zone, or who are already living in the school zone but lodge their application for enrolment after the department’s registration of interest process is completed (end of term 2), will have their applications considered if or when vacancies exist, with priority consideration afforded to those applicants already on the school’s enrolment register.</w:t>
      </w:r>
    </w:p>
    <w:p w:rsidR="00124CEC" w:rsidRPr="00124CEC" w:rsidRDefault="00124CEC" w:rsidP="00124CEC">
      <w:pPr>
        <w:rPr>
          <w:rFonts w:eastAsia="Times New Roman"/>
          <w:spacing w:val="-2"/>
          <w:szCs w:val="17"/>
        </w:rPr>
      </w:pPr>
      <w:r w:rsidRPr="00124CEC">
        <w:rPr>
          <w:rFonts w:eastAsia="Times New Roman"/>
          <w:spacing w:val="-2"/>
          <w:szCs w:val="17"/>
        </w:rPr>
        <w:t>In these cases, applications will be considered based on siblings at the school, the distance of the child’s residence from the school and any other personal needs, such as curriculum (excluding special interest programs), transportation/location convenience, and social/family links.</w:t>
      </w:r>
    </w:p>
    <w:p w:rsidR="00124CEC" w:rsidRPr="00124CEC" w:rsidRDefault="00124CEC" w:rsidP="00124CEC">
      <w:pPr>
        <w:rPr>
          <w:rFonts w:eastAsia="Times New Roman"/>
          <w:spacing w:val="-2"/>
          <w:szCs w:val="17"/>
        </w:rPr>
      </w:pPr>
      <w:r w:rsidRPr="00124CEC">
        <w:rPr>
          <w:rFonts w:eastAsia="Times New Roman"/>
          <w:spacing w:val="-2"/>
          <w:szCs w:val="17"/>
        </w:rPr>
        <w:t>The school will notify parents by the beginning of week 1, term 4 if a vacancy is available for their child to attend the following school year.</w:t>
      </w:r>
    </w:p>
    <w:p w:rsidR="00124CEC" w:rsidRPr="00124CEC" w:rsidRDefault="00124CEC" w:rsidP="00124CEC">
      <w:pPr>
        <w:rPr>
          <w:rFonts w:eastAsia="Times New Roman"/>
          <w:szCs w:val="17"/>
        </w:rPr>
      </w:pPr>
      <w:r w:rsidRPr="00124CEC">
        <w:rPr>
          <w:rFonts w:eastAsia="Times New Roman"/>
          <w:szCs w:val="17"/>
        </w:rPr>
        <w:t>If no vacancies exist, the applicants will be placed on the enrolment register and referred for enrolment to other neighbouring schools.</w:t>
      </w:r>
    </w:p>
    <w:p w:rsidR="00124CEC" w:rsidRPr="00124CEC" w:rsidRDefault="00124CEC" w:rsidP="00124CEC">
      <w:pPr>
        <w:rPr>
          <w:rFonts w:eastAsia="Times New Roman"/>
          <w:b/>
          <w:szCs w:val="17"/>
        </w:rPr>
      </w:pPr>
      <w:r w:rsidRPr="00124CEC">
        <w:rPr>
          <w:rFonts w:eastAsia="Times New Roman"/>
          <w:b/>
          <w:szCs w:val="17"/>
        </w:rPr>
        <w:t>YEAR LEVEL: 8 to 12 (9 to 12 in 2022)</w:t>
      </w:r>
    </w:p>
    <w:p w:rsidR="00124CEC" w:rsidRPr="00124CEC" w:rsidRDefault="00124CEC" w:rsidP="00124CEC">
      <w:pPr>
        <w:rPr>
          <w:rFonts w:eastAsia="Times New Roman"/>
          <w:b/>
          <w:szCs w:val="17"/>
        </w:rPr>
      </w:pPr>
      <w:r w:rsidRPr="00124CEC">
        <w:rPr>
          <w:rFonts w:eastAsia="Times New Roman"/>
          <w:b/>
          <w:szCs w:val="17"/>
        </w:rPr>
        <w:t>Application for Year 8 to 12 (9 to 12 in 2022) from students living in the school zone</w:t>
      </w:r>
    </w:p>
    <w:p w:rsidR="00124CEC" w:rsidRPr="00124CEC" w:rsidRDefault="00124CEC" w:rsidP="00124CEC">
      <w:pPr>
        <w:rPr>
          <w:rFonts w:eastAsia="Times New Roman"/>
          <w:szCs w:val="17"/>
        </w:rPr>
      </w:pPr>
      <w:r w:rsidRPr="00124CEC">
        <w:rPr>
          <w:rFonts w:eastAsia="Times New Roman"/>
          <w:szCs w:val="17"/>
        </w:rPr>
        <w:t>Applications for enrolment from parents of prospective students living in the school zone will be considered if or when vacancies exist, with priority consideration afforded to those applicants already on the enrolment register.</w:t>
      </w:r>
    </w:p>
    <w:p w:rsidR="00124CEC" w:rsidRPr="00124CEC" w:rsidRDefault="00124CEC" w:rsidP="00124CEC">
      <w:pPr>
        <w:rPr>
          <w:rFonts w:eastAsia="Times New Roman"/>
          <w:szCs w:val="17"/>
        </w:rPr>
      </w:pPr>
      <w:r w:rsidRPr="00124CEC">
        <w:rPr>
          <w:rFonts w:eastAsia="Times New Roman"/>
          <w:szCs w:val="17"/>
        </w:rPr>
        <w:t>In these cases, applications will be considered based on siblings at the school, the distance of the child’s residence from the school and any other personal needs, such as curriculum, transportation/location convenience, and social/family links.</w:t>
      </w:r>
    </w:p>
    <w:p w:rsidR="00124CEC" w:rsidRPr="00124CEC" w:rsidRDefault="00124CEC" w:rsidP="00124CEC">
      <w:pPr>
        <w:rPr>
          <w:rFonts w:eastAsia="Times New Roman"/>
          <w:spacing w:val="-2"/>
          <w:szCs w:val="17"/>
        </w:rPr>
      </w:pPr>
      <w:r w:rsidRPr="00124CEC">
        <w:rPr>
          <w:rFonts w:eastAsia="Times New Roman"/>
          <w:spacing w:val="-2"/>
          <w:szCs w:val="17"/>
        </w:rPr>
        <w:t>The school will notify parents by the beginning of week 1, term 4 if a vacancy is available for their child to attend the following school year.</w:t>
      </w:r>
    </w:p>
    <w:p w:rsidR="00124CEC" w:rsidRPr="00124CEC" w:rsidRDefault="00124CEC" w:rsidP="00124CEC">
      <w:pPr>
        <w:rPr>
          <w:rFonts w:eastAsia="Times New Roman"/>
          <w:szCs w:val="17"/>
        </w:rPr>
      </w:pPr>
      <w:r w:rsidRPr="00124CEC">
        <w:rPr>
          <w:rFonts w:eastAsia="Times New Roman"/>
          <w:szCs w:val="17"/>
        </w:rPr>
        <w:t>If no vacancies exist the applicants will be encouraged to remain at their current high school, or referred for enrolment to other neighbouring schools, and upon an applicant’s request will be placed on the school’s enrolment register.</w:t>
      </w:r>
    </w:p>
    <w:p w:rsidR="00124CEC" w:rsidRPr="00124CEC" w:rsidRDefault="00124CEC" w:rsidP="00124CEC">
      <w:pPr>
        <w:rPr>
          <w:rFonts w:eastAsia="Times New Roman"/>
          <w:b/>
          <w:szCs w:val="17"/>
        </w:rPr>
      </w:pPr>
      <w:r w:rsidRPr="00124CEC">
        <w:rPr>
          <w:rFonts w:eastAsia="Times New Roman"/>
          <w:b/>
          <w:szCs w:val="17"/>
        </w:rPr>
        <w:t>Out of zone applications with siblings currently at the school</w:t>
      </w:r>
    </w:p>
    <w:p w:rsidR="00124CEC" w:rsidRPr="00124CEC" w:rsidRDefault="00124CEC" w:rsidP="00124CEC">
      <w:pPr>
        <w:rPr>
          <w:rFonts w:eastAsia="Times New Roman"/>
          <w:szCs w:val="17"/>
        </w:rPr>
      </w:pPr>
      <w:r w:rsidRPr="00124CEC">
        <w:rPr>
          <w:rFonts w:eastAsia="Times New Roman"/>
          <w:szCs w:val="17"/>
        </w:rPr>
        <w:t>There is no automatic entry to the school for prospective Year 8 to 12 students (9 to 12 in 2022) who live outside the school’s zone and have siblings who currently attend the school.</w:t>
      </w:r>
    </w:p>
    <w:p w:rsidR="00124CEC" w:rsidRPr="00124CEC" w:rsidRDefault="00124CEC" w:rsidP="00124CEC">
      <w:pPr>
        <w:jc w:val="center"/>
        <w:rPr>
          <w:i/>
          <w:szCs w:val="17"/>
        </w:rPr>
      </w:pPr>
      <w:r w:rsidRPr="00124CEC">
        <w:rPr>
          <w:i/>
          <w:szCs w:val="17"/>
        </w:rPr>
        <w:t>Enrolment Criteria—General</w:t>
      </w:r>
    </w:p>
    <w:p w:rsidR="00124CEC" w:rsidRPr="00124CEC" w:rsidRDefault="00124CEC" w:rsidP="00124CEC">
      <w:pPr>
        <w:rPr>
          <w:rFonts w:eastAsia="Times New Roman"/>
          <w:b/>
          <w:szCs w:val="17"/>
        </w:rPr>
      </w:pPr>
      <w:r w:rsidRPr="00124CEC">
        <w:rPr>
          <w:rFonts w:eastAsia="Times New Roman"/>
          <w:b/>
          <w:szCs w:val="17"/>
        </w:rPr>
        <w:t>Transfer of students between schools in the shared school zone</w:t>
      </w:r>
    </w:p>
    <w:p w:rsidR="00124CEC" w:rsidRPr="00124CEC" w:rsidRDefault="00124CEC" w:rsidP="00124CEC">
      <w:pPr>
        <w:rPr>
          <w:rFonts w:eastAsia="Times New Roman"/>
          <w:szCs w:val="17"/>
        </w:rPr>
      </w:pPr>
      <w:r w:rsidRPr="00124CEC">
        <w:rPr>
          <w:rFonts w:eastAsia="Times New Roman"/>
          <w:szCs w:val="17"/>
        </w:rPr>
        <w:t>Applications for students living in the shared school zone seeking to transfer from Adelaide Botanic High School to Adelaide High School will only be considered in special circumstances and by agreement between the principals of the schools. These applications will be assessed on a case by case basis.</w:t>
      </w:r>
    </w:p>
    <w:p w:rsidR="00124CEC" w:rsidRPr="00124CEC" w:rsidRDefault="00124CEC" w:rsidP="00124CEC">
      <w:pPr>
        <w:rPr>
          <w:rFonts w:eastAsia="Times New Roman"/>
          <w:b/>
          <w:szCs w:val="17"/>
        </w:rPr>
      </w:pPr>
      <w:r w:rsidRPr="00124CEC">
        <w:rPr>
          <w:rFonts w:eastAsia="Times New Roman"/>
          <w:b/>
          <w:szCs w:val="17"/>
        </w:rPr>
        <w:t>Special Circumstances</w:t>
      </w:r>
    </w:p>
    <w:p w:rsidR="00124CEC" w:rsidRPr="00124CEC" w:rsidRDefault="00124CEC" w:rsidP="00124CEC">
      <w:pPr>
        <w:rPr>
          <w:rFonts w:eastAsia="Times New Roman"/>
          <w:szCs w:val="17"/>
        </w:rPr>
      </w:pPr>
      <w:r w:rsidRPr="00124CEC">
        <w:rPr>
          <w:rFonts w:eastAsia="Times New Roman"/>
          <w:szCs w:val="17"/>
        </w:rPr>
        <w:t xml:space="preserve">Enrolment applications for special consideration based on compelling or unusual reasons, including but not limited to a child in care where there is a custody or guardianship order made under the </w:t>
      </w:r>
      <w:r w:rsidRPr="00124CEC">
        <w:rPr>
          <w:rFonts w:eastAsia="Times New Roman"/>
          <w:i/>
          <w:szCs w:val="17"/>
        </w:rPr>
        <w:t>Children and Young People (Safety) Act 2017</w:t>
      </w:r>
      <w:r w:rsidRPr="00124CEC">
        <w:rPr>
          <w:rFonts w:eastAsia="Times New Roman"/>
          <w:szCs w:val="17"/>
        </w:rPr>
        <w:t>, may be granted by the Principal in consultation with the Education Director. These applications will be assessed on a case by case basis.</w:t>
      </w:r>
    </w:p>
    <w:p w:rsidR="00124CEC" w:rsidRPr="00124CEC" w:rsidRDefault="00124CEC" w:rsidP="00124CEC">
      <w:pPr>
        <w:jc w:val="center"/>
        <w:rPr>
          <w:i/>
          <w:szCs w:val="17"/>
        </w:rPr>
      </w:pPr>
      <w:r w:rsidRPr="00124CEC">
        <w:rPr>
          <w:i/>
          <w:szCs w:val="17"/>
        </w:rPr>
        <w:t>Enrolment Process</w:t>
      </w:r>
    </w:p>
    <w:p w:rsidR="00124CEC" w:rsidRPr="00124CEC" w:rsidRDefault="00124CEC" w:rsidP="00124CEC">
      <w:pPr>
        <w:rPr>
          <w:rFonts w:eastAsia="Times New Roman"/>
          <w:b/>
          <w:szCs w:val="17"/>
        </w:rPr>
      </w:pPr>
      <w:r w:rsidRPr="00124CEC">
        <w:rPr>
          <w:rFonts w:eastAsia="Times New Roman"/>
          <w:b/>
          <w:szCs w:val="17"/>
        </w:rPr>
        <w:t>Enrolment Register</w:t>
      </w:r>
    </w:p>
    <w:p w:rsidR="00124CEC" w:rsidRPr="00124CEC" w:rsidRDefault="00124CEC" w:rsidP="00124CEC">
      <w:pPr>
        <w:rPr>
          <w:rFonts w:eastAsia="Times New Roman"/>
          <w:szCs w:val="17"/>
        </w:rPr>
      </w:pPr>
      <w:r w:rsidRPr="00124CEC">
        <w:rPr>
          <w:rFonts w:eastAsia="Times New Roman"/>
          <w:szCs w:val="17"/>
        </w:rPr>
        <w:t>Parents whose child’s name has been placed on the enrolment register will be contacted by the beginning of week 1, term 4 if a vacancy is available for their child to attend the following school year.</w:t>
      </w:r>
    </w:p>
    <w:p w:rsidR="00124CEC" w:rsidRPr="00124CEC" w:rsidRDefault="00124CEC" w:rsidP="00124CEC">
      <w:pPr>
        <w:rPr>
          <w:rFonts w:eastAsia="Times New Roman"/>
          <w:szCs w:val="17"/>
        </w:rPr>
      </w:pPr>
      <w:r w:rsidRPr="00124CEC">
        <w:rPr>
          <w:rFonts w:eastAsia="Times New Roman"/>
          <w:szCs w:val="17"/>
        </w:rPr>
        <w:t>The enrolment register will be reviewed and updated annually.</w:t>
      </w:r>
    </w:p>
    <w:p w:rsidR="00124CEC" w:rsidRPr="00124CEC" w:rsidRDefault="00124CEC" w:rsidP="00124CEC">
      <w:pPr>
        <w:rPr>
          <w:rFonts w:eastAsia="Times New Roman"/>
          <w:szCs w:val="17"/>
        </w:rPr>
      </w:pPr>
      <w:r w:rsidRPr="00124CEC">
        <w:rPr>
          <w:rFonts w:eastAsia="Times New Roman"/>
          <w:szCs w:val="17"/>
        </w:rPr>
        <w:t>The position that a child’s name appears on the register is confidential and will only be disclosed as required by law.</w:t>
      </w:r>
    </w:p>
    <w:p w:rsidR="002F0B46" w:rsidRDefault="002F0B46">
      <w:pPr>
        <w:spacing w:after="0" w:line="240" w:lineRule="auto"/>
        <w:jc w:val="left"/>
        <w:rPr>
          <w:rFonts w:eastAsia="Times New Roman"/>
          <w:b/>
          <w:szCs w:val="17"/>
        </w:rPr>
      </w:pPr>
      <w:r>
        <w:rPr>
          <w:rFonts w:eastAsia="Times New Roman"/>
          <w:b/>
          <w:szCs w:val="17"/>
        </w:rPr>
        <w:br w:type="page"/>
      </w:r>
    </w:p>
    <w:p w:rsidR="00124CEC" w:rsidRPr="00124CEC" w:rsidRDefault="00124CEC" w:rsidP="00124CEC">
      <w:pPr>
        <w:rPr>
          <w:rFonts w:eastAsia="Times New Roman"/>
          <w:b/>
          <w:szCs w:val="17"/>
        </w:rPr>
      </w:pPr>
      <w:r w:rsidRPr="00124CEC">
        <w:rPr>
          <w:rFonts w:eastAsia="Times New Roman"/>
          <w:b/>
          <w:szCs w:val="17"/>
        </w:rPr>
        <w:lastRenderedPageBreak/>
        <w:t>Monitoring and enforcement</w:t>
      </w:r>
    </w:p>
    <w:p w:rsidR="00124CEC" w:rsidRPr="00124CEC" w:rsidRDefault="00124CEC" w:rsidP="00124CEC">
      <w:pPr>
        <w:rPr>
          <w:rFonts w:eastAsia="Times New Roman"/>
          <w:szCs w:val="17"/>
        </w:rPr>
      </w:pPr>
      <w:r w:rsidRPr="00124CEC">
        <w:rPr>
          <w:rFonts w:eastAsia="Times New Roman"/>
          <w:szCs w:val="17"/>
        </w:rPr>
        <w:t>It is the responsibility of the parents applying for enrolment to be able to verify to the satisfaction of the school that the information provided is true and factual.</w:t>
      </w:r>
    </w:p>
    <w:p w:rsidR="00124CEC" w:rsidRPr="00124CEC" w:rsidRDefault="00124CEC" w:rsidP="00124CEC">
      <w:pPr>
        <w:rPr>
          <w:rFonts w:eastAsia="Times New Roman"/>
          <w:spacing w:val="-4"/>
          <w:szCs w:val="17"/>
        </w:rPr>
      </w:pPr>
      <w:r w:rsidRPr="00124CEC">
        <w:rPr>
          <w:rFonts w:eastAsia="Times New Roman"/>
          <w:spacing w:val="-4"/>
          <w:szCs w:val="17"/>
        </w:rPr>
        <w:t xml:space="preserve">If a child was enrolled at the school on the basis of false or misleading information (including residential address) the Chief Executive may direct that the child be instead enrolled at another Government school pursuant to Section 63(1) of the </w:t>
      </w:r>
      <w:r w:rsidRPr="00124CEC">
        <w:rPr>
          <w:rFonts w:eastAsia="Times New Roman"/>
          <w:i/>
          <w:spacing w:val="-4"/>
          <w:szCs w:val="17"/>
        </w:rPr>
        <w:t>Education and Children’s Services Act 2019</w:t>
      </w:r>
      <w:r w:rsidRPr="00124CEC">
        <w:rPr>
          <w:rFonts w:eastAsia="Times New Roman"/>
          <w:spacing w:val="-4"/>
          <w:szCs w:val="17"/>
        </w:rPr>
        <w:t>.</w:t>
      </w:r>
    </w:p>
    <w:p w:rsidR="00124CEC" w:rsidRPr="00124CEC" w:rsidRDefault="00124CEC" w:rsidP="00124CEC">
      <w:pPr>
        <w:rPr>
          <w:rFonts w:eastAsia="Times New Roman"/>
          <w:szCs w:val="17"/>
        </w:rPr>
      </w:pPr>
      <w:r w:rsidRPr="00124CEC">
        <w:rPr>
          <w:rFonts w:eastAsia="Times New Roman"/>
          <w:szCs w:val="17"/>
        </w:rPr>
        <w:t>The Principal is responsible for the implementation of this Capacity Management Plan and all decisions on enrolments.</w:t>
      </w:r>
    </w:p>
    <w:p w:rsidR="00124CEC" w:rsidRPr="00124CEC" w:rsidRDefault="00124CEC" w:rsidP="00124CEC">
      <w:pPr>
        <w:rPr>
          <w:rFonts w:eastAsia="Times New Roman"/>
          <w:szCs w:val="17"/>
        </w:rPr>
      </w:pPr>
      <w:r w:rsidRPr="00124CEC">
        <w:rPr>
          <w:rFonts w:eastAsia="Times New Roman"/>
          <w:szCs w:val="17"/>
        </w:rPr>
        <w:t>This Capacity Management Plan will be reviewed as required.</w:t>
      </w:r>
    </w:p>
    <w:p w:rsidR="00124CEC" w:rsidRPr="00124CEC" w:rsidRDefault="00124CEC" w:rsidP="00124CEC">
      <w:pPr>
        <w:spacing w:after="0"/>
        <w:rPr>
          <w:rFonts w:eastAsia="Times New Roman"/>
          <w:szCs w:val="17"/>
        </w:rPr>
      </w:pPr>
      <w:r w:rsidRPr="00124CEC">
        <w:rPr>
          <w:rFonts w:eastAsia="Times New Roman"/>
          <w:szCs w:val="17"/>
        </w:rPr>
        <w:t>Dated: 18 April 2021</w:t>
      </w:r>
    </w:p>
    <w:p w:rsidR="00124CEC" w:rsidRPr="00124CEC" w:rsidRDefault="00124CEC" w:rsidP="00124CEC">
      <w:pPr>
        <w:spacing w:after="0"/>
        <w:jc w:val="right"/>
        <w:rPr>
          <w:rFonts w:eastAsia="Times New Roman"/>
          <w:smallCaps/>
          <w:szCs w:val="20"/>
        </w:rPr>
      </w:pPr>
      <w:r w:rsidRPr="00124CEC">
        <w:rPr>
          <w:rFonts w:eastAsia="Times New Roman"/>
          <w:smallCaps/>
          <w:szCs w:val="20"/>
        </w:rPr>
        <w:t>John Gardner</w:t>
      </w:r>
    </w:p>
    <w:p w:rsidR="00124CEC" w:rsidRPr="00124CEC" w:rsidRDefault="00124CEC" w:rsidP="00124CEC">
      <w:pPr>
        <w:spacing w:after="0"/>
        <w:jc w:val="right"/>
        <w:rPr>
          <w:rFonts w:eastAsia="Times New Roman"/>
          <w:szCs w:val="17"/>
        </w:rPr>
      </w:pPr>
      <w:r w:rsidRPr="00124CEC">
        <w:rPr>
          <w:rFonts w:eastAsia="Times New Roman"/>
          <w:szCs w:val="17"/>
        </w:rPr>
        <w:t>Minister for Education</w:t>
      </w:r>
    </w:p>
    <w:p w:rsidR="00124CEC" w:rsidRPr="00124CEC" w:rsidRDefault="00124CEC" w:rsidP="00124CEC">
      <w:pPr>
        <w:pBdr>
          <w:top w:val="single" w:sz="4" w:space="1" w:color="auto"/>
        </w:pBdr>
        <w:spacing w:before="100" w:after="0" w:line="14" w:lineRule="exact"/>
        <w:jc w:val="center"/>
        <w:rPr>
          <w:rFonts w:eastAsia="Times New Roman"/>
          <w:szCs w:val="17"/>
        </w:rPr>
      </w:pPr>
    </w:p>
    <w:p w:rsidR="00124CEC" w:rsidRPr="00124CEC" w:rsidRDefault="00124CEC" w:rsidP="00124CE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D1461" w:rsidRPr="001D1461" w:rsidRDefault="001D1461" w:rsidP="001D1461">
      <w:pPr>
        <w:jc w:val="center"/>
        <w:rPr>
          <w:caps/>
          <w:szCs w:val="17"/>
        </w:rPr>
      </w:pPr>
      <w:r w:rsidRPr="001D1461">
        <w:rPr>
          <w:caps/>
          <w:szCs w:val="17"/>
        </w:rPr>
        <w:t>Education and Children’s Services Regulations 2020</w:t>
      </w:r>
    </w:p>
    <w:p w:rsidR="001D1461" w:rsidRPr="001D1461" w:rsidRDefault="001D1461" w:rsidP="001D1461">
      <w:pPr>
        <w:jc w:val="center"/>
        <w:rPr>
          <w:i/>
          <w:szCs w:val="17"/>
        </w:rPr>
      </w:pPr>
      <w:r w:rsidRPr="001D1461">
        <w:rPr>
          <w:i/>
          <w:szCs w:val="17"/>
        </w:rPr>
        <w:t>Notice of Policy by the Minister for Education</w:t>
      </w:r>
    </w:p>
    <w:p w:rsidR="001D1461" w:rsidRPr="001D1461" w:rsidRDefault="001D1461" w:rsidP="001D1461">
      <w:pPr>
        <w:rPr>
          <w:rFonts w:eastAsia="Times New Roman"/>
          <w:szCs w:val="17"/>
        </w:rPr>
      </w:pPr>
      <w:r w:rsidRPr="001D1461">
        <w:rPr>
          <w:rFonts w:eastAsia="Times New Roman"/>
          <w:szCs w:val="17"/>
        </w:rPr>
        <w:t xml:space="preserve">PURSUANT to Regulation 12(1) of the </w:t>
      </w:r>
      <w:r w:rsidRPr="001D1461">
        <w:rPr>
          <w:rFonts w:eastAsia="Times New Roman"/>
          <w:i/>
          <w:szCs w:val="17"/>
        </w:rPr>
        <w:t>Education and Children’s Services Regulations 2020</w:t>
      </w:r>
      <w:r w:rsidRPr="001D1461">
        <w:rPr>
          <w:rFonts w:eastAsia="Times New Roman"/>
          <w:szCs w:val="17"/>
        </w:rPr>
        <w:t>, I, the Minister for Education publish the following Capacity Management Plan for the purposes of the enrolment of a child at the Norwood Morialta High School:</w:t>
      </w:r>
    </w:p>
    <w:p w:rsidR="001D1461" w:rsidRPr="001D1461" w:rsidRDefault="001D1461" w:rsidP="001D1461">
      <w:pPr>
        <w:jc w:val="center"/>
        <w:rPr>
          <w:rFonts w:eastAsia="Times New Roman"/>
          <w:b/>
          <w:szCs w:val="17"/>
        </w:rPr>
      </w:pPr>
      <w:r w:rsidRPr="001D1461">
        <w:rPr>
          <w:rFonts w:eastAsia="Times New Roman"/>
          <w:b/>
          <w:szCs w:val="17"/>
        </w:rPr>
        <w:t>CAPACITY MANAGEMENT PLAN</w:t>
      </w:r>
    </w:p>
    <w:p w:rsidR="001D1461" w:rsidRPr="001D1461" w:rsidRDefault="001D1461" w:rsidP="001D1461">
      <w:pPr>
        <w:jc w:val="center"/>
        <w:rPr>
          <w:i/>
          <w:szCs w:val="17"/>
        </w:rPr>
      </w:pPr>
      <w:r w:rsidRPr="001D1461">
        <w:rPr>
          <w:i/>
          <w:szCs w:val="17"/>
        </w:rPr>
        <w:t>Norwood Morialta High School</w:t>
      </w:r>
    </w:p>
    <w:p w:rsidR="001D1461" w:rsidRPr="001D1461" w:rsidRDefault="001D1461" w:rsidP="001D1461">
      <w:pPr>
        <w:rPr>
          <w:rFonts w:eastAsia="Times New Roman"/>
          <w:szCs w:val="17"/>
        </w:rPr>
      </w:pPr>
      <w:r w:rsidRPr="001D1461">
        <w:rPr>
          <w:rFonts w:eastAsia="Times New Roman"/>
          <w:szCs w:val="17"/>
        </w:rPr>
        <w:t>This Capacity Management Plan sets out the conditions for enrolment at Norwood Morialta High School (“the school”).</w:t>
      </w:r>
    </w:p>
    <w:p w:rsidR="001D1461" w:rsidRPr="001D1461" w:rsidRDefault="001D1461" w:rsidP="001D1461">
      <w:pPr>
        <w:rPr>
          <w:rFonts w:eastAsia="Times New Roman"/>
          <w:b/>
          <w:szCs w:val="17"/>
        </w:rPr>
      </w:pPr>
      <w:r w:rsidRPr="001D1461">
        <w:rPr>
          <w:rFonts w:eastAsia="Times New Roman"/>
          <w:b/>
          <w:szCs w:val="17"/>
        </w:rPr>
        <w:t>Norwood Morialta High School zone</w:t>
      </w:r>
    </w:p>
    <w:p w:rsidR="001D1461" w:rsidRPr="001D1461" w:rsidRDefault="001D1461" w:rsidP="001D1461">
      <w:pPr>
        <w:rPr>
          <w:rFonts w:eastAsia="Times New Roman"/>
          <w:szCs w:val="17"/>
        </w:rPr>
      </w:pPr>
      <w:r w:rsidRPr="001D1461">
        <w:rPr>
          <w:rFonts w:eastAsia="Times New Roman"/>
          <w:szCs w:val="17"/>
        </w:rPr>
        <w:t>A school zone is a defined area from which the school accepts its core intake of students. Norwood Morialta High School operates a school zone within the area bounded by:</w:t>
      </w:r>
    </w:p>
    <w:p w:rsidR="001D1461" w:rsidRPr="001D1461" w:rsidRDefault="001D1461" w:rsidP="001D1461">
      <w:pPr>
        <w:rPr>
          <w:rFonts w:eastAsia="Times New Roman"/>
          <w:szCs w:val="17"/>
        </w:rPr>
      </w:pPr>
      <w:r w:rsidRPr="001D1461">
        <w:rPr>
          <w:rFonts w:eastAsia="Times New Roman"/>
          <w:szCs w:val="17"/>
        </w:rPr>
        <w:t>Arcoona Avenue, Moores Road, Marble Hill Road, Green Valley Road, Valley View Crescent, Nicholls Road, Colonial Drive, Lobethal Road, Stony Rise Road, Woods Hill Road, Greenhill Road, Tusmore Avenue, Kensington Road, High Street, Phillips Street, William Street, Fullarton Road, Dequetteville Terrace, North Terrace, Magill Road, Portrush Road, Janet Street, Frederick Street, Olive Road, Wheaton Road, Payneham Road, Winchester Street, River Torrens, Lansdowne Terrace, North East Road, Ascot Avenue, Lower Portrush Road, Henry Street, Barnes Road, Provident Avenue, Glynburn Road, Hectorville Road, South Street, East Street, Ross Road, St Bernards Road, Reynell Road, Forest Avenue, Fourth Creek, Stradbroke Road and Baroota Road.</w:t>
      </w:r>
    </w:p>
    <w:p w:rsidR="001D1461" w:rsidRPr="001D1461" w:rsidRDefault="001D1461" w:rsidP="001D1461">
      <w:pPr>
        <w:rPr>
          <w:rFonts w:eastAsia="Times New Roman"/>
          <w:szCs w:val="17"/>
        </w:rPr>
      </w:pPr>
      <w:r w:rsidRPr="001D1461">
        <w:rPr>
          <w:rFonts w:eastAsia="Times New Roman"/>
          <w:szCs w:val="17"/>
        </w:rPr>
        <w:t xml:space="preserve">An online map and a search tool to indicate if an applicant’s home address is within the school zone is available at: </w:t>
      </w:r>
      <w:hyperlink r:id="rId24" w:history="1">
        <w:r w:rsidRPr="001D1461">
          <w:rPr>
            <w:rFonts w:eastAsia="Times New Roman"/>
            <w:color w:val="0000FF"/>
            <w:szCs w:val="17"/>
            <w:u w:val="single"/>
          </w:rPr>
          <w:t>https://www.education.sa.gov.au/findaschool</w:t>
        </w:r>
      </w:hyperlink>
      <w:r w:rsidRPr="001D1461">
        <w:rPr>
          <w:rFonts w:eastAsia="Times New Roman"/>
          <w:szCs w:val="17"/>
        </w:rPr>
        <w:t xml:space="preserve">. </w:t>
      </w:r>
    </w:p>
    <w:p w:rsidR="001D1461" w:rsidRPr="001D1461" w:rsidRDefault="001D1461" w:rsidP="001D1461">
      <w:pPr>
        <w:jc w:val="center"/>
        <w:rPr>
          <w:i/>
          <w:szCs w:val="17"/>
        </w:rPr>
      </w:pPr>
      <w:r w:rsidRPr="001D1461">
        <w:rPr>
          <w:i/>
          <w:szCs w:val="17"/>
        </w:rPr>
        <w:t>Student Enrolment Numbers</w:t>
      </w:r>
    </w:p>
    <w:p w:rsidR="001D1461" w:rsidRPr="001D1461" w:rsidRDefault="001D1461" w:rsidP="001D1461">
      <w:pPr>
        <w:rPr>
          <w:rFonts w:eastAsia="Times New Roman"/>
          <w:szCs w:val="17"/>
        </w:rPr>
      </w:pPr>
      <w:r w:rsidRPr="001D1461">
        <w:rPr>
          <w:rFonts w:eastAsia="Times New Roman"/>
          <w:szCs w:val="17"/>
        </w:rPr>
        <w:t>Due to the transition of Year 7 to High School there will be an intake of Year 7 and Year 8 students in 2022. From 2023 onwards Year 7 will be the only intake year level.</w:t>
      </w:r>
    </w:p>
    <w:p w:rsidR="001D1461" w:rsidRPr="001D1461" w:rsidRDefault="001D1461" w:rsidP="001D1461">
      <w:pPr>
        <w:rPr>
          <w:rFonts w:eastAsia="Times New Roman"/>
          <w:b/>
          <w:szCs w:val="17"/>
        </w:rPr>
      </w:pPr>
      <w:r w:rsidRPr="001D1461">
        <w:rPr>
          <w:rFonts w:eastAsia="Times New Roman"/>
          <w:b/>
          <w:szCs w:val="17"/>
        </w:rPr>
        <w:t>Year 7</w:t>
      </w:r>
    </w:p>
    <w:p w:rsidR="001D1461" w:rsidRPr="001D1461" w:rsidRDefault="001D1461" w:rsidP="001D1461">
      <w:pPr>
        <w:rPr>
          <w:rFonts w:eastAsia="Times New Roman"/>
          <w:szCs w:val="17"/>
        </w:rPr>
      </w:pPr>
      <w:r w:rsidRPr="001D1461">
        <w:rPr>
          <w:rFonts w:eastAsia="Times New Roman"/>
          <w:szCs w:val="17"/>
        </w:rPr>
        <w:t xml:space="preserve">The student enrolment ceiling for Year 7 is limited to </w:t>
      </w:r>
      <w:r w:rsidRPr="001D1461">
        <w:rPr>
          <w:rFonts w:eastAsia="Times New Roman"/>
          <w:b/>
          <w:szCs w:val="17"/>
        </w:rPr>
        <w:t>302</w:t>
      </w:r>
      <w:r w:rsidRPr="001D1461">
        <w:rPr>
          <w:rFonts w:eastAsia="Times New Roman"/>
          <w:szCs w:val="17"/>
        </w:rPr>
        <w:t>, unless there are more applications that have met the enrolment criteria below.</w:t>
      </w:r>
    </w:p>
    <w:p w:rsidR="001D1461" w:rsidRPr="001D1461" w:rsidRDefault="001D1461" w:rsidP="001D1461">
      <w:pPr>
        <w:rPr>
          <w:rFonts w:eastAsia="Times New Roman"/>
          <w:b/>
          <w:szCs w:val="17"/>
        </w:rPr>
      </w:pPr>
      <w:r w:rsidRPr="001D1461">
        <w:rPr>
          <w:rFonts w:eastAsia="Times New Roman"/>
          <w:b/>
          <w:szCs w:val="17"/>
        </w:rPr>
        <w:t>Year 8</w:t>
      </w:r>
    </w:p>
    <w:p w:rsidR="001D1461" w:rsidRPr="001D1461" w:rsidRDefault="001D1461" w:rsidP="001D1461">
      <w:pPr>
        <w:rPr>
          <w:rFonts w:eastAsia="Times New Roman"/>
          <w:spacing w:val="-4"/>
          <w:szCs w:val="17"/>
        </w:rPr>
      </w:pPr>
      <w:r w:rsidRPr="001D1461">
        <w:rPr>
          <w:rFonts w:eastAsia="Times New Roman"/>
          <w:spacing w:val="-4"/>
          <w:szCs w:val="17"/>
        </w:rPr>
        <w:t xml:space="preserve">The student enrolment ceiling for Year 8 in 2022 is limited to </w:t>
      </w:r>
      <w:r w:rsidRPr="001D1461">
        <w:rPr>
          <w:rFonts w:eastAsia="Times New Roman"/>
          <w:b/>
          <w:spacing w:val="-4"/>
          <w:szCs w:val="17"/>
        </w:rPr>
        <w:t>302</w:t>
      </w:r>
      <w:r w:rsidRPr="001D1461">
        <w:rPr>
          <w:rFonts w:eastAsia="Times New Roman"/>
          <w:spacing w:val="-4"/>
          <w:szCs w:val="17"/>
        </w:rPr>
        <w:t>, unless there are more applications that have met the enrolment criteria below.</w:t>
      </w:r>
    </w:p>
    <w:p w:rsidR="001D1461" w:rsidRPr="001D1461" w:rsidRDefault="001D1461" w:rsidP="001D1461">
      <w:pPr>
        <w:rPr>
          <w:rFonts w:eastAsia="Times New Roman"/>
          <w:b/>
          <w:szCs w:val="17"/>
        </w:rPr>
      </w:pPr>
      <w:r w:rsidRPr="001D1461">
        <w:rPr>
          <w:rFonts w:eastAsia="Times New Roman"/>
          <w:b/>
          <w:szCs w:val="17"/>
        </w:rPr>
        <w:t>Selective Entry Special Interest Programs</w:t>
      </w:r>
    </w:p>
    <w:p w:rsidR="001D1461" w:rsidRPr="001D1461" w:rsidRDefault="001D1461" w:rsidP="001D1461">
      <w:pPr>
        <w:rPr>
          <w:rFonts w:eastAsia="Times New Roman"/>
          <w:szCs w:val="17"/>
        </w:rPr>
      </w:pPr>
      <w:r w:rsidRPr="001D1461">
        <w:rPr>
          <w:rFonts w:eastAsia="Times New Roman"/>
          <w:szCs w:val="17"/>
        </w:rPr>
        <w:t xml:space="preserve">The school’s special interest programs (Italian Immersion, Accelerated STEM, Rowing) are limited to a maximum of </w:t>
      </w:r>
      <w:r w:rsidRPr="001D1461">
        <w:rPr>
          <w:rFonts w:eastAsia="Times New Roman"/>
          <w:b/>
          <w:szCs w:val="17"/>
        </w:rPr>
        <w:t>30</w:t>
      </w:r>
      <w:r w:rsidRPr="001D1461">
        <w:rPr>
          <w:rFonts w:eastAsia="Times New Roman"/>
          <w:szCs w:val="17"/>
        </w:rPr>
        <w:t xml:space="preserve"> out of zone enrolments at year 7 (and year 8 in 2022), depending on in-zone enrolment demand.</w:t>
      </w:r>
    </w:p>
    <w:p w:rsidR="001D1461" w:rsidRPr="001D1461" w:rsidRDefault="001D1461" w:rsidP="001D1461">
      <w:pPr>
        <w:rPr>
          <w:rFonts w:eastAsia="Times New Roman"/>
          <w:szCs w:val="17"/>
        </w:rPr>
      </w:pPr>
      <w:r w:rsidRPr="001D1461">
        <w:rPr>
          <w:rFonts w:eastAsia="Times New Roman"/>
          <w:szCs w:val="17"/>
        </w:rPr>
        <w:t xml:space="preserve">Selective entry numbers are included in the 302 year 7 enrolment ceiling (and 302 Year 8 enrolment ceiling in 2022). Students must be assessed by the school as meeting the specific eligibility requirements for each program. Entry details are available from: </w:t>
      </w:r>
      <w:hyperlink r:id="rId25" w:history="1">
        <w:r w:rsidRPr="001D1461">
          <w:rPr>
            <w:rFonts w:eastAsia="Times New Roman"/>
            <w:color w:val="0000FF"/>
            <w:szCs w:val="17"/>
            <w:u w:val="single"/>
          </w:rPr>
          <w:t>https://www.nmhs.sa.edu.au/middle-campus/special-interest-opportunities/</w:t>
        </w:r>
      </w:hyperlink>
      <w:r w:rsidRPr="001D1461">
        <w:rPr>
          <w:rFonts w:eastAsia="Times New Roman"/>
          <w:szCs w:val="17"/>
        </w:rPr>
        <w:t xml:space="preserve">. </w:t>
      </w:r>
    </w:p>
    <w:p w:rsidR="001D1461" w:rsidRPr="001D1461" w:rsidRDefault="001D1461" w:rsidP="001D1461">
      <w:pPr>
        <w:rPr>
          <w:rFonts w:eastAsia="Times New Roman"/>
          <w:b/>
          <w:szCs w:val="17"/>
        </w:rPr>
      </w:pPr>
      <w:r w:rsidRPr="001D1461">
        <w:rPr>
          <w:rFonts w:eastAsia="Times New Roman"/>
          <w:b/>
          <w:szCs w:val="17"/>
        </w:rPr>
        <w:t>International Education Program</w:t>
      </w:r>
    </w:p>
    <w:p w:rsidR="001D1461" w:rsidRPr="001D1461" w:rsidRDefault="001D1461" w:rsidP="001D1461">
      <w:pPr>
        <w:rPr>
          <w:rFonts w:eastAsia="Times New Roman"/>
          <w:szCs w:val="17"/>
        </w:rPr>
      </w:pPr>
      <w:r w:rsidRPr="001D1461">
        <w:rPr>
          <w:rFonts w:eastAsia="Times New Roman"/>
          <w:szCs w:val="17"/>
        </w:rPr>
        <w:t xml:space="preserve">If the number of enrolments is under the school’s student enrolment ceiling for 2022, consideration can be given to offering international students enrolment at the school in the International Education Program. The maximum number of students who can be offered enrolment at the school in the International Education Program in those circumstances is limited to </w:t>
      </w:r>
      <w:r w:rsidRPr="001D1461">
        <w:rPr>
          <w:rFonts w:eastAsia="Times New Roman"/>
          <w:b/>
          <w:szCs w:val="17"/>
        </w:rPr>
        <w:t xml:space="preserve">40 </w:t>
      </w:r>
      <w:r w:rsidRPr="001D1461">
        <w:rPr>
          <w:rFonts w:eastAsia="Times New Roman"/>
          <w:szCs w:val="17"/>
        </w:rPr>
        <w:t>students across all year levels.</w:t>
      </w:r>
    </w:p>
    <w:p w:rsidR="001D1461" w:rsidRPr="001D1461" w:rsidRDefault="001D1461" w:rsidP="001D1461">
      <w:pPr>
        <w:jc w:val="center"/>
        <w:rPr>
          <w:i/>
          <w:szCs w:val="17"/>
        </w:rPr>
      </w:pPr>
      <w:r w:rsidRPr="001D1461">
        <w:rPr>
          <w:i/>
          <w:szCs w:val="17"/>
        </w:rPr>
        <w:t>Enrolment Criteria—By Year Level</w:t>
      </w:r>
    </w:p>
    <w:p w:rsidR="001D1461" w:rsidRPr="001D1461" w:rsidRDefault="001D1461" w:rsidP="001D1461">
      <w:pPr>
        <w:rPr>
          <w:rFonts w:eastAsia="Times New Roman"/>
          <w:b/>
          <w:szCs w:val="17"/>
        </w:rPr>
      </w:pPr>
      <w:r w:rsidRPr="001D1461">
        <w:rPr>
          <w:rFonts w:eastAsia="Times New Roman"/>
          <w:b/>
          <w:szCs w:val="17"/>
        </w:rPr>
        <w:t>YEAR LEVEL: 7 (and 8 in 2022)</w:t>
      </w:r>
    </w:p>
    <w:p w:rsidR="001D1461" w:rsidRPr="001D1461" w:rsidRDefault="001D1461" w:rsidP="001D1461">
      <w:pPr>
        <w:rPr>
          <w:rFonts w:eastAsia="Times New Roman"/>
          <w:szCs w:val="17"/>
        </w:rPr>
      </w:pPr>
      <w:r w:rsidRPr="001D1461">
        <w:rPr>
          <w:rFonts w:eastAsia="Times New Roman"/>
          <w:szCs w:val="17"/>
        </w:rPr>
        <w:t>Applications for enrolment from parents of prospective Year 7 (and Year 8 in 2022) students require that the student must be enrolled in a government or non-government school in South Australia at the time the parents apply for enrolment through the statewide registration of interest process (coordinated by the Department for Education).</w:t>
      </w:r>
    </w:p>
    <w:p w:rsidR="001D1461" w:rsidRPr="001D1461" w:rsidRDefault="001D1461" w:rsidP="001D1461">
      <w:pPr>
        <w:rPr>
          <w:rFonts w:eastAsia="Times New Roman"/>
          <w:szCs w:val="17"/>
        </w:rPr>
      </w:pPr>
      <w:r w:rsidRPr="001D1461">
        <w:rPr>
          <w:rFonts w:eastAsia="Times New Roman"/>
          <w:szCs w:val="17"/>
        </w:rPr>
        <w:t>The applicant must meet one of the following requirements to be eligible for a Year 7 (and Year 8 in 2022) allocation through the statewide registration of interest process for the coming school year:</w:t>
      </w:r>
    </w:p>
    <w:p w:rsidR="001D1461" w:rsidRPr="001D1461" w:rsidRDefault="001D1461" w:rsidP="001D1461">
      <w:pPr>
        <w:ind w:left="284" w:hanging="142"/>
        <w:rPr>
          <w:rFonts w:eastAsia="Times New Roman"/>
          <w:szCs w:val="17"/>
        </w:rPr>
      </w:pPr>
      <w:r w:rsidRPr="001D1461">
        <w:rPr>
          <w:rFonts w:eastAsia="Times New Roman"/>
          <w:szCs w:val="17"/>
        </w:rPr>
        <w:t>•</w:t>
      </w:r>
      <w:r w:rsidRPr="001D1461">
        <w:rPr>
          <w:rFonts w:eastAsia="Times New Roman"/>
          <w:szCs w:val="17"/>
        </w:rPr>
        <w:tab/>
        <w:t>the child is living in the Norwood Morialta High School zone</w:t>
      </w:r>
    </w:p>
    <w:p w:rsidR="001D1461" w:rsidRPr="001D1461" w:rsidRDefault="001D1461" w:rsidP="001D1461">
      <w:pPr>
        <w:ind w:left="284" w:hanging="142"/>
        <w:rPr>
          <w:rFonts w:eastAsia="Times New Roman"/>
          <w:szCs w:val="17"/>
        </w:rPr>
      </w:pPr>
      <w:r w:rsidRPr="001D1461">
        <w:rPr>
          <w:rFonts w:eastAsia="Times New Roman"/>
          <w:szCs w:val="17"/>
        </w:rPr>
        <w:t>•</w:t>
      </w:r>
      <w:r w:rsidRPr="001D1461">
        <w:rPr>
          <w:rFonts w:eastAsia="Times New Roman"/>
          <w:szCs w:val="17"/>
        </w:rPr>
        <w:tab/>
        <w:t>the child identifies as Aboriginal and/or Torres Strait Islander through the Enter for Success program (by the end of term 4, the previous year)</w:t>
      </w:r>
    </w:p>
    <w:p w:rsidR="001D1461" w:rsidRPr="001D1461" w:rsidRDefault="001D1461" w:rsidP="001D1461">
      <w:pPr>
        <w:ind w:left="284" w:hanging="142"/>
        <w:rPr>
          <w:rFonts w:eastAsia="Times New Roman"/>
          <w:szCs w:val="17"/>
        </w:rPr>
      </w:pPr>
      <w:r w:rsidRPr="001D1461">
        <w:rPr>
          <w:rFonts w:eastAsia="Times New Roman"/>
          <w:szCs w:val="17"/>
        </w:rPr>
        <w:t>•</w:t>
      </w:r>
      <w:r w:rsidRPr="001D1461">
        <w:rPr>
          <w:rFonts w:eastAsia="Times New Roman"/>
          <w:szCs w:val="17"/>
        </w:rPr>
        <w:tab/>
        <w:t>the child has received and accepted an offer for enrolment by the school to participate in one of the selective entry special interest programs (Italian Immersion, Accelerated STEM, Rowing)</w:t>
      </w:r>
    </w:p>
    <w:p w:rsidR="001D1461" w:rsidRPr="001D1461" w:rsidRDefault="001D1461" w:rsidP="001D1461">
      <w:pPr>
        <w:ind w:left="284" w:hanging="142"/>
        <w:rPr>
          <w:rFonts w:eastAsia="Times New Roman"/>
          <w:szCs w:val="17"/>
        </w:rPr>
      </w:pPr>
      <w:r w:rsidRPr="001D1461">
        <w:rPr>
          <w:rFonts w:eastAsia="Times New Roman"/>
          <w:szCs w:val="17"/>
        </w:rPr>
        <w:t>•</w:t>
      </w:r>
      <w:r w:rsidRPr="001D1461">
        <w:rPr>
          <w:rFonts w:eastAsia="Times New Roman"/>
          <w:szCs w:val="17"/>
        </w:rPr>
        <w:tab/>
        <w:t>the child has a sibling currently attending the school</w:t>
      </w:r>
    </w:p>
    <w:p w:rsidR="001D1461" w:rsidRPr="001D1461" w:rsidRDefault="001D1461" w:rsidP="001D1461">
      <w:pPr>
        <w:ind w:left="284" w:hanging="142"/>
        <w:rPr>
          <w:rFonts w:eastAsia="Times New Roman"/>
          <w:szCs w:val="17"/>
        </w:rPr>
      </w:pPr>
      <w:r w:rsidRPr="001D1461">
        <w:rPr>
          <w:rFonts w:eastAsia="Times New Roman"/>
          <w:szCs w:val="17"/>
        </w:rPr>
        <w:t>•</w:t>
      </w:r>
      <w:r w:rsidRPr="001D1461">
        <w:rPr>
          <w:rFonts w:eastAsia="Times New Roman"/>
          <w:szCs w:val="17"/>
        </w:rPr>
        <w:tab/>
        <w:t xml:space="preserve">the child has been granted enrolment due to special or extenuating circumstances, including but not limited to a child in care where there is a custody or guardianship order made under the </w:t>
      </w:r>
      <w:r w:rsidRPr="001D1461">
        <w:rPr>
          <w:rFonts w:eastAsia="Times New Roman"/>
          <w:i/>
          <w:szCs w:val="17"/>
        </w:rPr>
        <w:t>Children and Young People (Safety) Act 2017</w:t>
      </w:r>
      <w:r w:rsidRPr="001D1461">
        <w:rPr>
          <w:rFonts w:eastAsia="Times New Roman"/>
          <w:szCs w:val="17"/>
        </w:rPr>
        <w:t>.</w:t>
      </w:r>
    </w:p>
    <w:p w:rsidR="002F0B46" w:rsidRDefault="002F0B46">
      <w:pPr>
        <w:spacing w:after="0" w:line="240" w:lineRule="auto"/>
        <w:jc w:val="left"/>
        <w:rPr>
          <w:rFonts w:eastAsia="Times New Roman"/>
          <w:b/>
          <w:szCs w:val="17"/>
        </w:rPr>
      </w:pPr>
      <w:r>
        <w:rPr>
          <w:rFonts w:eastAsia="Times New Roman"/>
          <w:b/>
          <w:szCs w:val="17"/>
        </w:rPr>
        <w:br w:type="page"/>
      </w:r>
    </w:p>
    <w:p w:rsidR="001D1461" w:rsidRPr="001D1461" w:rsidRDefault="001D1461" w:rsidP="001D1461">
      <w:pPr>
        <w:rPr>
          <w:rFonts w:eastAsia="Times New Roman"/>
          <w:b/>
          <w:szCs w:val="17"/>
        </w:rPr>
      </w:pPr>
      <w:r w:rsidRPr="001D1461">
        <w:rPr>
          <w:rFonts w:eastAsia="Times New Roman"/>
          <w:b/>
          <w:szCs w:val="17"/>
        </w:rPr>
        <w:lastRenderedPageBreak/>
        <w:t>Application for Year 7 (and Year 8 in 2022) from students living outside the zone with siblings currently at the school</w:t>
      </w:r>
    </w:p>
    <w:p w:rsidR="001D1461" w:rsidRPr="001D1461" w:rsidRDefault="001D1461" w:rsidP="001D1461">
      <w:pPr>
        <w:rPr>
          <w:rFonts w:eastAsia="Times New Roman"/>
          <w:szCs w:val="17"/>
        </w:rPr>
      </w:pPr>
      <w:r w:rsidRPr="001D1461">
        <w:rPr>
          <w:rFonts w:eastAsia="Times New Roman"/>
          <w:szCs w:val="17"/>
        </w:rPr>
        <w:t>Application for Year 7 (and Year 8 in 2022) from students who have siblings at the school and live outside the school zone, will be considered for enrolment if:</w:t>
      </w:r>
    </w:p>
    <w:p w:rsidR="001D1461" w:rsidRPr="001D1461" w:rsidRDefault="001D1461" w:rsidP="001D1461">
      <w:pPr>
        <w:ind w:left="284" w:hanging="142"/>
        <w:rPr>
          <w:rFonts w:eastAsia="Times New Roman"/>
          <w:szCs w:val="17"/>
        </w:rPr>
      </w:pPr>
      <w:r w:rsidRPr="001D1461">
        <w:rPr>
          <w:rFonts w:eastAsia="Times New Roman"/>
          <w:szCs w:val="17"/>
        </w:rPr>
        <w:t>•</w:t>
      </w:r>
      <w:r w:rsidRPr="001D1461">
        <w:rPr>
          <w:rFonts w:eastAsia="Times New Roman"/>
          <w:szCs w:val="17"/>
        </w:rPr>
        <w:tab/>
        <w:t>the child has applied through the department’s statewide registration of interest process</w:t>
      </w:r>
    </w:p>
    <w:p w:rsidR="001D1461" w:rsidRPr="001D1461" w:rsidRDefault="001D1461" w:rsidP="001D1461">
      <w:pPr>
        <w:ind w:left="284" w:hanging="142"/>
        <w:rPr>
          <w:rFonts w:eastAsia="Times New Roman"/>
          <w:szCs w:val="17"/>
        </w:rPr>
      </w:pPr>
      <w:r w:rsidRPr="001D1461">
        <w:rPr>
          <w:rFonts w:eastAsia="Times New Roman"/>
          <w:szCs w:val="17"/>
        </w:rPr>
        <w:t>•</w:t>
      </w:r>
      <w:r w:rsidRPr="001D1461">
        <w:rPr>
          <w:rFonts w:eastAsia="Times New Roman"/>
          <w:szCs w:val="17"/>
        </w:rPr>
        <w:tab/>
        <w:t>the sibling currently enrolled at the school did not enter the school through the school’s special interest programs from 2020</w:t>
      </w:r>
    </w:p>
    <w:p w:rsidR="001D1461" w:rsidRPr="001D1461" w:rsidRDefault="001D1461" w:rsidP="001D1461">
      <w:pPr>
        <w:ind w:left="284" w:hanging="142"/>
        <w:rPr>
          <w:rFonts w:eastAsia="Times New Roman"/>
          <w:szCs w:val="17"/>
        </w:rPr>
      </w:pPr>
      <w:r w:rsidRPr="001D1461">
        <w:rPr>
          <w:rFonts w:eastAsia="Times New Roman"/>
          <w:szCs w:val="17"/>
        </w:rPr>
        <w:t>•</w:t>
      </w:r>
      <w:r w:rsidRPr="001D1461">
        <w:rPr>
          <w:rFonts w:eastAsia="Times New Roman"/>
          <w:szCs w:val="17"/>
        </w:rPr>
        <w:tab/>
        <w:t>the sibling is currently enrolled and will be attending the school in the same calendar year.</w:t>
      </w:r>
    </w:p>
    <w:p w:rsidR="001D1461" w:rsidRPr="001D1461" w:rsidRDefault="001D1461" w:rsidP="001D1461">
      <w:pPr>
        <w:rPr>
          <w:rFonts w:eastAsia="Times New Roman"/>
          <w:b/>
          <w:szCs w:val="17"/>
        </w:rPr>
      </w:pPr>
      <w:r w:rsidRPr="001D1461">
        <w:rPr>
          <w:rFonts w:eastAsia="Times New Roman"/>
          <w:b/>
          <w:szCs w:val="17"/>
        </w:rPr>
        <w:t>Late applications for Year 7 (and Year 8 in 2022) from students living in the school zone</w:t>
      </w:r>
    </w:p>
    <w:p w:rsidR="001D1461" w:rsidRPr="001D1461" w:rsidRDefault="001D1461" w:rsidP="001D1461">
      <w:pPr>
        <w:rPr>
          <w:rFonts w:eastAsia="Times New Roman"/>
          <w:szCs w:val="17"/>
        </w:rPr>
      </w:pPr>
      <w:r w:rsidRPr="001D1461">
        <w:rPr>
          <w:rFonts w:eastAsia="Times New Roman"/>
          <w:szCs w:val="17"/>
        </w:rPr>
        <w:t>Families who move into the school zone, or who are already living in the school zone but lodge their application for enrolment after the department’s registration of interest process is completed (end of term 2), will have their applications considered if or when vacancies exist, with priority consideration afforded to those applicants already on the school’s enrolment register.</w:t>
      </w:r>
    </w:p>
    <w:p w:rsidR="001D1461" w:rsidRPr="001D1461" w:rsidRDefault="001D1461" w:rsidP="001D1461">
      <w:pPr>
        <w:rPr>
          <w:rFonts w:eastAsia="Times New Roman"/>
          <w:szCs w:val="17"/>
        </w:rPr>
      </w:pPr>
      <w:r w:rsidRPr="001D1461">
        <w:rPr>
          <w:rFonts w:eastAsia="Times New Roman"/>
          <w:szCs w:val="17"/>
        </w:rPr>
        <w:t>In these cases, applications will be considered based on the distance of the child’s residence from the school and any other personal needs, such as curriculum (excluding special interest programs), transportation/location convenience, and social/family links.</w:t>
      </w:r>
    </w:p>
    <w:p w:rsidR="001D1461" w:rsidRPr="001D1461" w:rsidRDefault="001D1461" w:rsidP="001D1461">
      <w:pPr>
        <w:rPr>
          <w:rFonts w:eastAsia="Times New Roman"/>
          <w:spacing w:val="-2"/>
          <w:szCs w:val="17"/>
        </w:rPr>
      </w:pPr>
      <w:r w:rsidRPr="001D1461">
        <w:rPr>
          <w:rFonts w:eastAsia="Times New Roman"/>
          <w:spacing w:val="-2"/>
          <w:szCs w:val="17"/>
        </w:rPr>
        <w:t>The school will notify parents by the beginning of week 1, term 4 if a vacancy is available for their child to attend the following school year.</w:t>
      </w:r>
    </w:p>
    <w:p w:rsidR="001D1461" w:rsidRPr="001D1461" w:rsidRDefault="001D1461" w:rsidP="001D1461">
      <w:pPr>
        <w:rPr>
          <w:rFonts w:eastAsia="Times New Roman"/>
          <w:szCs w:val="17"/>
        </w:rPr>
      </w:pPr>
      <w:r w:rsidRPr="001D1461">
        <w:rPr>
          <w:rFonts w:eastAsia="Times New Roman"/>
          <w:szCs w:val="17"/>
        </w:rPr>
        <w:t>If no vacancies exist, the applicant will be placed on the enrolment register and referred for enrolment to other neighbouring schools.</w:t>
      </w:r>
    </w:p>
    <w:p w:rsidR="001D1461" w:rsidRPr="001D1461" w:rsidRDefault="001D1461" w:rsidP="001D1461">
      <w:pPr>
        <w:rPr>
          <w:rFonts w:eastAsia="Times New Roman"/>
          <w:b/>
          <w:szCs w:val="17"/>
        </w:rPr>
      </w:pPr>
      <w:r w:rsidRPr="001D1461">
        <w:rPr>
          <w:rFonts w:eastAsia="Times New Roman"/>
          <w:b/>
          <w:szCs w:val="17"/>
        </w:rPr>
        <w:t>YEAR LEVEL: 8 to 12 (9 to 12 in 2022)</w:t>
      </w:r>
    </w:p>
    <w:p w:rsidR="001D1461" w:rsidRPr="001D1461" w:rsidRDefault="001D1461" w:rsidP="001D1461">
      <w:pPr>
        <w:rPr>
          <w:rFonts w:eastAsia="Times New Roman"/>
          <w:b/>
          <w:szCs w:val="17"/>
        </w:rPr>
      </w:pPr>
      <w:r w:rsidRPr="001D1461">
        <w:rPr>
          <w:rFonts w:eastAsia="Times New Roman"/>
          <w:b/>
          <w:szCs w:val="17"/>
        </w:rPr>
        <w:t>Application for Year 8 to 12 (9 to 12 in 2022) from students living in the school zone</w:t>
      </w:r>
    </w:p>
    <w:p w:rsidR="001D1461" w:rsidRPr="001D1461" w:rsidRDefault="001D1461" w:rsidP="001D1461">
      <w:pPr>
        <w:rPr>
          <w:rFonts w:eastAsia="Times New Roman"/>
          <w:szCs w:val="17"/>
        </w:rPr>
      </w:pPr>
      <w:r w:rsidRPr="001D1461">
        <w:rPr>
          <w:rFonts w:eastAsia="Times New Roman"/>
          <w:szCs w:val="17"/>
        </w:rPr>
        <w:t>Applications for enrolment from parents of prospective students living in the school zone will be considered if or when vacancies exist, with priority consideration afforded to those applicants already on the enrolment register.</w:t>
      </w:r>
    </w:p>
    <w:p w:rsidR="001D1461" w:rsidRPr="001D1461" w:rsidRDefault="001D1461" w:rsidP="001D1461">
      <w:pPr>
        <w:rPr>
          <w:rFonts w:eastAsia="Times New Roman"/>
          <w:szCs w:val="17"/>
        </w:rPr>
      </w:pPr>
      <w:r w:rsidRPr="001D1461">
        <w:rPr>
          <w:rFonts w:eastAsia="Times New Roman"/>
          <w:szCs w:val="17"/>
        </w:rPr>
        <w:t>In these cases, applications will be considered based on siblings at the school, the distance of the child’s residence from the school and any other personal needs, such as curriculum, transportation/location convenience, and social/family links.</w:t>
      </w:r>
    </w:p>
    <w:p w:rsidR="001D1461" w:rsidRPr="001D1461" w:rsidRDefault="001D1461" w:rsidP="001D1461">
      <w:pPr>
        <w:rPr>
          <w:rFonts w:eastAsia="Times New Roman"/>
          <w:spacing w:val="-2"/>
          <w:szCs w:val="17"/>
        </w:rPr>
      </w:pPr>
      <w:r w:rsidRPr="001D1461">
        <w:rPr>
          <w:rFonts w:eastAsia="Times New Roman"/>
          <w:spacing w:val="-2"/>
          <w:szCs w:val="17"/>
        </w:rPr>
        <w:t>The school will notify parents by the beginning of week 1, term 4 if a vacancy is available for their child to attend the following school year.</w:t>
      </w:r>
    </w:p>
    <w:p w:rsidR="001D1461" w:rsidRPr="001D1461" w:rsidRDefault="001D1461" w:rsidP="001D1461">
      <w:pPr>
        <w:rPr>
          <w:rFonts w:eastAsia="Times New Roman"/>
          <w:szCs w:val="17"/>
        </w:rPr>
      </w:pPr>
      <w:r w:rsidRPr="001D1461">
        <w:rPr>
          <w:rFonts w:eastAsia="Times New Roman"/>
          <w:szCs w:val="17"/>
        </w:rPr>
        <w:t>If no vacancies exist the applicant will be encouraged to remain at their current high school, or referred for enrolment to other neighbouring schools, and upon an applicant’s request will be placed on the school’s enrolment register.</w:t>
      </w:r>
    </w:p>
    <w:p w:rsidR="001D1461" w:rsidRPr="001D1461" w:rsidRDefault="001D1461" w:rsidP="001D1461">
      <w:pPr>
        <w:rPr>
          <w:rFonts w:eastAsia="Times New Roman"/>
          <w:b/>
          <w:szCs w:val="17"/>
        </w:rPr>
      </w:pPr>
      <w:r w:rsidRPr="001D1461">
        <w:rPr>
          <w:rFonts w:eastAsia="Times New Roman"/>
          <w:b/>
          <w:szCs w:val="17"/>
        </w:rPr>
        <w:t>Out of zone applications with siblings currently at the school</w:t>
      </w:r>
    </w:p>
    <w:p w:rsidR="001D1461" w:rsidRPr="001D1461" w:rsidRDefault="001D1461" w:rsidP="001D1461">
      <w:pPr>
        <w:rPr>
          <w:rFonts w:eastAsia="Times New Roman"/>
          <w:szCs w:val="17"/>
        </w:rPr>
      </w:pPr>
      <w:r w:rsidRPr="001D1461">
        <w:rPr>
          <w:rFonts w:eastAsia="Times New Roman"/>
          <w:szCs w:val="17"/>
        </w:rPr>
        <w:t>There is no automatic entry to the school for Year 8 to 12 students (9 to 12 in 2022) who live outside the school’s zone and have siblings who currently attend the school.</w:t>
      </w:r>
    </w:p>
    <w:p w:rsidR="001D1461" w:rsidRPr="001D1461" w:rsidRDefault="001D1461" w:rsidP="001D1461">
      <w:pPr>
        <w:jc w:val="center"/>
        <w:rPr>
          <w:i/>
          <w:szCs w:val="17"/>
        </w:rPr>
      </w:pPr>
      <w:r w:rsidRPr="001D1461">
        <w:rPr>
          <w:i/>
          <w:szCs w:val="17"/>
        </w:rPr>
        <w:t>Enrolment Criteria—General</w:t>
      </w:r>
    </w:p>
    <w:p w:rsidR="001D1461" w:rsidRPr="001D1461" w:rsidRDefault="001D1461" w:rsidP="001D1461">
      <w:pPr>
        <w:rPr>
          <w:rFonts w:eastAsia="Times New Roman"/>
          <w:b/>
          <w:szCs w:val="17"/>
        </w:rPr>
      </w:pPr>
      <w:r w:rsidRPr="001D1461">
        <w:rPr>
          <w:rFonts w:eastAsia="Times New Roman"/>
          <w:b/>
          <w:szCs w:val="17"/>
        </w:rPr>
        <w:t>Special Circumstances</w:t>
      </w:r>
    </w:p>
    <w:p w:rsidR="001D1461" w:rsidRPr="001D1461" w:rsidRDefault="001D1461" w:rsidP="001D1461">
      <w:pPr>
        <w:rPr>
          <w:rFonts w:eastAsia="Times New Roman"/>
          <w:szCs w:val="17"/>
        </w:rPr>
      </w:pPr>
      <w:r w:rsidRPr="001D1461">
        <w:rPr>
          <w:rFonts w:eastAsia="Times New Roman"/>
          <w:szCs w:val="17"/>
        </w:rPr>
        <w:t xml:space="preserve">Enrolment applications for special consideration based on compelling or unusual reasons, including but not limited to a child in care where there is custody or guardianship orders made under the </w:t>
      </w:r>
      <w:r w:rsidRPr="001D1461">
        <w:rPr>
          <w:rFonts w:eastAsia="Times New Roman"/>
          <w:i/>
          <w:szCs w:val="17"/>
        </w:rPr>
        <w:t>Children and Young People (Safety) Act 2017</w:t>
      </w:r>
      <w:r w:rsidRPr="001D1461">
        <w:rPr>
          <w:rFonts w:eastAsia="Times New Roman"/>
          <w:szCs w:val="17"/>
        </w:rPr>
        <w:t>, may be granted by the Principal in consultation with the Education Director. These applications will be assessed on a case by case basis.</w:t>
      </w:r>
    </w:p>
    <w:p w:rsidR="001D1461" w:rsidRPr="001D1461" w:rsidRDefault="001D1461" w:rsidP="001D1461">
      <w:pPr>
        <w:jc w:val="center"/>
        <w:rPr>
          <w:i/>
          <w:szCs w:val="17"/>
        </w:rPr>
      </w:pPr>
      <w:r w:rsidRPr="001D1461">
        <w:rPr>
          <w:i/>
          <w:szCs w:val="17"/>
        </w:rPr>
        <w:t>Enrolment Process</w:t>
      </w:r>
    </w:p>
    <w:p w:rsidR="001D1461" w:rsidRPr="001D1461" w:rsidRDefault="001D1461" w:rsidP="001D1461">
      <w:pPr>
        <w:rPr>
          <w:rFonts w:eastAsia="Times New Roman"/>
          <w:b/>
          <w:szCs w:val="17"/>
        </w:rPr>
      </w:pPr>
      <w:r w:rsidRPr="001D1461">
        <w:rPr>
          <w:rFonts w:eastAsia="Times New Roman"/>
          <w:b/>
          <w:szCs w:val="17"/>
        </w:rPr>
        <w:t>Enrolment Register</w:t>
      </w:r>
    </w:p>
    <w:p w:rsidR="001D1461" w:rsidRPr="001D1461" w:rsidRDefault="001D1461" w:rsidP="001D1461">
      <w:pPr>
        <w:rPr>
          <w:rFonts w:eastAsia="Times New Roman"/>
          <w:szCs w:val="17"/>
        </w:rPr>
      </w:pPr>
      <w:r w:rsidRPr="001D1461">
        <w:rPr>
          <w:rFonts w:eastAsia="Times New Roman"/>
          <w:szCs w:val="17"/>
        </w:rPr>
        <w:t>Parents whose child’s name has been placed on the enrolment register will be contacted by the beginning of week 1, term 4 if a vacancy is available for their child to attend the following school year.</w:t>
      </w:r>
    </w:p>
    <w:p w:rsidR="001D1461" w:rsidRPr="001D1461" w:rsidRDefault="001D1461" w:rsidP="001D1461">
      <w:pPr>
        <w:rPr>
          <w:rFonts w:eastAsia="Times New Roman"/>
          <w:szCs w:val="17"/>
        </w:rPr>
      </w:pPr>
      <w:r w:rsidRPr="001D1461">
        <w:rPr>
          <w:rFonts w:eastAsia="Times New Roman"/>
          <w:szCs w:val="17"/>
        </w:rPr>
        <w:t>The enrolment register will be reviewed and updated annually by the school.</w:t>
      </w:r>
    </w:p>
    <w:p w:rsidR="001D1461" w:rsidRPr="001D1461" w:rsidRDefault="001D1461" w:rsidP="001D1461">
      <w:pPr>
        <w:rPr>
          <w:rFonts w:eastAsia="Times New Roman"/>
          <w:szCs w:val="17"/>
        </w:rPr>
      </w:pPr>
      <w:r w:rsidRPr="001D1461">
        <w:rPr>
          <w:rFonts w:eastAsia="Times New Roman"/>
          <w:szCs w:val="17"/>
        </w:rPr>
        <w:t>The position that a child’s name appears on the register is confidential and will only be disclosed as required by law.</w:t>
      </w:r>
    </w:p>
    <w:p w:rsidR="001D1461" w:rsidRPr="001D1461" w:rsidRDefault="001D1461" w:rsidP="001D1461">
      <w:pPr>
        <w:rPr>
          <w:rFonts w:eastAsia="Times New Roman"/>
          <w:b/>
          <w:szCs w:val="17"/>
        </w:rPr>
      </w:pPr>
      <w:r w:rsidRPr="001D1461">
        <w:rPr>
          <w:rFonts w:eastAsia="Times New Roman"/>
          <w:b/>
          <w:szCs w:val="17"/>
        </w:rPr>
        <w:t>Monitoring and enforcement</w:t>
      </w:r>
    </w:p>
    <w:p w:rsidR="001D1461" w:rsidRPr="001D1461" w:rsidRDefault="001D1461" w:rsidP="001D1461">
      <w:pPr>
        <w:rPr>
          <w:rFonts w:eastAsia="Times New Roman"/>
          <w:szCs w:val="17"/>
        </w:rPr>
      </w:pPr>
      <w:r w:rsidRPr="001D1461">
        <w:rPr>
          <w:rFonts w:eastAsia="Times New Roman"/>
          <w:szCs w:val="17"/>
        </w:rPr>
        <w:t>It is the responsibility of the parents applying for enrolment to be able to verify to the satisfaction of the school that the information provided is true and factual.</w:t>
      </w:r>
    </w:p>
    <w:p w:rsidR="001D1461" w:rsidRPr="001D1461" w:rsidRDefault="001D1461" w:rsidP="001D1461">
      <w:pPr>
        <w:rPr>
          <w:rFonts w:eastAsia="Times New Roman"/>
          <w:spacing w:val="-4"/>
          <w:szCs w:val="17"/>
        </w:rPr>
      </w:pPr>
      <w:r w:rsidRPr="001D1461">
        <w:rPr>
          <w:rFonts w:eastAsia="Times New Roman"/>
          <w:spacing w:val="-4"/>
          <w:szCs w:val="17"/>
        </w:rPr>
        <w:t xml:space="preserve">If a child was enrolled at the school on the basis of false or misleading information (including residential address) the Chief Executive may direct that the child be instead enrolled at another Government school pursuant to Section 63(1) of the </w:t>
      </w:r>
      <w:r w:rsidRPr="001D1461">
        <w:rPr>
          <w:rFonts w:eastAsia="Times New Roman"/>
          <w:i/>
          <w:spacing w:val="-4"/>
          <w:szCs w:val="17"/>
        </w:rPr>
        <w:t>Education and Children’s Services Act 2019</w:t>
      </w:r>
      <w:r w:rsidRPr="001D1461">
        <w:rPr>
          <w:rFonts w:eastAsia="Times New Roman"/>
          <w:spacing w:val="-4"/>
          <w:szCs w:val="17"/>
        </w:rPr>
        <w:t>.</w:t>
      </w:r>
    </w:p>
    <w:p w:rsidR="001D1461" w:rsidRPr="001D1461" w:rsidRDefault="001D1461" w:rsidP="001D1461">
      <w:pPr>
        <w:rPr>
          <w:rFonts w:eastAsia="Times New Roman"/>
          <w:szCs w:val="17"/>
        </w:rPr>
      </w:pPr>
      <w:r w:rsidRPr="001D1461">
        <w:rPr>
          <w:rFonts w:eastAsia="Times New Roman"/>
          <w:szCs w:val="17"/>
        </w:rPr>
        <w:t>The Principal is responsible for the implementation of this Capacity Management Plan and all decisions on enrolments.</w:t>
      </w:r>
    </w:p>
    <w:p w:rsidR="001D1461" w:rsidRPr="001D1461" w:rsidRDefault="001D1461" w:rsidP="001D1461">
      <w:pPr>
        <w:rPr>
          <w:rFonts w:eastAsia="Times New Roman"/>
          <w:szCs w:val="17"/>
        </w:rPr>
      </w:pPr>
      <w:r w:rsidRPr="001D1461">
        <w:rPr>
          <w:rFonts w:eastAsia="Times New Roman"/>
          <w:szCs w:val="17"/>
        </w:rPr>
        <w:t>This Capacity Management Plan will be reviewed as required.</w:t>
      </w:r>
    </w:p>
    <w:p w:rsidR="001D1461" w:rsidRPr="001D1461" w:rsidRDefault="001D1461" w:rsidP="001D1461">
      <w:pPr>
        <w:spacing w:after="0"/>
        <w:rPr>
          <w:rFonts w:eastAsia="Times New Roman"/>
          <w:szCs w:val="17"/>
        </w:rPr>
      </w:pPr>
      <w:r w:rsidRPr="001D1461">
        <w:rPr>
          <w:rFonts w:eastAsia="Times New Roman"/>
          <w:szCs w:val="17"/>
        </w:rPr>
        <w:t>Dated: 20 April 2021</w:t>
      </w:r>
    </w:p>
    <w:p w:rsidR="001D1461" w:rsidRPr="001D1461" w:rsidRDefault="001D1461" w:rsidP="001D1461">
      <w:pPr>
        <w:spacing w:after="0"/>
        <w:jc w:val="right"/>
        <w:rPr>
          <w:rFonts w:eastAsia="Times New Roman"/>
          <w:smallCaps/>
          <w:szCs w:val="20"/>
        </w:rPr>
      </w:pPr>
      <w:r w:rsidRPr="001D1461">
        <w:rPr>
          <w:rFonts w:eastAsia="Times New Roman"/>
          <w:smallCaps/>
          <w:szCs w:val="20"/>
        </w:rPr>
        <w:t>John Gardner</w:t>
      </w:r>
    </w:p>
    <w:p w:rsidR="001F45F0" w:rsidRDefault="001D1461" w:rsidP="001D1461">
      <w:pPr>
        <w:spacing w:after="0"/>
        <w:jc w:val="right"/>
        <w:rPr>
          <w:rFonts w:eastAsia="Times New Roman"/>
          <w:szCs w:val="17"/>
        </w:rPr>
      </w:pPr>
      <w:r w:rsidRPr="001D1461">
        <w:rPr>
          <w:rFonts w:eastAsia="Times New Roman"/>
          <w:szCs w:val="17"/>
        </w:rPr>
        <w:t>Minister for Education</w:t>
      </w:r>
    </w:p>
    <w:p w:rsidR="001D1461" w:rsidRDefault="001D1461" w:rsidP="001D1461">
      <w:pPr>
        <w:pBdr>
          <w:bottom w:val="single" w:sz="4" w:space="1" w:color="auto"/>
        </w:pBdr>
        <w:spacing w:after="0" w:line="52" w:lineRule="exact"/>
        <w:jc w:val="center"/>
        <w:rPr>
          <w:rFonts w:eastAsia="Times New Roman"/>
          <w:szCs w:val="17"/>
        </w:rPr>
      </w:pPr>
    </w:p>
    <w:p w:rsidR="001D1461" w:rsidRDefault="001D1461" w:rsidP="001D1461">
      <w:pPr>
        <w:pBdr>
          <w:top w:val="single" w:sz="4" w:space="1" w:color="auto"/>
        </w:pBdr>
        <w:spacing w:before="34" w:after="0" w:line="14" w:lineRule="exact"/>
        <w:jc w:val="center"/>
        <w:rPr>
          <w:rFonts w:eastAsia="Times New Roman"/>
          <w:szCs w:val="17"/>
        </w:rPr>
      </w:pPr>
    </w:p>
    <w:p w:rsidR="001D1461" w:rsidRPr="001F45F0" w:rsidRDefault="001D1461" w:rsidP="001D14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B63AA2" w:rsidRPr="00B63AA2" w:rsidRDefault="00B63AA2" w:rsidP="00051940">
      <w:pPr>
        <w:pStyle w:val="Heading2"/>
      </w:pPr>
      <w:bookmarkStart w:id="32" w:name="_Toc69916964"/>
      <w:r w:rsidRPr="00B63AA2">
        <w:t>Explosives Act 1936</w:t>
      </w:r>
      <w:bookmarkEnd w:id="32"/>
    </w:p>
    <w:p w:rsidR="00B63AA2" w:rsidRPr="00B63AA2" w:rsidRDefault="00B63AA2" w:rsidP="00B63AA2">
      <w:pPr>
        <w:jc w:val="center"/>
        <w:rPr>
          <w:i/>
          <w:szCs w:val="17"/>
        </w:rPr>
      </w:pPr>
      <w:r w:rsidRPr="00B63AA2">
        <w:rPr>
          <w:i/>
          <w:szCs w:val="17"/>
        </w:rPr>
        <w:t>Revocation of Appointments—Inspectors of Explosives</w:t>
      </w:r>
    </w:p>
    <w:p w:rsidR="00B63AA2" w:rsidRPr="00B63AA2" w:rsidRDefault="00B63AA2" w:rsidP="00B63AA2">
      <w:pPr>
        <w:rPr>
          <w:rFonts w:eastAsia="Times New Roman"/>
          <w:szCs w:val="17"/>
        </w:rPr>
      </w:pPr>
      <w:r w:rsidRPr="00B63AA2">
        <w:rPr>
          <w:rFonts w:eastAsia="Times New Roman"/>
          <w:szCs w:val="17"/>
        </w:rPr>
        <w:t xml:space="preserve">I, ROBERT IVAN LUCAS, Treasurer in and for the State of South Australia, hereby revoke the appointments of the following persons as Inspectors of explosives for the purposes of the </w:t>
      </w:r>
      <w:r w:rsidRPr="00B63AA2">
        <w:rPr>
          <w:rFonts w:eastAsia="Times New Roman"/>
          <w:i/>
          <w:szCs w:val="17"/>
        </w:rPr>
        <w:t>Explosives Act 1936</w:t>
      </w:r>
      <w:r w:rsidRPr="00B63AA2">
        <w:rPr>
          <w:rFonts w:eastAsia="Times New Roman"/>
          <w:szCs w:val="17"/>
        </w:rPr>
        <w:t xml:space="preserve"> pursuant to Section 9(1) of that Act:</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Martin BAILEY</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Darren Michael BRYANS</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Kristina Teresa CONSTANTOPOULOS</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Christopher James EMBERY</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Shirley Anne HIGGINS</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Sarah Louise HUTCHINSON</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Ewa Jadwiga JARUZELSKI</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Hendricus Johannus Antonius JORDANS</w:t>
      </w:r>
    </w:p>
    <w:p w:rsidR="00BB5027" w:rsidRDefault="00BB5027">
      <w:pPr>
        <w:spacing w:after="0" w:line="240" w:lineRule="auto"/>
        <w:jc w:val="left"/>
        <w:rPr>
          <w:rFonts w:eastAsia="Times New Roman"/>
          <w:szCs w:val="17"/>
        </w:rPr>
      </w:pPr>
      <w:r>
        <w:rPr>
          <w:rFonts w:eastAsia="Times New Roman"/>
          <w:szCs w:val="17"/>
        </w:rPr>
        <w:br w:type="page"/>
      </w:r>
    </w:p>
    <w:p w:rsidR="00B63AA2" w:rsidRPr="00B63AA2" w:rsidRDefault="00B63AA2" w:rsidP="00B63AA2">
      <w:pPr>
        <w:spacing w:after="40"/>
        <w:ind w:left="284" w:hanging="142"/>
        <w:rPr>
          <w:rFonts w:eastAsia="Times New Roman"/>
          <w:szCs w:val="17"/>
        </w:rPr>
      </w:pPr>
      <w:r w:rsidRPr="00B63AA2">
        <w:rPr>
          <w:rFonts w:eastAsia="Times New Roman"/>
          <w:szCs w:val="17"/>
        </w:rPr>
        <w:lastRenderedPageBreak/>
        <w:t>•</w:t>
      </w:r>
      <w:r w:rsidRPr="00B63AA2">
        <w:rPr>
          <w:rFonts w:eastAsia="Times New Roman"/>
          <w:szCs w:val="17"/>
        </w:rPr>
        <w:tab/>
        <w:t>Amanda Jane KAY</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Belinda MATIJEVIC</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Deborah Jean MCLEAN</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Kerryn Lesley MCPHERSON</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Tore Ware NIELSEN</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John Frederick PEAKE</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Matthew Antony PEARCE</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Timothy James RASCH</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Michael Kenneth SCRUTTON</w:t>
      </w:r>
    </w:p>
    <w:p w:rsidR="00B63AA2" w:rsidRPr="00B63AA2" w:rsidRDefault="00B63AA2" w:rsidP="00B63AA2">
      <w:pPr>
        <w:spacing w:after="40"/>
        <w:ind w:left="284" w:hanging="142"/>
        <w:rPr>
          <w:rFonts w:eastAsia="Times New Roman"/>
          <w:szCs w:val="17"/>
        </w:rPr>
      </w:pPr>
      <w:r w:rsidRPr="00B63AA2">
        <w:rPr>
          <w:rFonts w:eastAsia="Times New Roman"/>
          <w:szCs w:val="17"/>
        </w:rPr>
        <w:t>•</w:t>
      </w:r>
      <w:r w:rsidRPr="00B63AA2">
        <w:rPr>
          <w:rFonts w:eastAsia="Times New Roman"/>
          <w:szCs w:val="17"/>
        </w:rPr>
        <w:tab/>
        <w:t>Imogen SELLEY</w:t>
      </w:r>
    </w:p>
    <w:p w:rsidR="00B63AA2" w:rsidRPr="00B63AA2" w:rsidRDefault="00B63AA2" w:rsidP="00B63AA2">
      <w:pPr>
        <w:ind w:left="284" w:hanging="142"/>
        <w:rPr>
          <w:rFonts w:eastAsia="Times New Roman"/>
          <w:szCs w:val="17"/>
        </w:rPr>
      </w:pPr>
      <w:r w:rsidRPr="00B63AA2">
        <w:rPr>
          <w:rFonts w:eastAsia="Times New Roman"/>
          <w:szCs w:val="17"/>
        </w:rPr>
        <w:t>•</w:t>
      </w:r>
      <w:r w:rsidRPr="00B63AA2">
        <w:rPr>
          <w:rFonts w:eastAsia="Times New Roman"/>
          <w:szCs w:val="17"/>
        </w:rPr>
        <w:tab/>
        <w:t>Loan Thi Phuong VU</w:t>
      </w:r>
    </w:p>
    <w:p w:rsidR="00B63AA2" w:rsidRPr="00B63AA2" w:rsidRDefault="00B63AA2" w:rsidP="00B63AA2">
      <w:pPr>
        <w:spacing w:after="0"/>
        <w:rPr>
          <w:rFonts w:eastAsia="Times New Roman"/>
          <w:szCs w:val="17"/>
        </w:rPr>
      </w:pPr>
      <w:r w:rsidRPr="00B63AA2">
        <w:rPr>
          <w:rFonts w:eastAsia="Times New Roman"/>
          <w:szCs w:val="17"/>
        </w:rPr>
        <w:t>Dated: 15 April 2021</w:t>
      </w:r>
    </w:p>
    <w:p w:rsidR="00B63AA2" w:rsidRPr="00B63AA2" w:rsidRDefault="00B63AA2" w:rsidP="00B63AA2">
      <w:pPr>
        <w:spacing w:after="0"/>
        <w:jc w:val="right"/>
        <w:rPr>
          <w:rFonts w:eastAsia="Times New Roman"/>
          <w:smallCaps/>
          <w:szCs w:val="20"/>
        </w:rPr>
      </w:pPr>
      <w:r w:rsidRPr="00B63AA2">
        <w:rPr>
          <w:rFonts w:eastAsia="Times New Roman"/>
          <w:smallCaps/>
          <w:szCs w:val="20"/>
        </w:rPr>
        <w:t>Hon Rob Lucas MLC</w:t>
      </w:r>
    </w:p>
    <w:p w:rsidR="009D1E2E" w:rsidRDefault="00B63AA2" w:rsidP="00B63AA2">
      <w:pPr>
        <w:spacing w:after="0"/>
        <w:jc w:val="right"/>
        <w:rPr>
          <w:rFonts w:eastAsia="Times New Roman"/>
          <w:szCs w:val="17"/>
        </w:rPr>
      </w:pPr>
      <w:r w:rsidRPr="00B63AA2">
        <w:rPr>
          <w:rFonts w:eastAsia="Times New Roman"/>
          <w:szCs w:val="17"/>
        </w:rPr>
        <w:t>Treasurer</w:t>
      </w:r>
    </w:p>
    <w:p w:rsidR="00B63AA2" w:rsidRDefault="00B63AA2" w:rsidP="00B63AA2">
      <w:pPr>
        <w:pBdr>
          <w:bottom w:val="single" w:sz="4" w:space="1" w:color="auto"/>
        </w:pBdr>
        <w:spacing w:after="0" w:line="52" w:lineRule="exact"/>
        <w:jc w:val="center"/>
        <w:rPr>
          <w:lang w:val="en-US"/>
        </w:rPr>
      </w:pPr>
    </w:p>
    <w:p w:rsidR="00B63AA2" w:rsidRDefault="00B63AA2" w:rsidP="00B63AA2">
      <w:pPr>
        <w:pBdr>
          <w:top w:val="single" w:sz="4" w:space="1" w:color="auto"/>
        </w:pBdr>
        <w:spacing w:before="34" w:after="0" w:line="14" w:lineRule="exact"/>
        <w:jc w:val="center"/>
        <w:rPr>
          <w:lang w:val="en-US"/>
        </w:rPr>
      </w:pPr>
    </w:p>
    <w:p w:rsidR="00B63AA2" w:rsidRDefault="00B63AA2" w:rsidP="00B63A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51CBF" w:rsidRPr="00D51CBF" w:rsidRDefault="00D51CBF" w:rsidP="00051940">
      <w:pPr>
        <w:pStyle w:val="Heading2"/>
      </w:pPr>
      <w:bookmarkStart w:id="33" w:name="_Toc69916965"/>
      <w:r w:rsidRPr="00D51CBF">
        <w:t>Fire and Emergency Services Act 2005</w:t>
      </w:r>
      <w:bookmarkEnd w:id="33"/>
    </w:p>
    <w:p w:rsidR="00D51CBF" w:rsidRPr="00D51CBF" w:rsidRDefault="00D51CBF" w:rsidP="00D51CBF">
      <w:pPr>
        <w:jc w:val="center"/>
        <w:rPr>
          <w:smallCaps/>
          <w:szCs w:val="17"/>
        </w:rPr>
      </w:pPr>
      <w:r w:rsidRPr="00D51CBF">
        <w:rPr>
          <w:smallCaps/>
          <w:szCs w:val="17"/>
        </w:rPr>
        <w:t>Section 68</w:t>
      </w:r>
    </w:p>
    <w:p w:rsidR="00D51CBF" w:rsidRPr="00D51CBF" w:rsidRDefault="00D51CBF" w:rsidP="00D51CBF">
      <w:pPr>
        <w:jc w:val="center"/>
        <w:rPr>
          <w:i/>
          <w:szCs w:val="17"/>
        </w:rPr>
      </w:pPr>
      <w:r w:rsidRPr="00D51CBF">
        <w:rPr>
          <w:i/>
          <w:szCs w:val="17"/>
        </w:rPr>
        <w:t>Transfer of a SACFS Brigade to a CFS Group</w:t>
      </w:r>
    </w:p>
    <w:p w:rsidR="00D51CBF" w:rsidRPr="00D51CBF" w:rsidRDefault="00D51CBF" w:rsidP="00D51CBF">
      <w:pPr>
        <w:rPr>
          <w:rFonts w:eastAsia="Times New Roman"/>
          <w:szCs w:val="17"/>
        </w:rPr>
      </w:pPr>
      <w:r w:rsidRPr="00D51CBF">
        <w:rPr>
          <w:rFonts w:eastAsia="Times New Roman"/>
          <w:szCs w:val="17"/>
        </w:rPr>
        <w:t xml:space="preserve">I, MARK JONES QFSM, the Chief Officer of the South Australian Country Fire Service, in accordance with Division 5, Section 68(1)(a) of the </w:t>
      </w:r>
      <w:r w:rsidRPr="00D51CBF">
        <w:rPr>
          <w:rFonts w:eastAsia="Times New Roman"/>
          <w:i/>
          <w:szCs w:val="17"/>
        </w:rPr>
        <w:t>Fire and Emergency Services Act 2005</w:t>
      </w:r>
      <w:r w:rsidRPr="00D51CBF">
        <w:rPr>
          <w:rFonts w:eastAsia="Times New Roman"/>
          <w:szCs w:val="17"/>
        </w:rPr>
        <w:t>, hereby support the transfer of the CFS Greenways Brigade from the CFS Robe Group to the CFS Lucindale Group and the subsequent movement of Boundaries to reflect this change.</w:t>
      </w:r>
    </w:p>
    <w:p w:rsidR="00D51CBF" w:rsidRPr="00D51CBF" w:rsidRDefault="00D51CBF" w:rsidP="00D51CBF">
      <w:pPr>
        <w:spacing w:after="0"/>
        <w:rPr>
          <w:rFonts w:eastAsia="Times New Roman"/>
          <w:szCs w:val="17"/>
        </w:rPr>
      </w:pPr>
      <w:r w:rsidRPr="00D51CBF">
        <w:rPr>
          <w:rFonts w:eastAsia="Times New Roman"/>
          <w:szCs w:val="17"/>
        </w:rPr>
        <w:t>Dated: 18 April 2021</w:t>
      </w:r>
    </w:p>
    <w:p w:rsidR="00D51CBF" w:rsidRPr="00D51CBF" w:rsidRDefault="00D51CBF" w:rsidP="00D51CBF">
      <w:pPr>
        <w:spacing w:after="0"/>
        <w:jc w:val="right"/>
        <w:rPr>
          <w:rFonts w:eastAsia="Times New Roman"/>
          <w:smallCaps/>
          <w:szCs w:val="20"/>
        </w:rPr>
      </w:pPr>
      <w:r w:rsidRPr="00D51CBF">
        <w:rPr>
          <w:rFonts w:eastAsia="Times New Roman"/>
          <w:smallCaps/>
          <w:szCs w:val="20"/>
        </w:rPr>
        <w:t>Mark Jones QFSM</w:t>
      </w:r>
    </w:p>
    <w:p w:rsidR="00D51CBF" w:rsidRPr="00D51CBF" w:rsidRDefault="00D51CBF" w:rsidP="00D51CBF">
      <w:pPr>
        <w:spacing w:after="0"/>
        <w:jc w:val="right"/>
        <w:rPr>
          <w:rFonts w:eastAsia="Times New Roman"/>
          <w:szCs w:val="17"/>
        </w:rPr>
      </w:pPr>
      <w:r w:rsidRPr="00D51CBF">
        <w:rPr>
          <w:rFonts w:eastAsia="Times New Roman"/>
          <w:szCs w:val="17"/>
        </w:rPr>
        <w:t>Chief Officer</w:t>
      </w:r>
    </w:p>
    <w:p w:rsidR="00B63AA2" w:rsidRDefault="00D51CBF" w:rsidP="00D51CBF">
      <w:pPr>
        <w:spacing w:after="0"/>
        <w:jc w:val="right"/>
        <w:rPr>
          <w:rFonts w:eastAsia="Times New Roman"/>
          <w:szCs w:val="17"/>
        </w:rPr>
      </w:pPr>
      <w:r w:rsidRPr="00D51CBF">
        <w:rPr>
          <w:rFonts w:eastAsia="Times New Roman"/>
          <w:szCs w:val="17"/>
        </w:rPr>
        <w:t>SA Country Fire Service</w:t>
      </w:r>
    </w:p>
    <w:p w:rsidR="00D51CBF" w:rsidRDefault="00D51CBF" w:rsidP="00D51CBF">
      <w:pPr>
        <w:pBdr>
          <w:bottom w:val="single" w:sz="4" w:space="1" w:color="auto"/>
        </w:pBdr>
        <w:spacing w:after="0" w:line="52" w:lineRule="exact"/>
        <w:jc w:val="center"/>
        <w:rPr>
          <w:lang w:val="en-US"/>
        </w:rPr>
      </w:pPr>
    </w:p>
    <w:p w:rsidR="00D51CBF" w:rsidRDefault="00D51CBF" w:rsidP="00D51CBF">
      <w:pPr>
        <w:pBdr>
          <w:top w:val="single" w:sz="4" w:space="1" w:color="auto"/>
        </w:pBdr>
        <w:spacing w:before="34" w:after="0" w:line="14" w:lineRule="exact"/>
        <w:jc w:val="center"/>
        <w:rPr>
          <w:lang w:val="en-US"/>
        </w:rPr>
      </w:pPr>
    </w:p>
    <w:p w:rsidR="00D51CBF" w:rsidRDefault="00D51CBF" w:rsidP="00D51C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D575E" w:rsidRPr="00DD575E" w:rsidRDefault="00DD575E" w:rsidP="00051940">
      <w:pPr>
        <w:pStyle w:val="Heading2"/>
      </w:pPr>
      <w:bookmarkStart w:id="34" w:name="_Toc69916966"/>
      <w:r w:rsidRPr="00DD575E">
        <w:t>Fisheries Management Act 2007</w:t>
      </w:r>
      <w:bookmarkEnd w:id="34"/>
    </w:p>
    <w:p w:rsidR="00DD575E" w:rsidRPr="00DD575E" w:rsidRDefault="00DD575E" w:rsidP="00BB5027">
      <w:pPr>
        <w:spacing w:after="60"/>
        <w:jc w:val="center"/>
        <w:rPr>
          <w:smallCaps/>
          <w:szCs w:val="17"/>
        </w:rPr>
      </w:pPr>
      <w:r w:rsidRPr="00DD575E">
        <w:rPr>
          <w:smallCaps/>
          <w:szCs w:val="17"/>
        </w:rPr>
        <w:t>Section 115</w:t>
      </w:r>
    </w:p>
    <w:p w:rsidR="00DD575E" w:rsidRPr="00DD575E" w:rsidRDefault="00DD575E" w:rsidP="00BB5027">
      <w:pPr>
        <w:spacing w:after="60"/>
        <w:jc w:val="center"/>
        <w:rPr>
          <w:i/>
          <w:szCs w:val="17"/>
        </w:rPr>
      </w:pPr>
      <w:r w:rsidRPr="00DD575E">
        <w:rPr>
          <w:i/>
          <w:szCs w:val="17"/>
        </w:rPr>
        <w:t>Exemption Number: ME9903141</w:t>
      </w:r>
    </w:p>
    <w:p w:rsidR="00DD575E" w:rsidRPr="00DD575E" w:rsidRDefault="00DD575E" w:rsidP="00BB5027">
      <w:pPr>
        <w:spacing w:after="60"/>
        <w:rPr>
          <w:rFonts w:eastAsia="Times New Roman"/>
          <w:szCs w:val="17"/>
        </w:rPr>
      </w:pPr>
      <w:r w:rsidRPr="00DD575E">
        <w:rPr>
          <w:rFonts w:eastAsia="Times New Roman"/>
          <w:szCs w:val="17"/>
        </w:rPr>
        <w:t xml:space="preserve">TAKE NOTICE that pursuant to Section 115 of the </w:t>
      </w:r>
      <w:r w:rsidRPr="00DD575E">
        <w:rPr>
          <w:rFonts w:eastAsia="Times New Roman"/>
          <w:i/>
          <w:szCs w:val="17"/>
        </w:rPr>
        <w:t>Fisheries Management Act 2007</w:t>
      </w:r>
      <w:r w:rsidRPr="00DD575E">
        <w:rPr>
          <w:rFonts w:eastAsia="Times New Roman"/>
          <w:szCs w:val="17"/>
        </w:rPr>
        <w:t xml:space="preserve">, I Professor Gavin Begg, Executive Director Fisheries and Aquaculture, delegate to the Minister of Primary Industries and Regional Development, hereby declare the holder of a Commonwealth concession issued under the </w:t>
      </w:r>
      <w:r w:rsidRPr="00DD575E">
        <w:rPr>
          <w:rFonts w:eastAsia="Times New Roman"/>
          <w:i/>
          <w:szCs w:val="17"/>
        </w:rPr>
        <w:t>Fisheries Management Act 1991</w:t>
      </w:r>
      <w:r w:rsidRPr="00DD575E">
        <w:rPr>
          <w:rFonts w:eastAsia="Times New Roman"/>
          <w:szCs w:val="17"/>
        </w:rPr>
        <w:t xml:space="preserve"> (Cwth) (the ‘exemption holders’) are exempt from the provisions contained in the declaration made under Section 79 of the </w:t>
      </w:r>
      <w:r w:rsidRPr="00DD575E">
        <w:rPr>
          <w:rFonts w:eastAsia="Times New Roman"/>
          <w:i/>
          <w:szCs w:val="17"/>
        </w:rPr>
        <w:t>Fisheries Management Act 2007</w:t>
      </w:r>
      <w:r w:rsidRPr="00DD575E">
        <w:rPr>
          <w:rFonts w:eastAsia="Times New Roman"/>
          <w:szCs w:val="17"/>
        </w:rPr>
        <w:t xml:space="preserve">, dated 2 February 2021, and published in the </w:t>
      </w:r>
      <w:r w:rsidRPr="00DD575E">
        <w:rPr>
          <w:rFonts w:eastAsia="Times New Roman"/>
          <w:i/>
          <w:szCs w:val="17"/>
        </w:rPr>
        <w:t>South Australian Government Gazette</w:t>
      </w:r>
      <w:r w:rsidRPr="00DD575E">
        <w:rPr>
          <w:rFonts w:eastAsia="Times New Roman"/>
          <w:szCs w:val="17"/>
        </w:rPr>
        <w:t xml:space="preserve"> on 2 February 2021 being the notice published on page 249, but only insofar as the exemption holders may possess Snapper (</w:t>
      </w:r>
      <w:r w:rsidRPr="00DD575E">
        <w:rPr>
          <w:rFonts w:eastAsia="Times New Roman"/>
          <w:i/>
          <w:szCs w:val="17"/>
        </w:rPr>
        <w:t>Chrysophrys auratus</w:t>
      </w:r>
      <w:r w:rsidRPr="00DD575E">
        <w:rPr>
          <w:rFonts w:eastAsia="Times New Roman"/>
          <w:szCs w:val="17"/>
        </w:rPr>
        <w:t xml:space="preserve">) on a vessel undertaking a lawful fishing activity under their concession </w:t>
      </w:r>
      <w:r w:rsidRPr="00DD575E">
        <w:rPr>
          <w:rFonts w:eastAsia="Times New Roman"/>
          <w:spacing w:val="-4"/>
          <w:szCs w:val="17"/>
        </w:rPr>
        <w:t>(the ‘exempted activity’), subject to the conditions set out in Schedule 1 during the period specified in Schedule 2 unless varied or revoked earlier.</w:t>
      </w:r>
    </w:p>
    <w:p w:rsidR="00DD575E" w:rsidRPr="00DD575E" w:rsidRDefault="00DD575E" w:rsidP="00BB5027">
      <w:pPr>
        <w:spacing w:after="60"/>
        <w:jc w:val="center"/>
        <w:rPr>
          <w:smallCaps/>
          <w:szCs w:val="17"/>
        </w:rPr>
      </w:pPr>
      <w:r w:rsidRPr="00DD575E">
        <w:rPr>
          <w:smallCaps/>
          <w:szCs w:val="17"/>
        </w:rPr>
        <w:t>Schedule 1</w:t>
      </w:r>
    </w:p>
    <w:p w:rsidR="00DD575E" w:rsidRPr="00DD575E" w:rsidRDefault="00DD575E" w:rsidP="00BB5027">
      <w:pPr>
        <w:spacing w:after="60"/>
        <w:ind w:left="284" w:hanging="284"/>
        <w:rPr>
          <w:rFonts w:eastAsia="Times New Roman"/>
          <w:szCs w:val="17"/>
        </w:rPr>
      </w:pPr>
      <w:r w:rsidRPr="00DD575E">
        <w:rPr>
          <w:rFonts w:eastAsia="Times New Roman"/>
          <w:szCs w:val="17"/>
        </w:rPr>
        <w:t>1.</w:t>
      </w:r>
      <w:r w:rsidRPr="00DD575E">
        <w:rPr>
          <w:rFonts w:eastAsia="Times New Roman"/>
          <w:szCs w:val="17"/>
        </w:rPr>
        <w:tab/>
        <w:t>The Snapper in the concession holder’s possession must have been taken lawfully in Western Australian waters or in waters of the South East.</w:t>
      </w:r>
    </w:p>
    <w:p w:rsidR="00DD575E" w:rsidRPr="00DD575E" w:rsidRDefault="00DD575E" w:rsidP="00BB5027">
      <w:pPr>
        <w:spacing w:after="60"/>
        <w:ind w:left="284" w:hanging="284"/>
        <w:rPr>
          <w:rFonts w:eastAsia="Times New Roman"/>
          <w:szCs w:val="17"/>
        </w:rPr>
      </w:pPr>
      <w:r w:rsidRPr="00DD575E">
        <w:rPr>
          <w:rFonts w:eastAsia="Times New Roman"/>
          <w:szCs w:val="17"/>
        </w:rPr>
        <w:t>2.</w:t>
      </w:r>
      <w:r w:rsidRPr="00DD575E">
        <w:rPr>
          <w:rFonts w:eastAsia="Times New Roman"/>
          <w:szCs w:val="17"/>
        </w:rPr>
        <w:tab/>
        <w:t>At least one hour prior to travelling through any part of the waters closed to the take of Snapper described in this notice, the concession operator must, if in possession of Snapper, make a prior report to the Department of Primary Industries and Regions (PIRSA) Fishwatch (1800 065 522) and must provide the Department the following information:</w:t>
      </w:r>
    </w:p>
    <w:p w:rsidR="00DD575E" w:rsidRPr="00DD575E" w:rsidRDefault="00DD575E" w:rsidP="00DD575E">
      <w:pPr>
        <w:spacing w:after="40"/>
        <w:ind w:left="426" w:hanging="142"/>
        <w:rPr>
          <w:rFonts w:eastAsia="Times New Roman"/>
          <w:szCs w:val="17"/>
        </w:rPr>
      </w:pPr>
      <w:r w:rsidRPr="00DD575E">
        <w:rPr>
          <w:rFonts w:eastAsia="Times New Roman"/>
          <w:szCs w:val="17"/>
        </w:rPr>
        <w:t>•</w:t>
      </w:r>
      <w:r w:rsidRPr="00DD575E">
        <w:rPr>
          <w:rFonts w:eastAsia="Times New Roman"/>
          <w:szCs w:val="17"/>
        </w:rPr>
        <w:tab/>
        <w:t>The name of the caller;</w:t>
      </w:r>
    </w:p>
    <w:p w:rsidR="00DD575E" w:rsidRPr="00DD575E" w:rsidRDefault="00DD575E" w:rsidP="00DD575E">
      <w:pPr>
        <w:spacing w:after="40"/>
        <w:ind w:left="426" w:hanging="142"/>
        <w:rPr>
          <w:rFonts w:eastAsia="Times New Roman"/>
          <w:szCs w:val="17"/>
        </w:rPr>
      </w:pPr>
      <w:r w:rsidRPr="00DD575E">
        <w:rPr>
          <w:rFonts w:eastAsia="Times New Roman"/>
          <w:szCs w:val="17"/>
        </w:rPr>
        <w:t>•</w:t>
      </w:r>
      <w:r w:rsidRPr="00DD575E">
        <w:rPr>
          <w:rFonts w:eastAsia="Times New Roman"/>
          <w:szCs w:val="17"/>
        </w:rPr>
        <w:tab/>
        <w:t>Contact phone number of the caller;</w:t>
      </w:r>
    </w:p>
    <w:p w:rsidR="00DD575E" w:rsidRPr="00DD575E" w:rsidRDefault="00DD575E" w:rsidP="00DD575E">
      <w:pPr>
        <w:spacing w:after="40"/>
        <w:ind w:left="426" w:hanging="142"/>
        <w:rPr>
          <w:rFonts w:eastAsia="Times New Roman"/>
          <w:szCs w:val="17"/>
        </w:rPr>
      </w:pPr>
      <w:r w:rsidRPr="00DD575E">
        <w:rPr>
          <w:rFonts w:eastAsia="Times New Roman"/>
          <w:szCs w:val="17"/>
        </w:rPr>
        <w:t>•</w:t>
      </w:r>
      <w:r w:rsidRPr="00DD575E">
        <w:rPr>
          <w:rFonts w:eastAsia="Times New Roman"/>
          <w:szCs w:val="17"/>
        </w:rPr>
        <w:tab/>
        <w:t>The Commonwealth concession type and number;</w:t>
      </w:r>
    </w:p>
    <w:p w:rsidR="00DD575E" w:rsidRPr="00DD575E" w:rsidRDefault="00DD575E" w:rsidP="00DD575E">
      <w:pPr>
        <w:spacing w:after="40"/>
        <w:ind w:left="426" w:hanging="142"/>
        <w:rPr>
          <w:rFonts w:eastAsia="Times New Roman"/>
          <w:szCs w:val="17"/>
        </w:rPr>
      </w:pPr>
      <w:r w:rsidRPr="00DD575E">
        <w:rPr>
          <w:rFonts w:eastAsia="Times New Roman"/>
          <w:szCs w:val="17"/>
        </w:rPr>
        <w:t>•</w:t>
      </w:r>
      <w:r w:rsidRPr="00DD575E">
        <w:rPr>
          <w:rFonts w:eastAsia="Times New Roman"/>
          <w:szCs w:val="17"/>
        </w:rPr>
        <w:tab/>
        <w:t>Name of vessel;</w:t>
      </w:r>
    </w:p>
    <w:p w:rsidR="00DD575E" w:rsidRPr="00DD575E" w:rsidRDefault="00DD575E" w:rsidP="00DD575E">
      <w:pPr>
        <w:spacing w:after="40"/>
        <w:ind w:left="426" w:hanging="142"/>
        <w:rPr>
          <w:rFonts w:eastAsia="Times New Roman"/>
          <w:szCs w:val="17"/>
        </w:rPr>
      </w:pPr>
      <w:r w:rsidRPr="00DD575E">
        <w:rPr>
          <w:rFonts w:eastAsia="Times New Roman"/>
          <w:szCs w:val="17"/>
        </w:rPr>
        <w:t>•</w:t>
      </w:r>
      <w:r w:rsidRPr="00DD575E">
        <w:rPr>
          <w:rFonts w:eastAsia="Times New Roman"/>
          <w:szCs w:val="17"/>
        </w:rPr>
        <w:tab/>
        <w:t>Weight of Snapper on board;</w:t>
      </w:r>
    </w:p>
    <w:p w:rsidR="00DD575E" w:rsidRPr="00DD575E" w:rsidRDefault="00DD575E" w:rsidP="00DD575E">
      <w:pPr>
        <w:spacing w:after="40"/>
        <w:ind w:left="426" w:hanging="142"/>
        <w:rPr>
          <w:rFonts w:eastAsia="Times New Roman"/>
          <w:szCs w:val="17"/>
        </w:rPr>
      </w:pPr>
      <w:r w:rsidRPr="00DD575E">
        <w:rPr>
          <w:rFonts w:eastAsia="Times New Roman"/>
          <w:szCs w:val="17"/>
        </w:rPr>
        <w:t>•</w:t>
      </w:r>
      <w:r w:rsidRPr="00DD575E">
        <w:rPr>
          <w:rFonts w:eastAsia="Times New Roman"/>
          <w:szCs w:val="17"/>
        </w:rPr>
        <w:tab/>
        <w:t>The time the boat will enter the Snapper closure area; and</w:t>
      </w:r>
    </w:p>
    <w:p w:rsidR="00DD575E" w:rsidRPr="00DD575E" w:rsidRDefault="00DD575E" w:rsidP="00DD575E">
      <w:pPr>
        <w:ind w:left="426" w:hanging="142"/>
        <w:rPr>
          <w:rFonts w:eastAsia="Times New Roman"/>
          <w:szCs w:val="17"/>
        </w:rPr>
      </w:pPr>
      <w:r w:rsidRPr="00DD575E">
        <w:rPr>
          <w:rFonts w:eastAsia="Times New Roman"/>
          <w:szCs w:val="17"/>
        </w:rPr>
        <w:t>•</w:t>
      </w:r>
      <w:r w:rsidRPr="00DD575E">
        <w:rPr>
          <w:rFonts w:eastAsia="Times New Roman"/>
          <w:szCs w:val="17"/>
        </w:rPr>
        <w:tab/>
        <w:t>The point of landing.</w:t>
      </w:r>
    </w:p>
    <w:p w:rsidR="00DD575E" w:rsidRPr="00DD575E" w:rsidRDefault="00DD575E" w:rsidP="00DD575E">
      <w:pPr>
        <w:ind w:left="284" w:hanging="284"/>
        <w:rPr>
          <w:rFonts w:eastAsia="Times New Roman"/>
          <w:szCs w:val="17"/>
        </w:rPr>
      </w:pPr>
      <w:r w:rsidRPr="00DD575E">
        <w:rPr>
          <w:rFonts w:eastAsia="Times New Roman"/>
          <w:szCs w:val="17"/>
        </w:rPr>
        <w:t>3.</w:t>
      </w:r>
      <w:r w:rsidRPr="00DD575E">
        <w:rPr>
          <w:rFonts w:eastAsia="Times New Roman"/>
          <w:szCs w:val="17"/>
        </w:rPr>
        <w:tab/>
        <w:t>At least one hour prior to arrival at the point of landing the concession operator must, if in possession of Snapper, make a prior report to PIRSA Fishwatch (1800 065 522) of the time the boat will arrive at the nominated point of landing.</w:t>
      </w:r>
    </w:p>
    <w:p w:rsidR="00DD575E" w:rsidRPr="00DD575E" w:rsidRDefault="00DD575E" w:rsidP="00DD575E">
      <w:pPr>
        <w:ind w:left="284" w:hanging="284"/>
        <w:rPr>
          <w:rFonts w:eastAsia="Times New Roman"/>
          <w:szCs w:val="17"/>
        </w:rPr>
      </w:pPr>
      <w:r w:rsidRPr="00DD575E">
        <w:rPr>
          <w:rFonts w:eastAsia="Times New Roman"/>
          <w:szCs w:val="17"/>
        </w:rPr>
        <w:t>4.</w:t>
      </w:r>
      <w:r w:rsidRPr="00DD575E">
        <w:rPr>
          <w:rFonts w:eastAsia="Times New Roman"/>
          <w:szCs w:val="17"/>
        </w:rPr>
        <w:tab/>
        <w:t>The exemption holder must not delete or alter track logs recorded on electronic devices (e.g. Chart plotter, Global Positioning System) on board the charter boat for a period of 7 days after creating the track log if the boat has transited the snapper closure area.</w:t>
      </w:r>
    </w:p>
    <w:p w:rsidR="00DD575E" w:rsidRPr="00DD575E" w:rsidRDefault="00DD575E" w:rsidP="00DD575E">
      <w:pPr>
        <w:ind w:left="284" w:hanging="284"/>
        <w:rPr>
          <w:rFonts w:eastAsia="Times New Roman"/>
          <w:szCs w:val="17"/>
        </w:rPr>
      </w:pPr>
      <w:r w:rsidRPr="00DD575E">
        <w:rPr>
          <w:rFonts w:eastAsia="Times New Roman"/>
          <w:szCs w:val="17"/>
        </w:rPr>
        <w:t>5.</w:t>
      </w:r>
      <w:r w:rsidRPr="00DD575E">
        <w:rPr>
          <w:rFonts w:eastAsia="Times New Roman"/>
          <w:szCs w:val="17"/>
        </w:rPr>
        <w:tab/>
        <w:t>While engaging in the exempted activity, the exemption holder must be in possession of a copy of this notice. This notice must be produced to a Fisheries Officer if requested.</w:t>
      </w:r>
    </w:p>
    <w:p w:rsidR="00DD575E" w:rsidRPr="00DD575E" w:rsidRDefault="00DD575E" w:rsidP="00DD575E">
      <w:pPr>
        <w:jc w:val="center"/>
        <w:rPr>
          <w:smallCaps/>
          <w:szCs w:val="17"/>
        </w:rPr>
      </w:pPr>
      <w:r w:rsidRPr="00DD575E">
        <w:rPr>
          <w:smallCaps/>
          <w:szCs w:val="17"/>
        </w:rPr>
        <w:t>Schedule 2</w:t>
      </w:r>
    </w:p>
    <w:p w:rsidR="00DD575E" w:rsidRPr="00DD575E" w:rsidRDefault="00DD575E" w:rsidP="00DD575E">
      <w:pPr>
        <w:rPr>
          <w:rFonts w:eastAsia="Times New Roman"/>
          <w:szCs w:val="17"/>
        </w:rPr>
      </w:pPr>
      <w:r w:rsidRPr="00DD575E">
        <w:rPr>
          <w:rFonts w:eastAsia="Times New Roman"/>
          <w:szCs w:val="17"/>
        </w:rPr>
        <w:t>From 0001 hours on 16 April 2021 until 2359 hours on 31 January 2022.</w:t>
      </w:r>
    </w:p>
    <w:p w:rsidR="00DD575E" w:rsidRPr="00DD575E" w:rsidRDefault="00DD575E" w:rsidP="00DD575E">
      <w:pPr>
        <w:rPr>
          <w:rFonts w:eastAsia="Times New Roman"/>
          <w:szCs w:val="17"/>
        </w:rPr>
      </w:pPr>
      <w:r w:rsidRPr="00DD575E">
        <w:rPr>
          <w:rFonts w:eastAsia="Times New Roman"/>
          <w:szCs w:val="17"/>
        </w:rPr>
        <w:t>For the purpose of this Notice:</w:t>
      </w:r>
    </w:p>
    <w:p w:rsidR="00FE5211" w:rsidRPr="00BB5027" w:rsidRDefault="00DD575E" w:rsidP="00BB5027">
      <w:pPr>
        <w:ind w:left="142"/>
        <w:rPr>
          <w:rFonts w:eastAsia="Times New Roman"/>
          <w:spacing w:val="-2"/>
          <w:szCs w:val="17"/>
        </w:rPr>
      </w:pPr>
      <w:r w:rsidRPr="00DD575E">
        <w:rPr>
          <w:rFonts w:eastAsia="Times New Roman"/>
          <w:b/>
          <w:spacing w:val="-2"/>
          <w:szCs w:val="17"/>
        </w:rPr>
        <w:t>Waters of the South East</w:t>
      </w:r>
      <w:r w:rsidRPr="00DD575E">
        <w:rPr>
          <w:rFonts w:eastAsia="Times New Roman"/>
          <w:spacing w:val="-2"/>
          <w:szCs w:val="17"/>
        </w:rPr>
        <w:t>—The waters of the South East comprising the waters of the State of South Australia contained within and bounded by a line commencing at a location on mean high water springs closest to 35°38</w:t>
      </w:r>
      <w:r w:rsidRPr="00DD575E">
        <w:rPr>
          <w:rFonts w:eastAsia="Times New Roman"/>
          <w:spacing w:val="-2"/>
          <w:szCs w:val="17"/>
        </w:rPr>
        <w:sym w:font="Symbol" w:char="F0A2"/>
      </w:r>
      <w:r w:rsidRPr="00DD575E">
        <w:rPr>
          <w:rFonts w:eastAsia="Times New Roman"/>
          <w:spacing w:val="-2"/>
          <w:szCs w:val="17"/>
        </w:rPr>
        <w:t>33.77</w:t>
      </w:r>
      <w:r w:rsidRPr="00DD575E">
        <w:rPr>
          <w:rFonts w:eastAsia="Times New Roman"/>
          <w:spacing w:val="-2"/>
          <w:szCs w:val="17"/>
        </w:rPr>
        <w:sym w:font="Symbol" w:char="F0B2"/>
      </w:r>
      <w:r w:rsidRPr="00DD575E">
        <w:rPr>
          <w:rFonts w:eastAsia="Times New Roman"/>
          <w:spacing w:val="-2"/>
          <w:szCs w:val="17"/>
        </w:rPr>
        <w:t xml:space="preserve"> (35°38.563</w:t>
      </w:r>
      <w:r w:rsidRPr="00DD575E">
        <w:rPr>
          <w:rFonts w:eastAsia="Times New Roman"/>
          <w:spacing w:val="-2"/>
          <w:szCs w:val="17"/>
        </w:rPr>
        <w:sym w:font="Symbol" w:char="F0A2"/>
      </w:r>
      <w:r w:rsidRPr="00DD575E">
        <w:rPr>
          <w:rFonts w:eastAsia="Times New Roman"/>
          <w:spacing w:val="-2"/>
          <w:szCs w:val="17"/>
        </w:rPr>
        <w:t>) South, 138°31</w:t>
      </w:r>
      <w:r w:rsidRPr="00DD575E">
        <w:rPr>
          <w:rFonts w:eastAsia="Times New Roman"/>
          <w:spacing w:val="-2"/>
          <w:szCs w:val="17"/>
        </w:rPr>
        <w:sym w:font="Symbol" w:char="F0A2"/>
      </w:r>
      <w:r w:rsidRPr="00DD575E">
        <w:rPr>
          <w:rFonts w:eastAsia="Times New Roman"/>
          <w:spacing w:val="-2"/>
          <w:szCs w:val="17"/>
        </w:rPr>
        <w:t>20.80</w:t>
      </w:r>
      <w:r w:rsidRPr="00DD575E">
        <w:rPr>
          <w:rFonts w:eastAsia="Times New Roman"/>
          <w:spacing w:val="-2"/>
          <w:szCs w:val="17"/>
        </w:rPr>
        <w:sym w:font="Symbol" w:char="F0B2"/>
      </w:r>
      <w:r w:rsidRPr="00DD575E">
        <w:rPr>
          <w:rFonts w:eastAsia="Times New Roman"/>
          <w:spacing w:val="-2"/>
          <w:szCs w:val="17"/>
        </w:rPr>
        <w:t xml:space="preserve"> (138°31.347</w:t>
      </w:r>
      <w:r w:rsidRPr="00DD575E">
        <w:rPr>
          <w:rFonts w:eastAsia="Times New Roman"/>
          <w:spacing w:val="-2"/>
          <w:szCs w:val="17"/>
        </w:rPr>
        <w:sym w:font="Symbol" w:char="F0A2"/>
      </w:r>
      <w:r w:rsidRPr="00DD575E">
        <w:rPr>
          <w:rFonts w:eastAsia="Times New Roman"/>
          <w:spacing w:val="-2"/>
          <w:szCs w:val="17"/>
        </w:rPr>
        <w:t>) East (Newland Head), then southwesterly to a location on the mean high water springs closest to 35°50</w:t>
      </w:r>
      <w:r w:rsidRPr="00DD575E">
        <w:rPr>
          <w:rFonts w:eastAsia="Times New Roman"/>
          <w:spacing w:val="-2"/>
          <w:szCs w:val="17"/>
        </w:rPr>
        <w:sym w:font="Symbol" w:char="F0A2"/>
      </w:r>
      <w:r w:rsidRPr="00DD575E">
        <w:rPr>
          <w:rFonts w:eastAsia="Times New Roman"/>
          <w:spacing w:val="-2"/>
          <w:szCs w:val="17"/>
        </w:rPr>
        <w:t>29.14</w:t>
      </w:r>
      <w:r w:rsidRPr="00DD575E">
        <w:rPr>
          <w:rFonts w:eastAsia="Times New Roman"/>
          <w:spacing w:val="-2"/>
          <w:szCs w:val="17"/>
        </w:rPr>
        <w:sym w:font="Symbol" w:char="F0B2"/>
      </w:r>
      <w:r w:rsidRPr="00DD575E">
        <w:rPr>
          <w:rFonts w:eastAsia="Times New Roman"/>
          <w:spacing w:val="-2"/>
          <w:szCs w:val="17"/>
        </w:rPr>
        <w:t xml:space="preserve"> (35°50.486</w:t>
      </w:r>
      <w:r w:rsidRPr="00DD575E">
        <w:rPr>
          <w:rFonts w:eastAsia="Times New Roman"/>
          <w:spacing w:val="-2"/>
          <w:szCs w:val="17"/>
        </w:rPr>
        <w:sym w:font="Symbol" w:char="F0A2"/>
      </w:r>
      <w:r w:rsidRPr="00DD575E">
        <w:rPr>
          <w:rFonts w:eastAsia="Times New Roman"/>
          <w:spacing w:val="-2"/>
          <w:szCs w:val="17"/>
        </w:rPr>
        <w:t>) South, 138°08</w:t>
      </w:r>
      <w:r w:rsidRPr="00DD575E">
        <w:rPr>
          <w:rFonts w:eastAsia="Times New Roman"/>
          <w:spacing w:val="-2"/>
          <w:szCs w:val="17"/>
        </w:rPr>
        <w:sym w:font="Symbol" w:char="F0A2"/>
      </w:r>
      <w:r w:rsidRPr="00DD575E">
        <w:rPr>
          <w:rFonts w:eastAsia="Times New Roman"/>
          <w:spacing w:val="-2"/>
          <w:szCs w:val="17"/>
        </w:rPr>
        <w:t>05.67</w:t>
      </w:r>
      <w:r w:rsidRPr="00DD575E">
        <w:rPr>
          <w:rFonts w:eastAsia="Times New Roman"/>
          <w:spacing w:val="-2"/>
          <w:szCs w:val="17"/>
        </w:rPr>
        <w:sym w:font="Symbol" w:char="F0B2"/>
      </w:r>
      <w:r w:rsidRPr="00DD575E">
        <w:rPr>
          <w:rFonts w:eastAsia="Times New Roman"/>
          <w:spacing w:val="-2"/>
          <w:szCs w:val="17"/>
        </w:rPr>
        <w:t xml:space="preserve"> (138°08.095</w:t>
      </w:r>
      <w:r w:rsidRPr="00DD575E">
        <w:rPr>
          <w:rFonts w:eastAsia="Times New Roman"/>
          <w:spacing w:val="-2"/>
          <w:szCs w:val="17"/>
        </w:rPr>
        <w:sym w:font="Symbol" w:char="F0A2"/>
      </w:r>
      <w:r w:rsidRPr="00DD575E">
        <w:rPr>
          <w:rFonts w:eastAsia="Times New Roman"/>
          <w:spacing w:val="-2"/>
          <w:szCs w:val="17"/>
        </w:rPr>
        <w:t>) East (Cape Willoughby), then beginning westerly along the line of mean high water springs to the location closest to 35°53</w:t>
      </w:r>
      <w:r w:rsidRPr="00DD575E">
        <w:rPr>
          <w:rFonts w:eastAsia="Times New Roman"/>
          <w:spacing w:val="-2"/>
          <w:szCs w:val="17"/>
        </w:rPr>
        <w:sym w:font="Symbol" w:char="F0A2"/>
      </w:r>
      <w:r w:rsidRPr="00DD575E">
        <w:rPr>
          <w:rFonts w:eastAsia="Times New Roman"/>
          <w:spacing w:val="-2"/>
          <w:szCs w:val="17"/>
        </w:rPr>
        <w:t>11.26</w:t>
      </w:r>
      <w:r w:rsidRPr="00DD575E">
        <w:rPr>
          <w:rFonts w:eastAsia="Times New Roman"/>
          <w:spacing w:val="-2"/>
          <w:szCs w:val="17"/>
        </w:rPr>
        <w:sym w:font="Symbol" w:char="F0B2"/>
      </w:r>
      <w:r w:rsidRPr="00DD575E">
        <w:rPr>
          <w:rFonts w:eastAsia="Times New Roman"/>
          <w:spacing w:val="-2"/>
          <w:szCs w:val="17"/>
        </w:rPr>
        <w:t xml:space="preserve"> (35°53.188') South, 136°32</w:t>
      </w:r>
      <w:r w:rsidRPr="00DD575E">
        <w:rPr>
          <w:rFonts w:eastAsia="Times New Roman"/>
          <w:spacing w:val="-2"/>
          <w:szCs w:val="17"/>
        </w:rPr>
        <w:sym w:font="Symbol" w:char="F0A2"/>
      </w:r>
      <w:r w:rsidRPr="00DD575E">
        <w:rPr>
          <w:rFonts w:eastAsia="Times New Roman"/>
          <w:spacing w:val="-2"/>
          <w:szCs w:val="17"/>
        </w:rPr>
        <w:t>3.92</w:t>
      </w:r>
      <w:r w:rsidRPr="00DD575E">
        <w:rPr>
          <w:rFonts w:eastAsia="Times New Roman"/>
          <w:spacing w:val="-2"/>
          <w:szCs w:val="17"/>
        </w:rPr>
        <w:sym w:font="Symbol" w:char="F0B2"/>
      </w:r>
      <w:r w:rsidRPr="00DD575E">
        <w:rPr>
          <w:rFonts w:eastAsia="Times New Roman"/>
          <w:spacing w:val="-2"/>
          <w:szCs w:val="17"/>
        </w:rPr>
        <w:t xml:space="preserve"> (136°32.065</w:t>
      </w:r>
      <w:r w:rsidRPr="00DD575E">
        <w:rPr>
          <w:rFonts w:eastAsia="Times New Roman"/>
          <w:spacing w:val="-2"/>
          <w:szCs w:val="17"/>
        </w:rPr>
        <w:sym w:font="Symbol" w:char="F0A2"/>
      </w:r>
      <w:r w:rsidRPr="00DD575E">
        <w:rPr>
          <w:rFonts w:eastAsia="Times New Roman"/>
          <w:spacing w:val="-2"/>
          <w:szCs w:val="17"/>
        </w:rPr>
        <w:t>) East (Vennachar Point), then continuing south along the meridian of longitude 136°32</w:t>
      </w:r>
      <w:r w:rsidRPr="00DD575E">
        <w:rPr>
          <w:rFonts w:eastAsia="Times New Roman"/>
          <w:spacing w:val="-2"/>
          <w:szCs w:val="17"/>
        </w:rPr>
        <w:sym w:font="Symbol" w:char="F0A2"/>
      </w:r>
      <w:r w:rsidRPr="00DD575E">
        <w:rPr>
          <w:rFonts w:eastAsia="Times New Roman"/>
          <w:spacing w:val="-2"/>
          <w:szCs w:val="17"/>
        </w:rPr>
        <w:t>36</w:t>
      </w:r>
      <w:r w:rsidRPr="00DD575E">
        <w:rPr>
          <w:rFonts w:eastAsia="Times New Roman"/>
          <w:spacing w:val="-2"/>
          <w:szCs w:val="17"/>
        </w:rPr>
        <w:sym w:font="Symbol" w:char="F0B2"/>
      </w:r>
      <w:r w:rsidRPr="00DD575E">
        <w:rPr>
          <w:rFonts w:eastAsia="Times New Roman"/>
          <w:spacing w:val="-2"/>
          <w:szCs w:val="17"/>
        </w:rPr>
        <w:t xml:space="preserve"> (136°32.600</w:t>
      </w:r>
      <w:r w:rsidRPr="00DD575E">
        <w:rPr>
          <w:rFonts w:eastAsia="Times New Roman"/>
          <w:spacing w:val="-2"/>
          <w:szCs w:val="17"/>
        </w:rPr>
        <w:sym w:font="Symbol" w:char="F0A2"/>
      </w:r>
      <w:r w:rsidRPr="00DD575E">
        <w:rPr>
          <w:rFonts w:eastAsia="Times New Roman"/>
          <w:spacing w:val="-2"/>
          <w:szCs w:val="17"/>
        </w:rPr>
        <w:t>) East to the southern limit of the waters of the State, then northeasterly along said boundary to its intersection with the eastern border of the State of South Australia near 38°03</w:t>
      </w:r>
      <w:r w:rsidRPr="00DD575E">
        <w:rPr>
          <w:rFonts w:eastAsia="Times New Roman"/>
          <w:spacing w:val="-2"/>
          <w:szCs w:val="17"/>
        </w:rPr>
        <w:sym w:font="Symbol" w:char="F0A2"/>
      </w:r>
      <w:r w:rsidRPr="00DD575E">
        <w:rPr>
          <w:rFonts w:eastAsia="Times New Roman"/>
          <w:spacing w:val="-2"/>
          <w:szCs w:val="17"/>
        </w:rPr>
        <w:t>23.36</w:t>
      </w:r>
      <w:r w:rsidRPr="00DD575E">
        <w:rPr>
          <w:rFonts w:eastAsia="Times New Roman"/>
          <w:spacing w:val="-2"/>
          <w:szCs w:val="17"/>
        </w:rPr>
        <w:sym w:font="Symbol" w:char="F0B2"/>
      </w:r>
      <w:r w:rsidRPr="00DD575E">
        <w:rPr>
          <w:rFonts w:eastAsia="Times New Roman"/>
          <w:spacing w:val="-2"/>
          <w:szCs w:val="17"/>
        </w:rPr>
        <w:t xml:space="preserve"> (38°03.389</w:t>
      </w:r>
      <w:r w:rsidRPr="00DD575E">
        <w:rPr>
          <w:rFonts w:eastAsia="Times New Roman"/>
          <w:spacing w:val="-2"/>
          <w:szCs w:val="17"/>
        </w:rPr>
        <w:sym w:font="Symbol" w:char="F0A2"/>
      </w:r>
      <w:r w:rsidRPr="00DD575E">
        <w:rPr>
          <w:rFonts w:eastAsia="Times New Roman"/>
          <w:spacing w:val="-2"/>
          <w:szCs w:val="17"/>
        </w:rPr>
        <w:t>) South, 140°57</w:t>
      </w:r>
      <w:r w:rsidRPr="00DD575E">
        <w:rPr>
          <w:rFonts w:eastAsia="Times New Roman"/>
          <w:spacing w:val="-2"/>
          <w:szCs w:val="17"/>
        </w:rPr>
        <w:sym w:font="Symbol" w:char="F0A2"/>
      </w:r>
      <w:r w:rsidRPr="00DD575E">
        <w:rPr>
          <w:rFonts w:eastAsia="Times New Roman"/>
          <w:spacing w:val="-2"/>
          <w:szCs w:val="17"/>
        </w:rPr>
        <w:t>56.86</w:t>
      </w:r>
      <w:r w:rsidRPr="00DD575E">
        <w:rPr>
          <w:rFonts w:eastAsia="Times New Roman"/>
          <w:spacing w:val="-2"/>
          <w:szCs w:val="17"/>
        </w:rPr>
        <w:sym w:font="Symbol" w:char="F0B2"/>
      </w:r>
      <w:r w:rsidRPr="00DD575E">
        <w:rPr>
          <w:rFonts w:eastAsia="Times New Roman"/>
          <w:spacing w:val="-2"/>
          <w:szCs w:val="17"/>
        </w:rPr>
        <w:t xml:space="preserve"> (140°57.948</w:t>
      </w:r>
      <w:r w:rsidRPr="00DD575E">
        <w:rPr>
          <w:rFonts w:eastAsia="Times New Roman"/>
          <w:spacing w:val="-2"/>
          <w:szCs w:val="17"/>
        </w:rPr>
        <w:sym w:font="Symbol" w:char="F0A2"/>
      </w:r>
      <w:r w:rsidRPr="00DD575E">
        <w:rPr>
          <w:rFonts w:eastAsia="Times New Roman"/>
          <w:spacing w:val="-2"/>
          <w:szCs w:val="17"/>
        </w:rPr>
        <w:t>) East, then beginning along the eastern border of the State of South Australia to a location on the mean high water springs closest to 38°03</w:t>
      </w:r>
      <w:r w:rsidRPr="00DD575E">
        <w:rPr>
          <w:rFonts w:eastAsia="Times New Roman"/>
          <w:spacing w:val="-2"/>
          <w:szCs w:val="17"/>
        </w:rPr>
        <w:sym w:font="Symbol" w:char="F0A2"/>
      </w:r>
      <w:r w:rsidRPr="00DD575E">
        <w:rPr>
          <w:rFonts w:eastAsia="Times New Roman"/>
          <w:spacing w:val="-2"/>
          <w:szCs w:val="17"/>
        </w:rPr>
        <w:t>23.36</w:t>
      </w:r>
      <w:r w:rsidRPr="00DD575E">
        <w:rPr>
          <w:rFonts w:eastAsia="Times New Roman"/>
          <w:spacing w:val="-2"/>
          <w:szCs w:val="17"/>
        </w:rPr>
        <w:sym w:font="Symbol" w:char="F0B2"/>
      </w:r>
      <w:r w:rsidRPr="00DD575E">
        <w:rPr>
          <w:rFonts w:eastAsia="Times New Roman"/>
          <w:spacing w:val="-2"/>
          <w:szCs w:val="17"/>
        </w:rPr>
        <w:t xml:space="preserve"> (38°03.389</w:t>
      </w:r>
      <w:r w:rsidRPr="00DD575E">
        <w:rPr>
          <w:rFonts w:eastAsia="Times New Roman"/>
          <w:spacing w:val="-2"/>
          <w:szCs w:val="17"/>
        </w:rPr>
        <w:sym w:font="Symbol" w:char="F0A2"/>
      </w:r>
      <w:r w:rsidRPr="00DD575E">
        <w:rPr>
          <w:rFonts w:eastAsia="Times New Roman"/>
          <w:spacing w:val="-2"/>
          <w:szCs w:val="17"/>
        </w:rPr>
        <w:t>) South, 140°57</w:t>
      </w:r>
      <w:r w:rsidRPr="00DD575E">
        <w:rPr>
          <w:rFonts w:eastAsia="Times New Roman"/>
          <w:spacing w:val="-2"/>
          <w:szCs w:val="17"/>
        </w:rPr>
        <w:sym w:font="Symbol" w:char="F0A2"/>
      </w:r>
      <w:r w:rsidRPr="00DD575E">
        <w:rPr>
          <w:rFonts w:eastAsia="Times New Roman"/>
          <w:spacing w:val="-2"/>
          <w:szCs w:val="17"/>
        </w:rPr>
        <w:t>56.86</w:t>
      </w:r>
      <w:r w:rsidRPr="00DD575E">
        <w:rPr>
          <w:rFonts w:eastAsia="Times New Roman"/>
          <w:spacing w:val="-2"/>
          <w:szCs w:val="17"/>
        </w:rPr>
        <w:sym w:font="Symbol" w:char="F0B2"/>
      </w:r>
      <w:r w:rsidRPr="00DD575E">
        <w:rPr>
          <w:rFonts w:eastAsia="Times New Roman"/>
          <w:spacing w:val="-2"/>
          <w:szCs w:val="17"/>
        </w:rPr>
        <w:t xml:space="preserve"> (140°57.948</w:t>
      </w:r>
      <w:r w:rsidRPr="00DD575E">
        <w:rPr>
          <w:rFonts w:eastAsia="Times New Roman"/>
          <w:spacing w:val="-2"/>
          <w:szCs w:val="17"/>
        </w:rPr>
        <w:sym w:font="Symbol" w:char="F0A2"/>
      </w:r>
      <w:r w:rsidRPr="00DD575E">
        <w:rPr>
          <w:rFonts w:eastAsia="Times New Roman"/>
          <w:spacing w:val="-2"/>
          <w:szCs w:val="17"/>
        </w:rPr>
        <w:t>) East, then beginning westerly following the line of mean high water springs to the point of commencement.</w:t>
      </w:r>
      <w:r w:rsidR="00FE5211">
        <w:rPr>
          <w:rFonts w:eastAsia="Times New Roman"/>
          <w:b/>
          <w:szCs w:val="17"/>
        </w:rPr>
        <w:br w:type="page"/>
      </w:r>
    </w:p>
    <w:p w:rsidR="00DD575E" w:rsidRPr="00DD575E" w:rsidRDefault="00DD575E" w:rsidP="00DD575E">
      <w:pPr>
        <w:ind w:left="142"/>
        <w:rPr>
          <w:rFonts w:eastAsia="Times New Roman"/>
          <w:szCs w:val="17"/>
        </w:rPr>
      </w:pPr>
      <w:r w:rsidRPr="00DD575E">
        <w:rPr>
          <w:rFonts w:eastAsia="Times New Roman"/>
          <w:b/>
          <w:szCs w:val="17"/>
        </w:rPr>
        <w:lastRenderedPageBreak/>
        <w:t>Waters of West Coast, Spencer Gulf, and Gulf St Vincent</w:t>
      </w:r>
      <w:r w:rsidRPr="00DD575E">
        <w:rPr>
          <w:rFonts w:eastAsia="Times New Roman"/>
          <w:szCs w:val="17"/>
        </w:rPr>
        <w:t>—Waters of waters of the West Coast, Spencer Gulf and Gulf of St Vincent which are contained within and bounded by a line commencing at a location on mean high water springs closest to 31°41</w:t>
      </w:r>
      <w:r w:rsidRPr="00DD575E">
        <w:rPr>
          <w:rFonts w:eastAsia="Times New Roman"/>
          <w:szCs w:val="17"/>
        </w:rPr>
        <w:sym w:font="Symbol" w:char="F0A2"/>
      </w:r>
      <w:r w:rsidRPr="00DD575E">
        <w:rPr>
          <w:rFonts w:eastAsia="Times New Roman"/>
          <w:szCs w:val="17"/>
        </w:rPr>
        <w:t>12.94</w:t>
      </w:r>
      <w:r w:rsidRPr="00DD575E">
        <w:rPr>
          <w:rFonts w:eastAsia="Times New Roman"/>
          <w:szCs w:val="17"/>
        </w:rPr>
        <w:sym w:font="Symbol" w:char="F0B2"/>
      </w:r>
      <w:r w:rsidRPr="00DD575E">
        <w:rPr>
          <w:rFonts w:eastAsia="Times New Roman"/>
          <w:szCs w:val="17"/>
        </w:rPr>
        <w:t xml:space="preserve"> (31°41.216</w:t>
      </w:r>
      <w:r w:rsidRPr="00DD575E">
        <w:rPr>
          <w:rFonts w:eastAsia="Times New Roman"/>
          <w:szCs w:val="17"/>
        </w:rPr>
        <w:sym w:font="Symbol" w:char="F0A2"/>
      </w:r>
      <w:r w:rsidRPr="00DD575E">
        <w:rPr>
          <w:rFonts w:eastAsia="Times New Roman"/>
          <w:szCs w:val="17"/>
        </w:rPr>
        <w:t>) South, 129°00</w:t>
      </w:r>
      <w:r w:rsidRPr="00DD575E">
        <w:rPr>
          <w:rFonts w:eastAsia="Times New Roman"/>
          <w:szCs w:val="17"/>
        </w:rPr>
        <w:sym w:font="Symbol" w:char="F0A2"/>
      </w:r>
      <w:r w:rsidRPr="00DD575E">
        <w:rPr>
          <w:rFonts w:eastAsia="Times New Roman"/>
          <w:szCs w:val="17"/>
        </w:rPr>
        <w:t>04.90</w:t>
      </w:r>
      <w:r w:rsidRPr="00DD575E">
        <w:rPr>
          <w:rFonts w:eastAsia="Times New Roman"/>
          <w:szCs w:val="17"/>
        </w:rPr>
        <w:sym w:font="Symbol" w:char="F0B2"/>
      </w:r>
      <w:r w:rsidRPr="00DD575E">
        <w:rPr>
          <w:rFonts w:eastAsia="Times New Roman"/>
          <w:szCs w:val="17"/>
        </w:rPr>
        <w:t xml:space="preserve"> (129°00.082</w:t>
      </w:r>
      <w:r w:rsidRPr="00DD575E">
        <w:rPr>
          <w:rFonts w:eastAsia="Times New Roman"/>
          <w:szCs w:val="17"/>
        </w:rPr>
        <w:sym w:font="Symbol" w:char="F0A2"/>
      </w:r>
      <w:r w:rsidRPr="00DD575E">
        <w:rPr>
          <w:rFonts w:eastAsia="Times New Roman"/>
          <w:szCs w:val="17"/>
        </w:rPr>
        <w:t>) East, then beginning north-easterly following the line of mean high water springs to a location closest to 35°38</w:t>
      </w:r>
      <w:r w:rsidRPr="00DD575E">
        <w:rPr>
          <w:rFonts w:eastAsia="Times New Roman"/>
          <w:szCs w:val="17"/>
        </w:rPr>
        <w:sym w:font="Symbol" w:char="F0A2"/>
      </w:r>
      <w:r w:rsidRPr="00DD575E">
        <w:rPr>
          <w:rFonts w:eastAsia="Times New Roman"/>
          <w:szCs w:val="17"/>
        </w:rPr>
        <w:t>33.82</w:t>
      </w:r>
      <w:r w:rsidRPr="00DD575E">
        <w:rPr>
          <w:rFonts w:eastAsia="Times New Roman"/>
          <w:szCs w:val="17"/>
        </w:rPr>
        <w:sym w:font="Symbol" w:char="F0B2"/>
      </w:r>
      <w:r w:rsidRPr="00DD575E">
        <w:rPr>
          <w:rFonts w:eastAsia="Times New Roman"/>
          <w:szCs w:val="17"/>
        </w:rPr>
        <w:t xml:space="preserve"> (35°38.564</w:t>
      </w:r>
      <w:r w:rsidRPr="00DD575E">
        <w:rPr>
          <w:rFonts w:eastAsia="Times New Roman"/>
          <w:szCs w:val="17"/>
        </w:rPr>
        <w:sym w:font="Symbol" w:char="F0A2"/>
      </w:r>
      <w:r w:rsidRPr="00DD575E">
        <w:rPr>
          <w:rFonts w:eastAsia="Times New Roman"/>
          <w:szCs w:val="17"/>
        </w:rPr>
        <w:t>) South, 138°31</w:t>
      </w:r>
      <w:r w:rsidRPr="00DD575E">
        <w:rPr>
          <w:rFonts w:eastAsia="Times New Roman"/>
          <w:szCs w:val="17"/>
        </w:rPr>
        <w:sym w:font="Symbol" w:char="F0A2"/>
      </w:r>
      <w:r w:rsidRPr="00DD575E">
        <w:rPr>
          <w:rFonts w:eastAsia="Times New Roman"/>
          <w:szCs w:val="17"/>
        </w:rPr>
        <w:t>20.77</w:t>
      </w:r>
      <w:r w:rsidRPr="00DD575E">
        <w:rPr>
          <w:rFonts w:eastAsia="Times New Roman"/>
          <w:szCs w:val="17"/>
        </w:rPr>
        <w:sym w:font="Symbol" w:char="F0B2"/>
      </w:r>
      <w:r w:rsidRPr="00DD575E">
        <w:rPr>
          <w:rFonts w:eastAsia="Times New Roman"/>
          <w:szCs w:val="17"/>
        </w:rPr>
        <w:t xml:space="preserve"> (138°31.346</w:t>
      </w:r>
      <w:r w:rsidRPr="00DD575E">
        <w:rPr>
          <w:rFonts w:eastAsia="Times New Roman"/>
          <w:szCs w:val="17"/>
        </w:rPr>
        <w:sym w:font="Symbol" w:char="F0A2"/>
      </w:r>
      <w:r w:rsidRPr="00DD575E">
        <w:rPr>
          <w:rFonts w:eastAsia="Times New Roman"/>
          <w:szCs w:val="17"/>
        </w:rPr>
        <w:t>) East (Newland Head), then south westerly to a location on mean high water springs closest to 35°50</w:t>
      </w:r>
      <w:r w:rsidRPr="00DD575E">
        <w:rPr>
          <w:rFonts w:eastAsia="Times New Roman"/>
          <w:szCs w:val="17"/>
        </w:rPr>
        <w:sym w:font="Symbol" w:char="F0A2"/>
      </w:r>
      <w:r w:rsidRPr="00DD575E">
        <w:rPr>
          <w:rFonts w:eastAsia="Times New Roman"/>
          <w:szCs w:val="17"/>
        </w:rPr>
        <w:t>29.19</w:t>
      </w:r>
      <w:r w:rsidRPr="00DD575E">
        <w:rPr>
          <w:rFonts w:eastAsia="Times New Roman"/>
          <w:szCs w:val="17"/>
        </w:rPr>
        <w:sym w:font="Symbol" w:char="F0B2"/>
      </w:r>
      <w:r w:rsidRPr="00DD575E">
        <w:rPr>
          <w:rFonts w:eastAsia="Times New Roman"/>
          <w:szCs w:val="17"/>
        </w:rPr>
        <w:t xml:space="preserve"> (35°50.486</w:t>
      </w:r>
      <w:r w:rsidRPr="00DD575E">
        <w:rPr>
          <w:rFonts w:eastAsia="Times New Roman"/>
          <w:szCs w:val="17"/>
        </w:rPr>
        <w:sym w:font="Symbol" w:char="F0A2"/>
      </w:r>
      <w:r w:rsidRPr="00DD575E">
        <w:rPr>
          <w:rFonts w:eastAsia="Times New Roman"/>
          <w:szCs w:val="17"/>
        </w:rPr>
        <w:t>) South, 138°08</w:t>
      </w:r>
      <w:r w:rsidRPr="00DD575E">
        <w:rPr>
          <w:rFonts w:eastAsia="Times New Roman"/>
          <w:szCs w:val="17"/>
        </w:rPr>
        <w:sym w:font="Symbol" w:char="F0A2"/>
      </w:r>
      <w:r w:rsidRPr="00DD575E">
        <w:rPr>
          <w:rFonts w:eastAsia="Times New Roman"/>
          <w:szCs w:val="17"/>
        </w:rPr>
        <w:t>05.64</w:t>
      </w:r>
      <w:r w:rsidRPr="00DD575E">
        <w:rPr>
          <w:rFonts w:eastAsia="Times New Roman"/>
          <w:szCs w:val="17"/>
        </w:rPr>
        <w:sym w:font="Symbol" w:char="F0B2"/>
      </w:r>
      <w:r w:rsidRPr="00DD575E">
        <w:rPr>
          <w:rFonts w:eastAsia="Times New Roman"/>
          <w:szCs w:val="17"/>
        </w:rPr>
        <w:t xml:space="preserve"> (138°08.094</w:t>
      </w:r>
      <w:r w:rsidRPr="00DD575E">
        <w:rPr>
          <w:rFonts w:eastAsia="Times New Roman"/>
          <w:szCs w:val="17"/>
        </w:rPr>
        <w:sym w:font="Symbol" w:char="F0A2"/>
      </w:r>
      <w:r w:rsidRPr="00DD575E">
        <w:rPr>
          <w:rFonts w:eastAsia="Times New Roman"/>
          <w:szCs w:val="17"/>
        </w:rPr>
        <w:t>) East (Cape Willoughby), then beginning north-westerly following the line of mean high water springs to the location closest to 35°53’11.307” (35°53.188') South, 136°32'3.880" (136°32.065') East (Vennachar Point), then continuing south along the meridian of longitude 136°32</w:t>
      </w:r>
      <w:r w:rsidRPr="00DD575E">
        <w:rPr>
          <w:rFonts w:eastAsia="Times New Roman"/>
          <w:szCs w:val="17"/>
        </w:rPr>
        <w:sym w:font="Symbol" w:char="F0A2"/>
      </w:r>
      <w:r w:rsidRPr="00DD575E">
        <w:rPr>
          <w:rFonts w:eastAsia="Times New Roman"/>
          <w:szCs w:val="17"/>
        </w:rPr>
        <w:t>36</w:t>
      </w:r>
      <w:r w:rsidRPr="00DD575E">
        <w:rPr>
          <w:rFonts w:eastAsia="Times New Roman"/>
          <w:szCs w:val="17"/>
        </w:rPr>
        <w:sym w:font="Symbol" w:char="F0B2"/>
      </w:r>
      <w:r w:rsidRPr="00DD575E">
        <w:rPr>
          <w:rFonts w:eastAsia="Times New Roman"/>
          <w:szCs w:val="17"/>
        </w:rPr>
        <w:t xml:space="preserve"> (136°32.600</w:t>
      </w:r>
      <w:r w:rsidRPr="00DD575E">
        <w:rPr>
          <w:rFonts w:eastAsia="Times New Roman"/>
          <w:szCs w:val="17"/>
        </w:rPr>
        <w:sym w:font="Symbol" w:char="F0A2"/>
      </w:r>
      <w:r w:rsidRPr="00DD575E">
        <w:rPr>
          <w:rFonts w:eastAsia="Times New Roman"/>
          <w:szCs w:val="17"/>
        </w:rPr>
        <w:t>) East to the southern limit of the waters of the State, then beginning south-westerly along the said boundary to the intersection with the western border of the State of South Australia 31°41</w:t>
      </w:r>
      <w:r w:rsidRPr="00DD575E">
        <w:rPr>
          <w:rFonts w:eastAsia="Times New Roman"/>
          <w:szCs w:val="17"/>
        </w:rPr>
        <w:sym w:font="Symbol" w:char="F0A2"/>
      </w:r>
      <w:r w:rsidRPr="00DD575E">
        <w:rPr>
          <w:rFonts w:eastAsia="Times New Roman"/>
          <w:szCs w:val="17"/>
        </w:rPr>
        <w:t>15.24</w:t>
      </w:r>
      <w:r w:rsidRPr="00DD575E">
        <w:rPr>
          <w:rFonts w:eastAsia="Times New Roman"/>
          <w:szCs w:val="17"/>
        </w:rPr>
        <w:sym w:font="Symbol" w:char="F0B2"/>
      </w:r>
      <w:r w:rsidRPr="00DD575E">
        <w:rPr>
          <w:rFonts w:eastAsia="Times New Roman"/>
          <w:szCs w:val="17"/>
        </w:rPr>
        <w:t xml:space="preserve"> (31°41.254</w:t>
      </w:r>
      <w:r w:rsidRPr="00DD575E">
        <w:rPr>
          <w:rFonts w:eastAsia="Times New Roman"/>
          <w:szCs w:val="17"/>
        </w:rPr>
        <w:sym w:font="Symbol" w:char="F0A2"/>
      </w:r>
      <w:r w:rsidRPr="00DD575E">
        <w:rPr>
          <w:rFonts w:eastAsia="Times New Roman"/>
          <w:szCs w:val="17"/>
        </w:rPr>
        <w:t>) South, 129°00</w:t>
      </w:r>
      <w:r w:rsidRPr="00DD575E">
        <w:rPr>
          <w:rFonts w:eastAsia="Times New Roman"/>
          <w:szCs w:val="17"/>
        </w:rPr>
        <w:sym w:font="Symbol" w:char="F0A2"/>
      </w:r>
      <w:r w:rsidRPr="00DD575E">
        <w:rPr>
          <w:rFonts w:eastAsia="Times New Roman"/>
          <w:szCs w:val="17"/>
        </w:rPr>
        <w:t>04.54</w:t>
      </w:r>
      <w:r w:rsidRPr="00DD575E">
        <w:rPr>
          <w:rFonts w:eastAsia="Times New Roman"/>
          <w:szCs w:val="17"/>
        </w:rPr>
        <w:sym w:font="Symbol" w:char="F0B2"/>
      </w:r>
      <w:r w:rsidRPr="00DD575E">
        <w:rPr>
          <w:rFonts w:eastAsia="Times New Roman"/>
          <w:szCs w:val="17"/>
        </w:rPr>
        <w:t xml:space="preserve"> (129°00.076</w:t>
      </w:r>
      <w:r w:rsidRPr="00DD575E">
        <w:rPr>
          <w:rFonts w:eastAsia="Times New Roman"/>
          <w:szCs w:val="17"/>
        </w:rPr>
        <w:sym w:font="Symbol" w:char="F0A2"/>
      </w:r>
      <w:r w:rsidRPr="00DD575E">
        <w:rPr>
          <w:rFonts w:eastAsia="Times New Roman"/>
          <w:szCs w:val="17"/>
        </w:rPr>
        <w:t>) East, then north-easterly along the said border to the point of commencement.</w:t>
      </w:r>
    </w:p>
    <w:p w:rsidR="00DD575E" w:rsidRPr="00DD575E" w:rsidRDefault="00DD575E" w:rsidP="00DD575E">
      <w:pPr>
        <w:rPr>
          <w:rFonts w:eastAsia="Times New Roman"/>
          <w:szCs w:val="17"/>
        </w:rPr>
      </w:pPr>
      <w:r w:rsidRPr="00DD575E">
        <w:rPr>
          <w:rFonts w:eastAsia="Times New Roman"/>
          <w:szCs w:val="17"/>
        </w:rPr>
        <w:t xml:space="preserve">For the purpose of this notice all lines are geodesics based on the Geocentric Datum of Australia 2020 (GDA2020). GDA2020 has the same meaning as in the </w:t>
      </w:r>
      <w:r w:rsidRPr="00DD575E">
        <w:rPr>
          <w:rFonts w:eastAsia="Times New Roman"/>
          <w:i/>
          <w:szCs w:val="17"/>
        </w:rPr>
        <w:t>National Measurement (Recognized-Value Standard of Measurement of Position) Determination 2017</w:t>
      </w:r>
      <w:r w:rsidRPr="00DD575E">
        <w:rPr>
          <w:rFonts w:eastAsia="Times New Roman"/>
          <w:szCs w:val="17"/>
        </w:rPr>
        <w:t xml:space="preserve"> made under Section 8A of the </w:t>
      </w:r>
      <w:r w:rsidRPr="00DD575E">
        <w:rPr>
          <w:rFonts w:eastAsia="Times New Roman"/>
          <w:i/>
          <w:szCs w:val="17"/>
        </w:rPr>
        <w:t>National Measurement Act 1960</w:t>
      </w:r>
      <w:r w:rsidRPr="00DD575E">
        <w:rPr>
          <w:rFonts w:eastAsia="Times New Roman"/>
          <w:szCs w:val="17"/>
        </w:rPr>
        <w:t xml:space="preserve"> of the Commonwealth. All co-ordinates are expressed in terms of GDA2020.</w:t>
      </w:r>
    </w:p>
    <w:p w:rsidR="00DD575E" w:rsidRPr="00DD575E" w:rsidRDefault="00DD575E" w:rsidP="00DD575E">
      <w:pPr>
        <w:spacing w:after="0"/>
        <w:rPr>
          <w:rFonts w:eastAsia="Times New Roman"/>
          <w:szCs w:val="17"/>
        </w:rPr>
      </w:pPr>
      <w:r w:rsidRPr="00DD575E">
        <w:rPr>
          <w:rFonts w:eastAsia="Times New Roman"/>
          <w:szCs w:val="17"/>
        </w:rPr>
        <w:t>Dated: 15 April 2021</w:t>
      </w:r>
    </w:p>
    <w:p w:rsidR="00DD575E" w:rsidRPr="00DD575E" w:rsidRDefault="00DD575E" w:rsidP="00DD575E">
      <w:pPr>
        <w:spacing w:after="0"/>
        <w:jc w:val="right"/>
        <w:rPr>
          <w:rFonts w:eastAsia="Times New Roman"/>
          <w:smallCaps/>
          <w:szCs w:val="20"/>
        </w:rPr>
      </w:pPr>
      <w:r w:rsidRPr="00DD575E">
        <w:rPr>
          <w:rFonts w:eastAsia="Times New Roman"/>
          <w:smallCaps/>
          <w:szCs w:val="20"/>
        </w:rPr>
        <w:t>Professor Gavin Begg</w:t>
      </w:r>
    </w:p>
    <w:p w:rsidR="00DD575E" w:rsidRPr="00DD575E" w:rsidRDefault="00DD575E" w:rsidP="00DD575E">
      <w:pPr>
        <w:spacing w:after="0"/>
        <w:jc w:val="right"/>
        <w:rPr>
          <w:rFonts w:eastAsia="Times New Roman"/>
          <w:szCs w:val="17"/>
        </w:rPr>
      </w:pPr>
      <w:r w:rsidRPr="00DD575E">
        <w:rPr>
          <w:rFonts w:eastAsia="Times New Roman"/>
          <w:szCs w:val="17"/>
        </w:rPr>
        <w:t>Executive Director</w:t>
      </w:r>
    </w:p>
    <w:p w:rsidR="00DD575E" w:rsidRPr="00DD575E" w:rsidRDefault="00DD575E" w:rsidP="00DD575E">
      <w:pPr>
        <w:spacing w:after="0"/>
        <w:jc w:val="right"/>
        <w:rPr>
          <w:rFonts w:eastAsia="Times New Roman"/>
          <w:szCs w:val="17"/>
        </w:rPr>
      </w:pPr>
      <w:r w:rsidRPr="00DD575E">
        <w:rPr>
          <w:rFonts w:eastAsia="Times New Roman"/>
          <w:szCs w:val="17"/>
        </w:rPr>
        <w:t>Fisheries and Aquaculture</w:t>
      </w:r>
    </w:p>
    <w:p w:rsidR="00D51CBF" w:rsidRDefault="00DD575E" w:rsidP="00DD575E">
      <w:pPr>
        <w:spacing w:after="0"/>
        <w:jc w:val="right"/>
        <w:rPr>
          <w:rFonts w:eastAsia="Times New Roman"/>
          <w:szCs w:val="17"/>
        </w:rPr>
      </w:pPr>
      <w:r w:rsidRPr="00DD575E">
        <w:rPr>
          <w:rFonts w:eastAsia="Times New Roman"/>
          <w:szCs w:val="17"/>
        </w:rPr>
        <w:t>Delegate of the Minister for Primary Industries and Regional Development</w:t>
      </w:r>
    </w:p>
    <w:p w:rsidR="00DD575E" w:rsidRDefault="00DD575E" w:rsidP="00DD575E">
      <w:pPr>
        <w:pBdr>
          <w:bottom w:val="single" w:sz="4" w:space="1" w:color="auto"/>
        </w:pBdr>
        <w:spacing w:after="0" w:line="52" w:lineRule="exact"/>
        <w:jc w:val="center"/>
        <w:rPr>
          <w:lang w:val="en-US"/>
        </w:rPr>
      </w:pPr>
    </w:p>
    <w:p w:rsidR="00DD575E" w:rsidRDefault="00DD575E" w:rsidP="00DD575E">
      <w:pPr>
        <w:pBdr>
          <w:top w:val="single" w:sz="4" w:space="1" w:color="auto"/>
        </w:pBdr>
        <w:spacing w:before="34" w:after="0" w:line="14" w:lineRule="exact"/>
        <w:jc w:val="center"/>
        <w:rPr>
          <w:lang w:val="en-US"/>
        </w:rPr>
      </w:pPr>
    </w:p>
    <w:p w:rsidR="00DD575E" w:rsidRDefault="00DD575E" w:rsidP="00DD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D575E" w:rsidRPr="00DD575E" w:rsidRDefault="00DD575E" w:rsidP="00051940">
      <w:pPr>
        <w:pStyle w:val="Heading2"/>
      </w:pPr>
      <w:bookmarkStart w:id="35" w:name="_Toc69916967"/>
      <w:r w:rsidRPr="00DD575E">
        <w:t>Fisheries Management (Rock Lobster Fisheries) Regulations 2017</w:t>
      </w:r>
      <w:bookmarkEnd w:id="35"/>
    </w:p>
    <w:p w:rsidR="00DD575E" w:rsidRPr="00DD575E" w:rsidRDefault="00DD575E" w:rsidP="00DD575E">
      <w:pPr>
        <w:jc w:val="center"/>
        <w:rPr>
          <w:smallCaps/>
          <w:szCs w:val="17"/>
        </w:rPr>
      </w:pPr>
      <w:r w:rsidRPr="00DD575E">
        <w:rPr>
          <w:smallCaps/>
          <w:szCs w:val="17"/>
        </w:rPr>
        <w:t>Regulation 12</w:t>
      </w:r>
    </w:p>
    <w:p w:rsidR="00DD575E" w:rsidRPr="00DD575E" w:rsidRDefault="00DD575E" w:rsidP="00DD575E">
      <w:pPr>
        <w:jc w:val="center"/>
        <w:rPr>
          <w:i/>
          <w:szCs w:val="17"/>
        </w:rPr>
      </w:pPr>
      <w:r w:rsidRPr="00DD575E">
        <w:rPr>
          <w:i/>
          <w:szCs w:val="17"/>
        </w:rPr>
        <w:t>Variation of Restrictions on Fishing Activities During the Closed Season of the Southern Zone</w:t>
      </w:r>
    </w:p>
    <w:p w:rsidR="00DD575E" w:rsidRPr="00DD575E" w:rsidRDefault="00DD575E" w:rsidP="00DD575E">
      <w:pPr>
        <w:rPr>
          <w:rFonts w:eastAsia="Times New Roman"/>
          <w:szCs w:val="17"/>
        </w:rPr>
      </w:pPr>
      <w:r w:rsidRPr="00DD575E">
        <w:rPr>
          <w:rFonts w:eastAsia="Times New Roman"/>
          <w:szCs w:val="17"/>
        </w:rPr>
        <w:t xml:space="preserve">For the purposes of Regulation 12(3) and 12(4) of the </w:t>
      </w:r>
      <w:r w:rsidRPr="00DD575E">
        <w:rPr>
          <w:rFonts w:eastAsia="Times New Roman"/>
          <w:i/>
          <w:szCs w:val="17"/>
        </w:rPr>
        <w:t>Fisheries Management (Rock Lobster Fisheries) Regulations 2017</w:t>
      </w:r>
      <w:r w:rsidRPr="00DD575E">
        <w:rPr>
          <w:rFonts w:eastAsia="Times New Roman"/>
          <w:szCs w:val="17"/>
        </w:rPr>
        <w:t xml:space="preserve"> relating to restrictions on fishing activities during the closed season of the Southern Zone, I, Professor Gavin Begg, as delegate of the Minister for Primary Industries and Regional Development, make the following determinations:</w:t>
      </w:r>
    </w:p>
    <w:p w:rsidR="00DD575E" w:rsidRPr="00DD575E" w:rsidRDefault="00DD575E" w:rsidP="00DD575E">
      <w:pPr>
        <w:ind w:left="567" w:hanging="425"/>
        <w:rPr>
          <w:rFonts w:eastAsia="Times New Roman"/>
          <w:szCs w:val="17"/>
        </w:rPr>
      </w:pPr>
      <w:r w:rsidRPr="00DD575E">
        <w:rPr>
          <w:rFonts w:eastAsia="Times New Roman"/>
          <w:szCs w:val="17"/>
        </w:rPr>
        <w:t>(1)</w:t>
      </w:r>
      <w:r w:rsidRPr="00DD575E">
        <w:rPr>
          <w:rFonts w:eastAsia="Times New Roman"/>
          <w:szCs w:val="17"/>
        </w:rPr>
        <w:tab/>
        <w:t>The holder of a licence in respect of the Southern Zone Rock Lobster Fishery may take rock lobster in the Southern Zone during the periods:</w:t>
      </w:r>
    </w:p>
    <w:p w:rsidR="00DD575E" w:rsidRPr="00DD575E" w:rsidRDefault="00DD575E" w:rsidP="00DD575E">
      <w:pPr>
        <w:ind w:left="709" w:hanging="142"/>
        <w:rPr>
          <w:rFonts w:eastAsia="Times New Roman"/>
          <w:szCs w:val="17"/>
        </w:rPr>
      </w:pPr>
      <w:r w:rsidRPr="00DD575E">
        <w:rPr>
          <w:rFonts w:eastAsia="Times New Roman"/>
          <w:szCs w:val="17"/>
        </w:rPr>
        <w:t>•</w:t>
      </w:r>
      <w:r w:rsidRPr="00DD575E">
        <w:rPr>
          <w:rFonts w:eastAsia="Times New Roman"/>
          <w:szCs w:val="17"/>
        </w:rPr>
        <w:tab/>
        <w:t>1800 hours on 31 May 2021 to 1800 hours on 31 July 2021; and</w:t>
      </w:r>
    </w:p>
    <w:p w:rsidR="00DD575E" w:rsidRPr="00DD575E" w:rsidRDefault="00DD575E" w:rsidP="00DD575E">
      <w:pPr>
        <w:ind w:left="709" w:hanging="142"/>
        <w:rPr>
          <w:rFonts w:eastAsia="Times New Roman"/>
          <w:szCs w:val="17"/>
        </w:rPr>
      </w:pPr>
      <w:r w:rsidRPr="00DD575E">
        <w:rPr>
          <w:rFonts w:eastAsia="Times New Roman"/>
          <w:szCs w:val="17"/>
        </w:rPr>
        <w:t>•</w:t>
      </w:r>
      <w:r w:rsidRPr="00DD575E">
        <w:rPr>
          <w:rFonts w:eastAsia="Times New Roman"/>
          <w:szCs w:val="17"/>
        </w:rPr>
        <w:tab/>
        <w:t>0600 hours on 15 September 2021 to 0600 hours on 1 October 2021.</w:t>
      </w:r>
    </w:p>
    <w:p w:rsidR="00DD575E" w:rsidRPr="00DD575E" w:rsidRDefault="00DD575E" w:rsidP="00DD575E">
      <w:pPr>
        <w:ind w:left="567" w:hanging="425"/>
        <w:rPr>
          <w:rFonts w:eastAsia="Times New Roman"/>
          <w:szCs w:val="17"/>
        </w:rPr>
      </w:pPr>
      <w:r w:rsidRPr="00DD575E">
        <w:rPr>
          <w:rFonts w:eastAsia="Times New Roman"/>
          <w:szCs w:val="17"/>
        </w:rPr>
        <w:t>(2)</w:t>
      </w:r>
      <w:r w:rsidRPr="00DD575E">
        <w:rPr>
          <w:rFonts w:eastAsia="Times New Roman"/>
          <w:szCs w:val="17"/>
        </w:rPr>
        <w:tab/>
        <w:t>The holder of a licence in respect of the Southern Zone Rock Lobster Fishery may set a rock lobster pot in the Southern Zone during the periods:</w:t>
      </w:r>
    </w:p>
    <w:p w:rsidR="00DD575E" w:rsidRPr="00DD575E" w:rsidRDefault="00DD575E" w:rsidP="00DD575E">
      <w:pPr>
        <w:ind w:left="709" w:hanging="142"/>
        <w:rPr>
          <w:rFonts w:eastAsia="Times New Roman"/>
          <w:szCs w:val="17"/>
        </w:rPr>
      </w:pPr>
      <w:r w:rsidRPr="00DD575E">
        <w:rPr>
          <w:rFonts w:eastAsia="Times New Roman"/>
          <w:szCs w:val="17"/>
        </w:rPr>
        <w:t>•</w:t>
      </w:r>
      <w:r w:rsidRPr="00DD575E">
        <w:rPr>
          <w:rFonts w:eastAsia="Times New Roman"/>
          <w:szCs w:val="17"/>
        </w:rPr>
        <w:tab/>
        <w:t>1800 hours on 31 May 2021 to 1800 hours on 31 July 2021; and</w:t>
      </w:r>
    </w:p>
    <w:p w:rsidR="00DD575E" w:rsidRPr="00DD575E" w:rsidRDefault="00DD575E" w:rsidP="00DD575E">
      <w:pPr>
        <w:ind w:left="709" w:hanging="142"/>
        <w:rPr>
          <w:rFonts w:eastAsia="Times New Roman"/>
          <w:szCs w:val="17"/>
        </w:rPr>
      </w:pPr>
      <w:r w:rsidRPr="00DD575E">
        <w:rPr>
          <w:rFonts w:eastAsia="Times New Roman"/>
          <w:szCs w:val="17"/>
        </w:rPr>
        <w:t>•</w:t>
      </w:r>
      <w:r w:rsidRPr="00DD575E">
        <w:rPr>
          <w:rFonts w:eastAsia="Times New Roman"/>
          <w:szCs w:val="17"/>
        </w:rPr>
        <w:tab/>
        <w:t>0600 hours on 15 September 2021 to 0600 hours on 1 October 2021.</w:t>
      </w:r>
    </w:p>
    <w:p w:rsidR="00DD575E" w:rsidRPr="00DD575E" w:rsidRDefault="00DD575E" w:rsidP="00DD575E">
      <w:pPr>
        <w:spacing w:after="0"/>
        <w:rPr>
          <w:rFonts w:eastAsia="Times New Roman"/>
          <w:szCs w:val="17"/>
        </w:rPr>
      </w:pPr>
      <w:r w:rsidRPr="00DD575E">
        <w:rPr>
          <w:rFonts w:eastAsia="Times New Roman"/>
          <w:szCs w:val="17"/>
        </w:rPr>
        <w:t>Dated: 20 April 2021</w:t>
      </w:r>
    </w:p>
    <w:p w:rsidR="00DD575E" w:rsidRPr="00DD575E" w:rsidRDefault="00DD575E" w:rsidP="00DD575E">
      <w:pPr>
        <w:spacing w:after="0"/>
        <w:jc w:val="right"/>
        <w:rPr>
          <w:rFonts w:eastAsia="Times New Roman"/>
          <w:smallCaps/>
          <w:szCs w:val="20"/>
        </w:rPr>
      </w:pPr>
      <w:r w:rsidRPr="00DD575E">
        <w:rPr>
          <w:rFonts w:eastAsia="Times New Roman"/>
          <w:smallCaps/>
          <w:szCs w:val="20"/>
        </w:rPr>
        <w:t>Professor Gavin Begg</w:t>
      </w:r>
    </w:p>
    <w:p w:rsidR="00DD575E" w:rsidRPr="00DD575E" w:rsidRDefault="00DD575E" w:rsidP="00DD575E">
      <w:pPr>
        <w:spacing w:after="0"/>
        <w:jc w:val="right"/>
        <w:rPr>
          <w:rFonts w:eastAsia="Times New Roman"/>
          <w:szCs w:val="17"/>
        </w:rPr>
      </w:pPr>
      <w:r w:rsidRPr="00DD575E">
        <w:rPr>
          <w:rFonts w:eastAsia="Times New Roman"/>
          <w:szCs w:val="17"/>
        </w:rPr>
        <w:t>Executive Director, Fisheries and Aquaculture</w:t>
      </w:r>
    </w:p>
    <w:p w:rsidR="00DD575E" w:rsidRPr="00DD575E" w:rsidRDefault="00DD575E" w:rsidP="00DD575E">
      <w:pPr>
        <w:spacing w:after="0"/>
        <w:jc w:val="right"/>
        <w:rPr>
          <w:rFonts w:eastAsia="Times New Roman"/>
          <w:szCs w:val="17"/>
        </w:rPr>
      </w:pPr>
      <w:r w:rsidRPr="00DD575E">
        <w:rPr>
          <w:rFonts w:eastAsia="Times New Roman"/>
          <w:szCs w:val="17"/>
        </w:rPr>
        <w:t>Delegate of the Minister for Primary Industries and Regional Development</w:t>
      </w:r>
    </w:p>
    <w:p w:rsidR="00DD575E" w:rsidRPr="00DD575E" w:rsidRDefault="00DD575E" w:rsidP="00DD575E">
      <w:pPr>
        <w:pBdr>
          <w:top w:val="single" w:sz="4" w:space="1" w:color="auto"/>
        </w:pBdr>
        <w:spacing w:before="100" w:after="0" w:line="14" w:lineRule="exact"/>
        <w:jc w:val="center"/>
        <w:rPr>
          <w:rFonts w:eastAsia="Times New Roman"/>
          <w:szCs w:val="17"/>
        </w:rPr>
      </w:pPr>
    </w:p>
    <w:p w:rsidR="00DD575E" w:rsidRPr="00DD575E" w:rsidRDefault="00DD575E" w:rsidP="00DD575E">
      <w:pPr>
        <w:spacing w:after="0"/>
        <w:rPr>
          <w:rFonts w:eastAsia="Times New Roman"/>
          <w:szCs w:val="17"/>
        </w:rPr>
      </w:pPr>
    </w:p>
    <w:p w:rsidR="00DD575E" w:rsidRPr="00DD575E" w:rsidRDefault="00DD575E" w:rsidP="00DD575E">
      <w:pPr>
        <w:jc w:val="center"/>
        <w:rPr>
          <w:caps/>
          <w:szCs w:val="17"/>
        </w:rPr>
      </w:pPr>
      <w:r w:rsidRPr="00DD575E">
        <w:rPr>
          <w:caps/>
          <w:szCs w:val="17"/>
        </w:rPr>
        <w:t>Fisheries Management (Rock Lobster Fisheries) Regulations 2017</w:t>
      </w:r>
    </w:p>
    <w:p w:rsidR="00DD575E" w:rsidRPr="00DD575E" w:rsidRDefault="00DD575E" w:rsidP="00DD575E">
      <w:pPr>
        <w:jc w:val="center"/>
        <w:rPr>
          <w:smallCaps/>
          <w:szCs w:val="17"/>
        </w:rPr>
      </w:pPr>
      <w:r w:rsidRPr="00DD575E">
        <w:rPr>
          <w:smallCaps/>
          <w:szCs w:val="17"/>
        </w:rPr>
        <w:t>Regulation 29</w:t>
      </w:r>
    </w:p>
    <w:p w:rsidR="00DD575E" w:rsidRPr="00DD575E" w:rsidRDefault="00DD575E" w:rsidP="00DD575E">
      <w:pPr>
        <w:jc w:val="center"/>
        <w:rPr>
          <w:i/>
          <w:szCs w:val="17"/>
        </w:rPr>
      </w:pPr>
      <w:r w:rsidRPr="00DD575E">
        <w:rPr>
          <w:i/>
          <w:szCs w:val="17"/>
        </w:rPr>
        <w:t>Variation of Restrictions on Sale of Rock Lobster During the Closed Season in the Southern Zone</w:t>
      </w:r>
    </w:p>
    <w:p w:rsidR="00DD575E" w:rsidRPr="00DD575E" w:rsidRDefault="00DD575E" w:rsidP="00DD575E">
      <w:pPr>
        <w:rPr>
          <w:rFonts w:eastAsia="Times New Roman"/>
          <w:szCs w:val="17"/>
        </w:rPr>
      </w:pPr>
      <w:r w:rsidRPr="00DD575E">
        <w:rPr>
          <w:rFonts w:eastAsia="Times New Roman"/>
          <w:szCs w:val="17"/>
        </w:rPr>
        <w:t xml:space="preserve">For the purposes of Regulation 29 of the </w:t>
      </w:r>
      <w:r w:rsidRPr="00DD575E">
        <w:rPr>
          <w:rFonts w:eastAsia="Times New Roman"/>
          <w:i/>
          <w:szCs w:val="17"/>
        </w:rPr>
        <w:t>Fisheries Management (Rock Lobster Fisheries) Regulations 2017</w:t>
      </w:r>
      <w:r w:rsidRPr="00DD575E">
        <w:rPr>
          <w:rFonts w:eastAsia="Times New Roman"/>
          <w:szCs w:val="17"/>
        </w:rPr>
        <w:t xml:space="preserve"> relating to the sale of rock lobster during the closed season in the Southern Zone, I, Professor Gavin Begg, as delegate of the Minister for Primary Industries and Regional Development, make the following determination:</w:t>
      </w:r>
    </w:p>
    <w:p w:rsidR="00DD575E" w:rsidRPr="00DD575E" w:rsidRDefault="00DD575E" w:rsidP="00DD575E">
      <w:pPr>
        <w:ind w:left="567" w:hanging="425"/>
        <w:rPr>
          <w:rFonts w:eastAsia="Times New Roman"/>
          <w:szCs w:val="17"/>
        </w:rPr>
      </w:pPr>
      <w:r w:rsidRPr="00DD575E">
        <w:rPr>
          <w:rFonts w:eastAsia="Times New Roman"/>
          <w:szCs w:val="17"/>
        </w:rPr>
        <w:t>(1)</w:t>
      </w:r>
      <w:r w:rsidRPr="00DD575E">
        <w:rPr>
          <w:rFonts w:eastAsia="Times New Roman"/>
          <w:szCs w:val="17"/>
        </w:rPr>
        <w:tab/>
        <w:t>The holder of a licence in respect of the Southern Zone Rock Lobster Fishery may sell live rock lobster during the periods:</w:t>
      </w:r>
    </w:p>
    <w:p w:rsidR="00DD575E" w:rsidRPr="00DD575E" w:rsidRDefault="00DD575E" w:rsidP="00DD575E">
      <w:pPr>
        <w:ind w:left="709" w:hanging="142"/>
        <w:rPr>
          <w:rFonts w:eastAsia="Times New Roman"/>
          <w:szCs w:val="17"/>
        </w:rPr>
      </w:pPr>
      <w:r w:rsidRPr="00DD575E">
        <w:rPr>
          <w:rFonts w:eastAsia="Times New Roman"/>
          <w:szCs w:val="17"/>
        </w:rPr>
        <w:t>•</w:t>
      </w:r>
      <w:r w:rsidRPr="00DD575E">
        <w:rPr>
          <w:rFonts w:eastAsia="Times New Roman"/>
          <w:szCs w:val="17"/>
        </w:rPr>
        <w:tab/>
        <w:t>1800 hours on 31 May 2021 to 1800 hours on 31 July 2021; and</w:t>
      </w:r>
    </w:p>
    <w:p w:rsidR="00DD575E" w:rsidRPr="00DD575E" w:rsidRDefault="00DD575E" w:rsidP="00DD575E">
      <w:pPr>
        <w:ind w:left="709" w:hanging="142"/>
        <w:rPr>
          <w:rFonts w:eastAsia="Times New Roman"/>
          <w:szCs w:val="17"/>
        </w:rPr>
      </w:pPr>
      <w:r w:rsidRPr="00DD575E">
        <w:rPr>
          <w:rFonts w:eastAsia="Times New Roman"/>
          <w:szCs w:val="17"/>
        </w:rPr>
        <w:t>•</w:t>
      </w:r>
      <w:r w:rsidRPr="00DD575E">
        <w:rPr>
          <w:rFonts w:eastAsia="Times New Roman"/>
          <w:szCs w:val="17"/>
        </w:rPr>
        <w:tab/>
        <w:t>0600 hours on 15 September 2021 to 0600 hours on 1 October 2021.</w:t>
      </w:r>
    </w:p>
    <w:p w:rsidR="00DD575E" w:rsidRPr="00DD575E" w:rsidRDefault="00DD575E" w:rsidP="00DD575E">
      <w:pPr>
        <w:spacing w:after="0"/>
        <w:rPr>
          <w:rFonts w:eastAsia="Times New Roman"/>
          <w:szCs w:val="17"/>
        </w:rPr>
      </w:pPr>
      <w:r w:rsidRPr="00DD575E">
        <w:rPr>
          <w:rFonts w:eastAsia="Times New Roman"/>
          <w:szCs w:val="17"/>
        </w:rPr>
        <w:t>Dated: 20 April 2021</w:t>
      </w:r>
    </w:p>
    <w:p w:rsidR="00DD575E" w:rsidRPr="00DD575E" w:rsidRDefault="00DD575E" w:rsidP="00DD575E">
      <w:pPr>
        <w:spacing w:after="0"/>
        <w:jc w:val="right"/>
        <w:rPr>
          <w:rFonts w:eastAsia="Times New Roman"/>
          <w:smallCaps/>
          <w:szCs w:val="20"/>
        </w:rPr>
      </w:pPr>
      <w:r w:rsidRPr="00DD575E">
        <w:rPr>
          <w:rFonts w:eastAsia="Times New Roman"/>
          <w:smallCaps/>
          <w:szCs w:val="20"/>
        </w:rPr>
        <w:t>Professor Gavin Begg</w:t>
      </w:r>
    </w:p>
    <w:p w:rsidR="00DD575E" w:rsidRPr="00DD575E" w:rsidRDefault="00DD575E" w:rsidP="00DD575E">
      <w:pPr>
        <w:spacing w:after="0"/>
        <w:jc w:val="right"/>
        <w:rPr>
          <w:rFonts w:eastAsia="Times New Roman"/>
          <w:szCs w:val="17"/>
        </w:rPr>
      </w:pPr>
      <w:r w:rsidRPr="00DD575E">
        <w:rPr>
          <w:rFonts w:eastAsia="Times New Roman"/>
          <w:szCs w:val="17"/>
        </w:rPr>
        <w:t>Executive Director, Fisheries and Aquaculture</w:t>
      </w:r>
    </w:p>
    <w:p w:rsidR="00DD575E" w:rsidRDefault="00DD575E" w:rsidP="00DD575E">
      <w:pPr>
        <w:spacing w:after="0"/>
        <w:jc w:val="right"/>
        <w:rPr>
          <w:rFonts w:eastAsia="Times New Roman"/>
          <w:szCs w:val="17"/>
        </w:rPr>
      </w:pPr>
      <w:r w:rsidRPr="00DD575E">
        <w:rPr>
          <w:rFonts w:eastAsia="Times New Roman"/>
          <w:szCs w:val="17"/>
        </w:rPr>
        <w:t>Delegate of the Minister for Primary Industries and Regional Development</w:t>
      </w:r>
    </w:p>
    <w:p w:rsidR="00DD575E" w:rsidRDefault="00DD575E" w:rsidP="00DD575E">
      <w:pPr>
        <w:pBdr>
          <w:bottom w:val="single" w:sz="4" w:space="1" w:color="auto"/>
        </w:pBdr>
        <w:spacing w:after="0" w:line="52" w:lineRule="exact"/>
        <w:jc w:val="center"/>
        <w:rPr>
          <w:lang w:val="en-US"/>
        </w:rPr>
      </w:pPr>
    </w:p>
    <w:p w:rsidR="00DD575E" w:rsidRDefault="00DD575E" w:rsidP="00DD575E">
      <w:pPr>
        <w:pBdr>
          <w:top w:val="single" w:sz="4" w:space="1" w:color="auto"/>
        </w:pBdr>
        <w:spacing w:before="34" w:after="0" w:line="14" w:lineRule="exact"/>
        <w:jc w:val="center"/>
        <w:rPr>
          <w:lang w:val="en-US"/>
        </w:rPr>
      </w:pPr>
    </w:p>
    <w:p w:rsidR="00DD575E" w:rsidRDefault="00DD575E" w:rsidP="00DD575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C1F8A" w:rsidRPr="005C1F8A" w:rsidRDefault="005C1F8A" w:rsidP="00051940">
      <w:pPr>
        <w:pStyle w:val="Heading2"/>
      </w:pPr>
      <w:bookmarkStart w:id="36" w:name="_Toc69916968"/>
      <w:r w:rsidRPr="005C1F8A">
        <w:t>Housing Improvement Act 2016</w:t>
      </w:r>
      <w:bookmarkEnd w:id="36"/>
    </w:p>
    <w:p w:rsidR="005C1F8A" w:rsidRPr="005C1F8A" w:rsidRDefault="005C1F8A" w:rsidP="005C1F8A">
      <w:pPr>
        <w:jc w:val="center"/>
        <w:rPr>
          <w:i/>
          <w:szCs w:val="17"/>
        </w:rPr>
      </w:pPr>
      <w:r w:rsidRPr="005C1F8A">
        <w:rPr>
          <w:i/>
          <w:szCs w:val="17"/>
        </w:rPr>
        <w:t>Rent Control Revocations</w:t>
      </w:r>
    </w:p>
    <w:p w:rsidR="005C1F8A" w:rsidRPr="005C1F8A" w:rsidRDefault="005C1F8A" w:rsidP="005C1F8A">
      <w:pPr>
        <w:rPr>
          <w:rFonts w:eastAsia="Times New Roman"/>
          <w:spacing w:val="-2"/>
          <w:szCs w:val="17"/>
        </w:rPr>
      </w:pPr>
      <w:r w:rsidRPr="005C1F8A">
        <w:rPr>
          <w:rFonts w:eastAsia="Times New Roman"/>
          <w:spacing w:val="-2"/>
          <w:szCs w:val="17"/>
        </w:rPr>
        <w:t xml:space="preserve">Whereas the Minister for Human Services Delegate is satisfied that each of the houses described hereunder has ceased to be unsafe or unsuitable for human habitation for the purposes of the </w:t>
      </w:r>
      <w:r w:rsidRPr="005C1F8A">
        <w:rPr>
          <w:rFonts w:eastAsia="Times New Roman"/>
          <w:i/>
          <w:spacing w:val="-2"/>
          <w:szCs w:val="17"/>
        </w:rPr>
        <w:t>Housing Improvement Act 2016</w:t>
      </w:r>
      <w:r w:rsidRPr="005C1F8A">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20"/>
        <w:gridCol w:w="4110"/>
        <w:gridCol w:w="2130"/>
      </w:tblGrid>
      <w:tr w:rsidR="005C1F8A" w:rsidRPr="005C1F8A" w:rsidTr="00A354F7">
        <w:trPr>
          <w:tblHeader/>
        </w:trPr>
        <w:tc>
          <w:tcPr>
            <w:tcW w:w="3120" w:type="dxa"/>
            <w:tcBorders>
              <w:top w:val="single" w:sz="4" w:space="0" w:color="auto"/>
              <w:bottom w:val="single" w:sz="4" w:space="0" w:color="auto"/>
            </w:tcBorders>
            <w:vAlign w:val="center"/>
          </w:tcPr>
          <w:p w:rsidR="005C1F8A" w:rsidRPr="005C1F8A" w:rsidRDefault="005C1F8A" w:rsidP="005C1F8A">
            <w:pPr>
              <w:spacing w:before="40" w:after="40"/>
              <w:jc w:val="center"/>
              <w:rPr>
                <w:b/>
                <w:szCs w:val="17"/>
              </w:rPr>
            </w:pPr>
            <w:r w:rsidRPr="005C1F8A">
              <w:rPr>
                <w:b/>
                <w:szCs w:val="17"/>
              </w:rPr>
              <w:t>Address of Premises</w:t>
            </w:r>
          </w:p>
        </w:tc>
        <w:tc>
          <w:tcPr>
            <w:tcW w:w="4110" w:type="dxa"/>
            <w:tcBorders>
              <w:top w:val="single" w:sz="4" w:space="0" w:color="auto"/>
              <w:bottom w:val="single" w:sz="4" w:space="0" w:color="auto"/>
            </w:tcBorders>
            <w:vAlign w:val="center"/>
          </w:tcPr>
          <w:p w:rsidR="005C1F8A" w:rsidRPr="005C1F8A" w:rsidRDefault="005C1F8A" w:rsidP="005C1F8A">
            <w:pPr>
              <w:spacing w:before="40" w:after="40"/>
              <w:jc w:val="center"/>
              <w:rPr>
                <w:b/>
                <w:szCs w:val="17"/>
              </w:rPr>
            </w:pPr>
            <w:r w:rsidRPr="005C1F8A">
              <w:rPr>
                <w:b/>
                <w:szCs w:val="17"/>
              </w:rPr>
              <w:t>Allotment Section</w:t>
            </w:r>
          </w:p>
        </w:tc>
        <w:tc>
          <w:tcPr>
            <w:tcW w:w="2130" w:type="dxa"/>
            <w:tcBorders>
              <w:top w:val="single" w:sz="4" w:space="0" w:color="auto"/>
              <w:bottom w:val="single" w:sz="4" w:space="0" w:color="auto"/>
            </w:tcBorders>
            <w:vAlign w:val="center"/>
          </w:tcPr>
          <w:p w:rsidR="005C1F8A" w:rsidRPr="005C1F8A" w:rsidRDefault="005C1F8A" w:rsidP="005C1F8A">
            <w:pPr>
              <w:spacing w:before="40" w:after="40"/>
              <w:jc w:val="center"/>
              <w:rPr>
                <w:b/>
                <w:szCs w:val="17"/>
              </w:rPr>
            </w:pPr>
            <w:r w:rsidRPr="005C1F8A">
              <w:rPr>
                <w:b/>
                <w:szCs w:val="17"/>
                <w:u w:val="single"/>
              </w:rPr>
              <w:t>Certificate of Title</w:t>
            </w:r>
            <w:r w:rsidRPr="005C1F8A">
              <w:rPr>
                <w:b/>
                <w:szCs w:val="17"/>
              </w:rPr>
              <w:t xml:space="preserve"> </w:t>
            </w:r>
            <w:r w:rsidRPr="005C1F8A">
              <w:rPr>
                <w:b/>
                <w:szCs w:val="17"/>
              </w:rPr>
              <w:br/>
              <w:t>Volume/Folio</w:t>
            </w:r>
          </w:p>
        </w:tc>
      </w:tr>
      <w:tr w:rsidR="005C1F8A" w:rsidRPr="005C1F8A" w:rsidTr="00A354F7">
        <w:trPr>
          <w:tblHeader/>
        </w:trPr>
        <w:tc>
          <w:tcPr>
            <w:tcW w:w="3120" w:type="dxa"/>
            <w:tcBorders>
              <w:top w:val="single" w:sz="4" w:space="0" w:color="auto"/>
            </w:tcBorders>
          </w:tcPr>
          <w:p w:rsidR="005C1F8A" w:rsidRPr="005C1F8A" w:rsidRDefault="005C1F8A" w:rsidP="005C1F8A">
            <w:pPr>
              <w:spacing w:after="0" w:line="80" w:lineRule="exact"/>
              <w:jc w:val="left"/>
              <w:rPr>
                <w:szCs w:val="17"/>
              </w:rPr>
            </w:pPr>
          </w:p>
        </w:tc>
        <w:tc>
          <w:tcPr>
            <w:tcW w:w="4110" w:type="dxa"/>
            <w:tcBorders>
              <w:top w:val="single" w:sz="4" w:space="0" w:color="auto"/>
            </w:tcBorders>
          </w:tcPr>
          <w:p w:rsidR="005C1F8A" w:rsidRPr="005C1F8A" w:rsidRDefault="005C1F8A" w:rsidP="005C1F8A">
            <w:pPr>
              <w:spacing w:after="0" w:line="80" w:lineRule="exact"/>
              <w:jc w:val="left"/>
              <w:rPr>
                <w:szCs w:val="17"/>
              </w:rPr>
            </w:pPr>
          </w:p>
        </w:tc>
        <w:tc>
          <w:tcPr>
            <w:tcW w:w="2130" w:type="dxa"/>
            <w:tcBorders>
              <w:top w:val="single" w:sz="4" w:space="0" w:color="auto"/>
            </w:tcBorders>
          </w:tcPr>
          <w:p w:rsidR="005C1F8A" w:rsidRPr="005C1F8A" w:rsidRDefault="005C1F8A" w:rsidP="005C1F8A">
            <w:pPr>
              <w:spacing w:after="0" w:line="80" w:lineRule="exact"/>
              <w:jc w:val="left"/>
              <w:rPr>
                <w:szCs w:val="17"/>
              </w:rPr>
            </w:pPr>
          </w:p>
        </w:tc>
      </w:tr>
      <w:tr w:rsidR="005C1F8A" w:rsidRPr="005C1F8A" w:rsidTr="00A354F7">
        <w:tc>
          <w:tcPr>
            <w:tcW w:w="3120" w:type="dxa"/>
          </w:tcPr>
          <w:p w:rsidR="005C1F8A" w:rsidRPr="005C1F8A" w:rsidRDefault="005C1F8A" w:rsidP="005C1F8A">
            <w:pPr>
              <w:spacing w:after="20"/>
              <w:ind w:left="159" w:hanging="159"/>
              <w:jc w:val="left"/>
              <w:rPr>
                <w:szCs w:val="17"/>
              </w:rPr>
            </w:pPr>
            <w:r w:rsidRPr="005C1F8A">
              <w:rPr>
                <w:szCs w:val="17"/>
              </w:rPr>
              <w:t>Lot 704 Williams Road, Two Wells SA 5501</w:t>
            </w:r>
          </w:p>
        </w:tc>
        <w:tc>
          <w:tcPr>
            <w:tcW w:w="4110" w:type="dxa"/>
          </w:tcPr>
          <w:p w:rsidR="005C1F8A" w:rsidRPr="005C1F8A" w:rsidRDefault="005C1F8A" w:rsidP="005C1F8A">
            <w:pPr>
              <w:spacing w:after="20"/>
              <w:ind w:left="272" w:hanging="159"/>
              <w:jc w:val="left"/>
              <w:rPr>
                <w:szCs w:val="17"/>
              </w:rPr>
            </w:pPr>
            <w:r w:rsidRPr="005C1F8A">
              <w:rPr>
                <w:szCs w:val="17"/>
              </w:rPr>
              <w:t xml:space="preserve">Allotment 704 Deposited Plan 78947 Hundred of </w:t>
            </w:r>
            <w:r w:rsidRPr="005C1F8A">
              <w:rPr>
                <w:szCs w:val="17"/>
              </w:rPr>
              <w:br/>
              <w:t>Port Gawler</w:t>
            </w:r>
          </w:p>
        </w:tc>
        <w:tc>
          <w:tcPr>
            <w:tcW w:w="2130" w:type="dxa"/>
          </w:tcPr>
          <w:p w:rsidR="005C1F8A" w:rsidRPr="005C1F8A" w:rsidRDefault="005C1F8A" w:rsidP="005C1F8A">
            <w:pPr>
              <w:spacing w:after="20"/>
              <w:ind w:left="142"/>
              <w:jc w:val="left"/>
              <w:rPr>
                <w:szCs w:val="17"/>
              </w:rPr>
            </w:pPr>
            <w:r w:rsidRPr="005C1F8A">
              <w:rPr>
                <w:szCs w:val="17"/>
              </w:rPr>
              <w:t>CT6021/870</w:t>
            </w:r>
          </w:p>
        </w:tc>
      </w:tr>
      <w:tr w:rsidR="005C1F8A" w:rsidRPr="005C1F8A" w:rsidTr="00A354F7">
        <w:tc>
          <w:tcPr>
            <w:tcW w:w="3120" w:type="dxa"/>
          </w:tcPr>
          <w:p w:rsidR="005C1F8A" w:rsidRPr="005C1F8A" w:rsidRDefault="005C1F8A" w:rsidP="005C1F8A">
            <w:pPr>
              <w:spacing w:after="20"/>
              <w:ind w:left="159" w:hanging="159"/>
              <w:jc w:val="left"/>
              <w:rPr>
                <w:szCs w:val="17"/>
              </w:rPr>
            </w:pPr>
            <w:r w:rsidRPr="005C1F8A">
              <w:rPr>
                <w:szCs w:val="17"/>
              </w:rPr>
              <w:t>8-10 Franklin Street, Port Augusta SA 5700</w:t>
            </w:r>
          </w:p>
        </w:tc>
        <w:tc>
          <w:tcPr>
            <w:tcW w:w="4110" w:type="dxa"/>
          </w:tcPr>
          <w:p w:rsidR="005C1F8A" w:rsidRPr="005C1F8A" w:rsidRDefault="005C1F8A" w:rsidP="005C1F8A">
            <w:pPr>
              <w:spacing w:after="20"/>
              <w:ind w:left="272" w:hanging="159"/>
              <w:jc w:val="left"/>
              <w:rPr>
                <w:szCs w:val="17"/>
              </w:rPr>
            </w:pPr>
            <w:r w:rsidRPr="005C1F8A">
              <w:rPr>
                <w:szCs w:val="17"/>
              </w:rPr>
              <w:t>Allotment 54/53 Deposited Plan 89548 Hundred of Davenport</w:t>
            </w:r>
          </w:p>
        </w:tc>
        <w:tc>
          <w:tcPr>
            <w:tcW w:w="2130" w:type="dxa"/>
          </w:tcPr>
          <w:p w:rsidR="005C1F8A" w:rsidRPr="005C1F8A" w:rsidRDefault="005C1F8A" w:rsidP="005C1F8A">
            <w:pPr>
              <w:spacing w:after="20"/>
              <w:ind w:left="142"/>
              <w:jc w:val="left"/>
              <w:rPr>
                <w:szCs w:val="17"/>
              </w:rPr>
            </w:pPr>
            <w:r w:rsidRPr="005C1F8A">
              <w:rPr>
                <w:szCs w:val="17"/>
              </w:rPr>
              <w:t>CT2386/199, CT4151/12, CT5659/115, CT5675/209, CT5825/241, CT6088/656, CT6100/901, CT6100/900</w:t>
            </w:r>
          </w:p>
        </w:tc>
      </w:tr>
      <w:tr w:rsidR="005C1F8A" w:rsidRPr="005C1F8A" w:rsidTr="00A354F7">
        <w:tc>
          <w:tcPr>
            <w:tcW w:w="3120" w:type="dxa"/>
          </w:tcPr>
          <w:p w:rsidR="005C1F8A" w:rsidRPr="005C1F8A" w:rsidRDefault="005C1F8A" w:rsidP="005C1F8A">
            <w:pPr>
              <w:spacing w:after="20"/>
              <w:ind w:left="159" w:hanging="159"/>
              <w:jc w:val="left"/>
              <w:rPr>
                <w:szCs w:val="17"/>
              </w:rPr>
            </w:pPr>
            <w:r w:rsidRPr="005C1F8A">
              <w:rPr>
                <w:szCs w:val="17"/>
              </w:rPr>
              <w:t xml:space="preserve">Lot 2 Kadina-Bute Road, Willamulka SA </w:t>
            </w:r>
          </w:p>
        </w:tc>
        <w:tc>
          <w:tcPr>
            <w:tcW w:w="4110" w:type="dxa"/>
          </w:tcPr>
          <w:p w:rsidR="005C1F8A" w:rsidRPr="005C1F8A" w:rsidRDefault="005C1F8A" w:rsidP="005C1F8A">
            <w:pPr>
              <w:spacing w:after="20"/>
              <w:ind w:left="272" w:hanging="159"/>
              <w:jc w:val="left"/>
              <w:rPr>
                <w:szCs w:val="17"/>
              </w:rPr>
            </w:pPr>
            <w:r w:rsidRPr="005C1F8A">
              <w:rPr>
                <w:szCs w:val="17"/>
              </w:rPr>
              <w:t>Allotment 2 Deposited Plan 19808 Hundred of Kadina</w:t>
            </w:r>
          </w:p>
        </w:tc>
        <w:tc>
          <w:tcPr>
            <w:tcW w:w="2130" w:type="dxa"/>
          </w:tcPr>
          <w:p w:rsidR="005C1F8A" w:rsidRPr="005C1F8A" w:rsidRDefault="005C1F8A" w:rsidP="005C1F8A">
            <w:pPr>
              <w:spacing w:after="20"/>
              <w:ind w:left="142"/>
              <w:jc w:val="left"/>
              <w:rPr>
                <w:szCs w:val="17"/>
              </w:rPr>
            </w:pPr>
            <w:r w:rsidRPr="005C1F8A">
              <w:rPr>
                <w:szCs w:val="17"/>
              </w:rPr>
              <w:t>CT5363/113</w:t>
            </w:r>
          </w:p>
        </w:tc>
      </w:tr>
      <w:tr w:rsidR="005C1F8A" w:rsidRPr="005C1F8A" w:rsidTr="00A354F7">
        <w:tc>
          <w:tcPr>
            <w:tcW w:w="3120" w:type="dxa"/>
          </w:tcPr>
          <w:p w:rsidR="005C1F8A" w:rsidRPr="005C1F8A" w:rsidRDefault="005C1F8A" w:rsidP="005C1F8A">
            <w:pPr>
              <w:spacing w:after="20"/>
              <w:ind w:left="159" w:hanging="159"/>
              <w:jc w:val="left"/>
              <w:rPr>
                <w:szCs w:val="17"/>
              </w:rPr>
            </w:pPr>
            <w:r w:rsidRPr="005C1F8A">
              <w:rPr>
                <w:szCs w:val="17"/>
              </w:rPr>
              <w:t>26A Branson Avenue, Clearview SA 5085</w:t>
            </w:r>
          </w:p>
        </w:tc>
        <w:tc>
          <w:tcPr>
            <w:tcW w:w="4110" w:type="dxa"/>
          </w:tcPr>
          <w:p w:rsidR="005C1F8A" w:rsidRPr="005C1F8A" w:rsidRDefault="005C1F8A" w:rsidP="005C1F8A">
            <w:pPr>
              <w:spacing w:after="20"/>
              <w:ind w:left="272" w:hanging="159"/>
              <w:jc w:val="left"/>
              <w:rPr>
                <w:szCs w:val="17"/>
              </w:rPr>
            </w:pPr>
            <w:r w:rsidRPr="005C1F8A">
              <w:rPr>
                <w:szCs w:val="17"/>
              </w:rPr>
              <w:t>Allotment 84 Deposited Plan 3418 Hundred of Yatala</w:t>
            </w:r>
          </w:p>
        </w:tc>
        <w:tc>
          <w:tcPr>
            <w:tcW w:w="2130" w:type="dxa"/>
          </w:tcPr>
          <w:p w:rsidR="005C1F8A" w:rsidRPr="005C1F8A" w:rsidRDefault="005C1F8A" w:rsidP="005C1F8A">
            <w:pPr>
              <w:spacing w:after="20"/>
              <w:ind w:left="142"/>
              <w:jc w:val="left"/>
              <w:rPr>
                <w:szCs w:val="17"/>
              </w:rPr>
            </w:pPr>
            <w:r w:rsidRPr="005C1F8A">
              <w:rPr>
                <w:szCs w:val="17"/>
              </w:rPr>
              <w:t>CT2343/130, CT5596/689</w:t>
            </w:r>
          </w:p>
        </w:tc>
      </w:tr>
      <w:tr w:rsidR="005C1F8A" w:rsidRPr="005C1F8A" w:rsidTr="00A354F7">
        <w:tc>
          <w:tcPr>
            <w:tcW w:w="3120" w:type="dxa"/>
          </w:tcPr>
          <w:p w:rsidR="005C1F8A" w:rsidRPr="005C1F8A" w:rsidRDefault="005C1F8A" w:rsidP="005C1F8A">
            <w:pPr>
              <w:spacing w:after="20"/>
              <w:ind w:left="159" w:hanging="159"/>
              <w:jc w:val="left"/>
              <w:rPr>
                <w:szCs w:val="17"/>
              </w:rPr>
            </w:pPr>
            <w:r w:rsidRPr="005C1F8A">
              <w:rPr>
                <w:szCs w:val="17"/>
              </w:rPr>
              <w:lastRenderedPageBreak/>
              <w:t>9 Wigzell Street, Littlehampton SA 5250</w:t>
            </w:r>
          </w:p>
        </w:tc>
        <w:tc>
          <w:tcPr>
            <w:tcW w:w="4110" w:type="dxa"/>
          </w:tcPr>
          <w:p w:rsidR="005C1F8A" w:rsidRPr="005C1F8A" w:rsidRDefault="005C1F8A" w:rsidP="005C1F8A">
            <w:pPr>
              <w:spacing w:after="20"/>
              <w:ind w:left="272" w:hanging="159"/>
              <w:jc w:val="left"/>
              <w:rPr>
                <w:szCs w:val="17"/>
              </w:rPr>
            </w:pPr>
            <w:r w:rsidRPr="005C1F8A">
              <w:rPr>
                <w:szCs w:val="17"/>
              </w:rPr>
              <w:t>Allotment 36 Deposited Plan 1314 Hundred of Macclesfield</w:t>
            </w:r>
          </w:p>
        </w:tc>
        <w:tc>
          <w:tcPr>
            <w:tcW w:w="2130" w:type="dxa"/>
          </w:tcPr>
          <w:p w:rsidR="005C1F8A" w:rsidRPr="005C1F8A" w:rsidRDefault="005C1F8A" w:rsidP="005C1F8A">
            <w:pPr>
              <w:spacing w:after="20"/>
              <w:ind w:left="142"/>
              <w:jc w:val="left"/>
              <w:rPr>
                <w:szCs w:val="17"/>
              </w:rPr>
            </w:pPr>
            <w:r w:rsidRPr="005C1F8A">
              <w:rPr>
                <w:szCs w:val="17"/>
              </w:rPr>
              <w:t>CT5335/876</w:t>
            </w:r>
          </w:p>
        </w:tc>
      </w:tr>
      <w:tr w:rsidR="005C1F8A" w:rsidRPr="005C1F8A" w:rsidTr="00A354F7">
        <w:tc>
          <w:tcPr>
            <w:tcW w:w="3120" w:type="dxa"/>
          </w:tcPr>
          <w:p w:rsidR="005C1F8A" w:rsidRPr="005C1F8A" w:rsidRDefault="005C1F8A" w:rsidP="005C1F8A">
            <w:pPr>
              <w:spacing w:after="20"/>
              <w:ind w:left="159" w:hanging="159"/>
              <w:jc w:val="left"/>
              <w:rPr>
                <w:szCs w:val="17"/>
              </w:rPr>
            </w:pPr>
            <w:r w:rsidRPr="005C1F8A">
              <w:rPr>
                <w:szCs w:val="17"/>
              </w:rPr>
              <w:t>24 Barton Street, Blair Athol SA 5084</w:t>
            </w:r>
          </w:p>
        </w:tc>
        <w:tc>
          <w:tcPr>
            <w:tcW w:w="4110" w:type="dxa"/>
          </w:tcPr>
          <w:p w:rsidR="005C1F8A" w:rsidRPr="005C1F8A" w:rsidRDefault="005C1F8A" w:rsidP="005C1F8A">
            <w:pPr>
              <w:spacing w:after="20"/>
              <w:ind w:left="272" w:hanging="159"/>
              <w:jc w:val="left"/>
              <w:rPr>
                <w:szCs w:val="17"/>
              </w:rPr>
            </w:pPr>
            <w:r w:rsidRPr="005C1F8A">
              <w:rPr>
                <w:szCs w:val="17"/>
              </w:rPr>
              <w:t>Allotment 118 Deposited Plan 4335 Hundred of Yatala</w:t>
            </w:r>
          </w:p>
        </w:tc>
        <w:tc>
          <w:tcPr>
            <w:tcW w:w="2130" w:type="dxa"/>
          </w:tcPr>
          <w:p w:rsidR="005C1F8A" w:rsidRPr="005C1F8A" w:rsidRDefault="005C1F8A" w:rsidP="005C1F8A">
            <w:pPr>
              <w:spacing w:after="20"/>
              <w:ind w:left="142"/>
              <w:jc w:val="left"/>
              <w:rPr>
                <w:szCs w:val="17"/>
              </w:rPr>
            </w:pPr>
            <w:r w:rsidRPr="005C1F8A">
              <w:rPr>
                <w:szCs w:val="17"/>
              </w:rPr>
              <w:t>CT5708/279</w:t>
            </w:r>
          </w:p>
        </w:tc>
      </w:tr>
      <w:tr w:rsidR="005C1F8A" w:rsidRPr="005C1F8A" w:rsidTr="00A354F7">
        <w:tc>
          <w:tcPr>
            <w:tcW w:w="3120" w:type="dxa"/>
            <w:tcBorders>
              <w:bottom w:val="single" w:sz="4" w:space="0" w:color="auto"/>
            </w:tcBorders>
          </w:tcPr>
          <w:p w:rsidR="005C1F8A" w:rsidRPr="005C1F8A" w:rsidRDefault="005C1F8A" w:rsidP="005C1F8A">
            <w:pPr>
              <w:ind w:left="159" w:hanging="159"/>
              <w:jc w:val="left"/>
              <w:rPr>
                <w:szCs w:val="17"/>
              </w:rPr>
            </w:pPr>
            <w:r w:rsidRPr="005C1F8A">
              <w:rPr>
                <w:szCs w:val="17"/>
              </w:rPr>
              <w:t>Lot 351 Williams Road, Two Wells SA 5501</w:t>
            </w:r>
          </w:p>
        </w:tc>
        <w:tc>
          <w:tcPr>
            <w:tcW w:w="4110" w:type="dxa"/>
            <w:tcBorders>
              <w:bottom w:val="single" w:sz="4" w:space="0" w:color="auto"/>
            </w:tcBorders>
          </w:tcPr>
          <w:p w:rsidR="005C1F8A" w:rsidRPr="005C1F8A" w:rsidRDefault="005C1F8A" w:rsidP="005C1F8A">
            <w:pPr>
              <w:ind w:left="272" w:hanging="159"/>
              <w:jc w:val="left"/>
              <w:rPr>
                <w:szCs w:val="17"/>
              </w:rPr>
            </w:pPr>
            <w:r w:rsidRPr="005C1F8A">
              <w:rPr>
                <w:szCs w:val="17"/>
              </w:rPr>
              <w:t>Allotment 351 Filed Plan 174818 Hundred of Port Gawler</w:t>
            </w:r>
          </w:p>
        </w:tc>
        <w:tc>
          <w:tcPr>
            <w:tcW w:w="2130" w:type="dxa"/>
            <w:tcBorders>
              <w:bottom w:val="single" w:sz="4" w:space="0" w:color="auto"/>
            </w:tcBorders>
          </w:tcPr>
          <w:p w:rsidR="005C1F8A" w:rsidRPr="005C1F8A" w:rsidRDefault="005C1F8A" w:rsidP="005C1F8A">
            <w:pPr>
              <w:ind w:left="142"/>
              <w:jc w:val="left"/>
              <w:rPr>
                <w:szCs w:val="17"/>
              </w:rPr>
            </w:pPr>
            <w:r w:rsidRPr="005C1F8A">
              <w:rPr>
                <w:szCs w:val="17"/>
              </w:rPr>
              <w:t>CT3164/55, CT5810/342</w:t>
            </w:r>
          </w:p>
        </w:tc>
      </w:tr>
      <w:tr w:rsidR="005C1F8A" w:rsidRPr="005C1F8A" w:rsidTr="00A354F7">
        <w:tc>
          <w:tcPr>
            <w:tcW w:w="3120" w:type="dxa"/>
            <w:tcBorders>
              <w:top w:val="single" w:sz="4" w:space="0" w:color="auto"/>
            </w:tcBorders>
          </w:tcPr>
          <w:p w:rsidR="005C1F8A" w:rsidRPr="005C1F8A" w:rsidRDefault="005C1F8A" w:rsidP="005C1F8A">
            <w:pPr>
              <w:spacing w:after="0" w:line="80" w:lineRule="exact"/>
              <w:jc w:val="left"/>
              <w:rPr>
                <w:szCs w:val="17"/>
              </w:rPr>
            </w:pPr>
          </w:p>
        </w:tc>
        <w:tc>
          <w:tcPr>
            <w:tcW w:w="4110" w:type="dxa"/>
            <w:tcBorders>
              <w:top w:val="single" w:sz="4" w:space="0" w:color="auto"/>
            </w:tcBorders>
          </w:tcPr>
          <w:p w:rsidR="005C1F8A" w:rsidRPr="005C1F8A" w:rsidRDefault="005C1F8A" w:rsidP="005C1F8A">
            <w:pPr>
              <w:spacing w:after="0" w:line="80" w:lineRule="exact"/>
              <w:jc w:val="left"/>
              <w:rPr>
                <w:szCs w:val="17"/>
              </w:rPr>
            </w:pPr>
          </w:p>
        </w:tc>
        <w:tc>
          <w:tcPr>
            <w:tcW w:w="2130" w:type="dxa"/>
            <w:tcBorders>
              <w:top w:val="single" w:sz="4" w:space="0" w:color="auto"/>
            </w:tcBorders>
          </w:tcPr>
          <w:p w:rsidR="005C1F8A" w:rsidRPr="005C1F8A" w:rsidRDefault="005C1F8A" w:rsidP="005C1F8A">
            <w:pPr>
              <w:spacing w:after="0" w:line="80" w:lineRule="exact"/>
              <w:jc w:val="left"/>
              <w:rPr>
                <w:szCs w:val="17"/>
              </w:rPr>
            </w:pPr>
          </w:p>
        </w:tc>
      </w:tr>
    </w:tbl>
    <w:p w:rsidR="005C1F8A" w:rsidRPr="005C1F8A" w:rsidRDefault="005C1F8A" w:rsidP="005C1F8A">
      <w:pPr>
        <w:spacing w:after="0"/>
        <w:rPr>
          <w:rFonts w:eastAsia="Times New Roman"/>
          <w:szCs w:val="17"/>
        </w:rPr>
      </w:pPr>
      <w:r w:rsidRPr="005C1F8A">
        <w:rPr>
          <w:rFonts w:eastAsia="Times New Roman"/>
          <w:szCs w:val="17"/>
        </w:rPr>
        <w:t>Dated: 22 April 2021</w:t>
      </w:r>
    </w:p>
    <w:p w:rsidR="005C1F8A" w:rsidRPr="005C1F8A" w:rsidRDefault="005C1F8A" w:rsidP="005C1F8A">
      <w:pPr>
        <w:spacing w:after="0"/>
        <w:jc w:val="right"/>
        <w:rPr>
          <w:rFonts w:eastAsia="Times New Roman"/>
          <w:smallCaps/>
          <w:szCs w:val="20"/>
        </w:rPr>
      </w:pPr>
      <w:r w:rsidRPr="005C1F8A">
        <w:rPr>
          <w:rFonts w:eastAsia="Times New Roman"/>
          <w:smallCaps/>
          <w:szCs w:val="20"/>
        </w:rPr>
        <w:t>Craig Thompson</w:t>
      </w:r>
    </w:p>
    <w:p w:rsidR="005C1F8A" w:rsidRPr="005C1F8A" w:rsidRDefault="005C1F8A" w:rsidP="005C1F8A">
      <w:pPr>
        <w:spacing w:after="0"/>
        <w:jc w:val="right"/>
        <w:rPr>
          <w:rFonts w:eastAsia="Times New Roman"/>
          <w:szCs w:val="17"/>
        </w:rPr>
      </w:pPr>
      <w:r w:rsidRPr="005C1F8A">
        <w:rPr>
          <w:rFonts w:eastAsia="Times New Roman"/>
          <w:szCs w:val="17"/>
        </w:rPr>
        <w:t>Acting Housing Regulator And Registrar</w:t>
      </w:r>
    </w:p>
    <w:p w:rsidR="005C1F8A" w:rsidRPr="005C1F8A" w:rsidRDefault="005C1F8A" w:rsidP="005C1F8A">
      <w:pPr>
        <w:spacing w:after="0"/>
        <w:jc w:val="right"/>
        <w:rPr>
          <w:rFonts w:eastAsia="Times New Roman"/>
          <w:szCs w:val="17"/>
        </w:rPr>
      </w:pPr>
      <w:r w:rsidRPr="005C1F8A">
        <w:rPr>
          <w:rFonts w:eastAsia="Times New Roman"/>
          <w:szCs w:val="17"/>
        </w:rPr>
        <w:t>Housing Safety Authority, SAHA</w:t>
      </w:r>
    </w:p>
    <w:p w:rsidR="00DD575E" w:rsidRDefault="005C1F8A" w:rsidP="00FE5211">
      <w:pPr>
        <w:spacing w:after="0"/>
        <w:jc w:val="right"/>
        <w:rPr>
          <w:rFonts w:eastAsia="Times New Roman"/>
          <w:szCs w:val="17"/>
        </w:rPr>
      </w:pPr>
      <w:r w:rsidRPr="005C1F8A">
        <w:rPr>
          <w:rFonts w:eastAsia="Times New Roman"/>
          <w:szCs w:val="17"/>
        </w:rPr>
        <w:t>(Delegate of Minister for Human Services)</w:t>
      </w:r>
    </w:p>
    <w:p w:rsidR="00FE5211" w:rsidRDefault="00FE5211" w:rsidP="00FE5211">
      <w:pPr>
        <w:pBdr>
          <w:bottom w:val="single" w:sz="4" w:space="1" w:color="auto"/>
        </w:pBdr>
        <w:spacing w:after="0" w:line="52" w:lineRule="exact"/>
        <w:jc w:val="center"/>
        <w:rPr>
          <w:lang w:val="en-US"/>
        </w:rPr>
      </w:pPr>
    </w:p>
    <w:p w:rsidR="00FE5211" w:rsidRDefault="00FE5211" w:rsidP="00FE5211">
      <w:pPr>
        <w:pBdr>
          <w:top w:val="single" w:sz="4" w:space="1" w:color="auto"/>
        </w:pBdr>
        <w:spacing w:before="34" w:after="0" w:line="14" w:lineRule="exact"/>
        <w:jc w:val="center"/>
        <w:rPr>
          <w:lang w:val="en-US"/>
        </w:rPr>
      </w:pPr>
    </w:p>
    <w:p w:rsidR="00FE5211" w:rsidRDefault="00FE5211" w:rsidP="00FE521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769A3" w:rsidRPr="00E769A3" w:rsidRDefault="00E769A3" w:rsidP="00051940">
      <w:pPr>
        <w:pStyle w:val="Heading2"/>
      </w:pPr>
      <w:bookmarkStart w:id="37" w:name="_Toc69916969"/>
      <w:r w:rsidRPr="00E769A3">
        <w:t>Land Acquisition Act 1969</w:t>
      </w:r>
      <w:bookmarkEnd w:id="37"/>
    </w:p>
    <w:p w:rsidR="00E769A3" w:rsidRPr="00E769A3" w:rsidRDefault="00E769A3" w:rsidP="00E769A3">
      <w:pPr>
        <w:jc w:val="center"/>
        <w:rPr>
          <w:smallCaps/>
          <w:szCs w:val="17"/>
        </w:rPr>
      </w:pPr>
      <w:r w:rsidRPr="00E769A3">
        <w:rPr>
          <w:smallCaps/>
          <w:szCs w:val="17"/>
        </w:rPr>
        <w:t>Section 16</w:t>
      </w:r>
    </w:p>
    <w:p w:rsidR="00E769A3" w:rsidRPr="00E769A3" w:rsidRDefault="00E769A3" w:rsidP="00E769A3">
      <w:pPr>
        <w:jc w:val="center"/>
        <w:rPr>
          <w:i/>
          <w:szCs w:val="17"/>
        </w:rPr>
      </w:pPr>
      <w:r w:rsidRPr="00E769A3">
        <w:rPr>
          <w:i/>
          <w:szCs w:val="17"/>
        </w:rPr>
        <w:t>Form 5—Notice of Acquisition</w:t>
      </w:r>
    </w:p>
    <w:p w:rsidR="00E769A3" w:rsidRPr="00E769A3" w:rsidRDefault="00E769A3" w:rsidP="00E769A3">
      <w:pPr>
        <w:ind w:left="284" w:hanging="284"/>
        <w:rPr>
          <w:rFonts w:eastAsia="Times New Roman"/>
          <w:b/>
          <w:szCs w:val="17"/>
        </w:rPr>
      </w:pPr>
      <w:r w:rsidRPr="00E769A3">
        <w:rPr>
          <w:rFonts w:eastAsia="Times New Roman"/>
          <w:b/>
          <w:szCs w:val="17"/>
        </w:rPr>
        <w:t>1.</w:t>
      </w:r>
      <w:r w:rsidRPr="00E769A3">
        <w:rPr>
          <w:rFonts w:eastAsia="Times New Roman"/>
          <w:b/>
          <w:szCs w:val="17"/>
        </w:rPr>
        <w:tab/>
        <w:t>Notice of acquisition</w:t>
      </w:r>
    </w:p>
    <w:p w:rsidR="00E769A3" w:rsidRPr="00E769A3" w:rsidRDefault="00E769A3" w:rsidP="00E769A3">
      <w:pPr>
        <w:ind w:left="284"/>
        <w:rPr>
          <w:rFonts w:eastAsia="Times New Roman"/>
          <w:szCs w:val="17"/>
        </w:rPr>
      </w:pPr>
      <w:r w:rsidRPr="00E769A3">
        <w:rPr>
          <w:rFonts w:eastAsia="Times New Roman"/>
          <w:szCs w:val="17"/>
        </w:rPr>
        <w:t>The Commissioner of Highways (the Authority), of 50 Flinders Street, Adelaide SA 5000, acquires the following interests in the following land:</w:t>
      </w:r>
    </w:p>
    <w:p w:rsidR="00E769A3" w:rsidRPr="00E769A3" w:rsidRDefault="00E769A3" w:rsidP="00E769A3">
      <w:pPr>
        <w:ind w:left="426"/>
        <w:rPr>
          <w:rFonts w:eastAsia="Times New Roman"/>
          <w:szCs w:val="17"/>
        </w:rPr>
      </w:pPr>
      <w:r w:rsidRPr="00E769A3">
        <w:rPr>
          <w:rFonts w:eastAsia="Times New Roman"/>
          <w:szCs w:val="17"/>
        </w:rPr>
        <w:t>Comprising an estate in fee simple in that piece of land being portion of Allotment 1 in Deposited Plan No 71576 comprised in Certificate of Title Volume 6146 Folio 654, and being the whole of the land identified as Allotment “15” in the plan “D126637” lodged in the Lands Titles Office subject only to the Encumbrance 10507061.</w:t>
      </w:r>
    </w:p>
    <w:p w:rsidR="00E769A3" w:rsidRPr="00E769A3" w:rsidRDefault="00E769A3" w:rsidP="00E769A3">
      <w:pPr>
        <w:ind w:left="284"/>
        <w:rPr>
          <w:rFonts w:eastAsia="Times New Roman"/>
          <w:szCs w:val="17"/>
        </w:rPr>
      </w:pPr>
      <w:r w:rsidRPr="00E769A3">
        <w:rPr>
          <w:rFonts w:eastAsia="Times New Roman"/>
          <w:szCs w:val="17"/>
        </w:rPr>
        <w:t xml:space="preserve">This notice is given under Section 16 of the </w:t>
      </w:r>
      <w:r w:rsidRPr="00E769A3">
        <w:rPr>
          <w:rFonts w:eastAsia="Times New Roman"/>
          <w:i/>
          <w:szCs w:val="17"/>
        </w:rPr>
        <w:t>Land Acquisition Act 1969</w:t>
      </w:r>
      <w:r w:rsidRPr="00E769A3">
        <w:rPr>
          <w:rFonts w:eastAsia="Times New Roman"/>
          <w:szCs w:val="17"/>
        </w:rPr>
        <w:t>.</w:t>
      </w:r>
    </w:p>
    <w:p w:rsidR="00E769A3" w:rsidRPr="00E769A3" w:rsidRDefault="00E769A3" w:rsidP="00E769A3">
      <w:pPr>
        <w:ind w:left="284" w:hanging="284"/>
        <w:rPr>
          <w:rFonts w:eastAsia="Times New Roman"/>
          <w:b/>
          <w:szCs w:val="17"/>
        </w:rPr>
      </w:pPr>
      <w:r w:rsidRPr="00E769A3">
        <w:rPr>
          <w:rFonts w:eastAsia="Times New Roman"/>
          <w:b/>
          <w:szCs w:val="17"/>
        </w:rPr>
        <w:t>2.</w:t>
      </w:r>
      <w:r w:rsidRPr="00E769A3">
        <w:rPr>
          <w:rFonts w:eastAsia="Times New Roman"/>
          <w:b/>
          <w:szCs w:val="17"/>
        </w:rPr>
        <w:tab/>
        <w:t>Compensation</w:t>
      </w:r>
    </w:p>
    <w:p w:rsidR="00E769A3" w:rsidRPr="00E769A3" w:rsidRDefault="00E769A3" w:rsidP="00E769A3">
      <w:pPr>
        <w:ind w:left="284"/>
        <w:rPr>
          <w:rFonts w:eastAsia="Times New Roman"/>
          <w:szCs w:val="17"/>
        </w:rPr>
      </w:pPr>
      <w:r w:rsidRPr="00E769A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769A3" w:rsidRPr="00E769A3" w:rsidRDefault="00E769A3" w:rsidP="00E769A3">
      <w:pPr>
        <w:ind w:left="284" w:hanging="284"/>
        <w:rPr>
          <w:rFonts w:eastAsia="Times New Roman"/>
          <w:b/>
          <w:szCs w:val="17"/>
        </w:rPr>
      </w:pPr>
      <w:r w:rsidRPr="00E769A3">
        <w:rPr>
          <w:rFonts w:eastAsia="Times New Roman"/>
          <w:b/>
          <w:szCs w:val="17"/>
        </w:rPr>
        <w:t>2A.</w:t>
      </w:r>
      <w:r w:rsidRPr="00E769A3">
        <w:rPr>
          <w:rFonts w:eastAsia="Times New Roman"/>
          <w:b/>
          <w:szCs w:val="17"/>
        </w:rPr>
        <w:tab/>
        <w:t>Payment of professional costs relating to acquisition (Section 26B)</w:t>
      </w:r>
    </w:p>
    <w:p w:rsidR="00E769A3" w:rsidRPr="00E769A3" w:rsidRDefault="00E769A3" w:rsidP="00E769A3">
      <w:pPr>
        <w:ind w:left="284"/>
        <w:rPr>
          <w:rFonts w:eastAsia="Times New Roman"/>
          <w:szCs w:val="17"/>
        </w:rPr>
      </w:pPr>
      <w:r w:rsidRPr="00E769A3">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E769A3" w:rsidRPr="00E769A3" w:rsidRDefault="00E769A3" w:rsidP="00E769A3">
      <w:pPr>
        <w:ind w:left="284"/>
        <w:rPr>
          <w:rFonts w:eastAsia="Times New Roman"/>
          <w:szCs w:val="17"/>
        </w:rPr>
      </w:pPr>
      <w:r w:rsidRPr="00E769A3">
        <w:rPr>
          <w:rFonts w:eastAsia="Times New Roman"/>
          <w:szCs w:val="17"/>
        </w:rPr>
        <w:t xml:space="preserve">Professional costs include legal costs, valuation costs and any other costs prescribed by the </w:t>
      </w:r>
      <w:r w:rsidRPr="00E769A3">
        <w:rPr>
          <w:rFonts w:eastAsia="Times New Roman"/>
          <w:i/>
          <w:szCs w:val="17"/>
        </w:rPr>
        <w:t>Land Acquisition Regulations 2019</w:t>
      </w:r>
      <w:r w:rsidRPr="00E769A3">
        <w:rPr>
          <w:rFonts w:eastAsia="Times New Roman"/>
          <w:szCs w:val="17"/>
        </w:rPr>
        <w:t>.</w:t>
      </w:r>
    </w:p>
    <w:p w:rsidR="00E769A3" w:rsidRPr="00E769A3" w:rsidRDefault="00E769A3" w:rsidP="00E769A3">
      <w:pPr>
        <w:ind w:left="284" w:hanging="284"/>
        <w:rPr>
          <w:rFonts w:eastAsia="Times New Roman"/>
          <w:b/>
          <w:szCs w:val="17"/>
        </w:rPr>
      </w:pPr>
      <w:r w:rsidRPr="00E769A3">
        <w:rPr>
          <w:rFonts w:eastAsia="Times New Roman"/>
          <w:b/>
          <w:szCs w:val="17"/>
        </w:rPr>
        <w:t>3.</w:t>
      </w:r>
      <w:r w:rsidRPr="00E769A3">
        <w:rPr>
          <w:rFonts w:eastAsia="Times New Roman"/>
          <w:b/>
          <w:szCs w:val="17"/>
        </w:rPr>
        <w:tab/>
        <w:t>Inquiries</w:t>
      </w:r>
    </w:p>
    <w:p w:rsidR="00E769A3" w:rsidRPr="00E769A3" w:rsidRDefault="00E769A3" w:rsidP="00E769A3">
      <w:pPr>
        <w:ind w:left="284"/>
        <w:rPr>
          <w:rFonts w:eastAsia="Times New Roman"/>
          <w:szCs w:val="17"/>
        </w:rPr>
      </w:pPr>
      <w:r w:rsidRPr="00E769A3">
        <w:rPr>
          <w:rFonts w:eastAsia="Times New Roman"/>
          <w:szCs w:val="17"/>
        </w:rPr>
        <w:t>Inquiries should be directed to:</w:t>
      </w:r>
    </w:p>
    <w:p w:rsidR="00E769A3" w:rsidRPr="00E769A3" w:rsidRDefault="00E769A3" w:rsidP="00E769A3">
      <w:pPr>
        <w:spacing w:after="0"/>
        <w:ind w:left="425"/>
        <w:rPr>
          <w:rFonts w:eastAsia="Times New Roman"/>
          <w:szCs w:val="17"/>
        </w:rPr>
      </w:pPr>
      <w:r w:rsidRPr="00E769A3">
        <w:rPr>
          <w:rFonts w:eastAsia="Times New Roman"/>
          <w:szCs w:val="17"/>
        </w:rPr>
        <w:t>Philip Cheffirs</w:t>
      </w:r>
    </w:p>
    <w:p w:rsidR="00E769A3" w:rsidRPr="00E769A3" w:rsidRDefault="00E769A3" w:rsidP="00E769A3">
      <w:pPr>
        <w:spacing w:after="0"/>
        <w:ind w:left="425"/>
        <w:rPr>
          <w:rFonts w:eastAsia="Times New Roman"/>
          <w:szCs w:val="17"/>
        </w:rPr>
      </w:pPr>
      <w:r w:rsidRPr="00E769A3">
        <w:rPr>
          <w:rFonts w:eastAsia="Times New Roman"/>
          <w:szCs w:val="17"/>
        </w:rPr>
        <w:t>GPO Box 1533</w:t>
      </w:r>
    </w:p>
    <w:p w:rsidR="00E769A3" w:rsidRPr="00E769A3" w:rsidRDefault="00E769A3" w:rsidP="00E769A3">
      <w:pPr>
        <w:spacing w:after="0"/>
        <w:ind w:left="425"/>
        <w:rPr>
          <w:rFonts w:eastAsia="Times New Roman"/>
          <w:szCs w:val="17"/>
        </w:rPr>
      </w:pPr>
      <w:r w:rsidRPr="00E769A3">
        <w:rPr>
          <w:rFonts w:eastAsia="Times New Roman"/>
          <w:szCs w:val="17"/>
        </w:rPr>
        <w:t>Adelaide SA 5001</w:t>
      </w:r>
    </w:p>
    <w:p w:rsidR="00E769A3" w:rsidRPr="00E769A3" w:rsidRDefault="00E769A3" w:rsidP="00E769A3">
      <w:pPr>
        <w:ind w:left="426"/>
        <w:rPr>
          <w:rFonts w:eastAsia="Times New Roman"/>
          <w:szCs w:val="17"/>
        </w:rPr>
      </w:pPr>
      <w:r w:rsidRPr="00E769A3">
        <w:rPr>
          <w:rFonts w:eastAsia="Times New Roman"/>
          <w:szCs w:val="17"/>
        </w:rPr>
        <w:t>Telephone: (08) 8343 2575</w:t>
      </w:r>
    </w:p>
    <w:p w:rsidR="00E769A3" w:rsidRPr="00E769A3" w:rsidRDefault="00E769A3" w:rsidP="00E769A3">
      <w:pPr>
        <w:rPr>
          <w:rFonts w:eastAsia="Times New Roman"/>
          <w:szCs w:val="17"/>
        </w:rPr>
      </w:pPr>
      <w:r w:rsidRPr="00E769A3">
        <w:rPr>
          <w:rFonts w:eastAsia="Times New Roman"/>
          <w:szCs w:val="17"/>
        </w:rPr>
        <w:t>Dated: 20 April 2021</w:t>
      </w:r>
    </w:p>
    <w:p w:rsidR="00E769A3" w:rsidRPr="00E769A3" w:rsidRDefault="00E769A3" w:rsidP="00E769A3">
      <w:pPr>
        <w:rPr>
          <w:rFonts w:eastAsia="Times New Roman"/>
          <w:szCs w:val="17"/>
        </w:rPr>
      </w:pPr>
      <w:r w:rsidRPr="00E769A3">
        <w:rPr>
          <w:rFonts w:eastAsia="Times New Roman"/>
          <w:szCs w:val="17"/>
        </w:rPr>
        <w:t>The Common Seal of the COMMISSIONER OF HIGHWAYS was hereto affixed by authority of the Commissioner in the presence of:</w:t>
      </w:r>
    </w:p>
    <w:p w:rsidR="00E769A3" w:rsidRPr="00E769A3" w:rsidRDefault="00E769A3" w:rsidP="00E769A3">
      <w:pPr>
        <w:spacing w:after="0"/>
        <w:jc w:val="right"/>
        <w:rPr>
          <w:rFonts w:eastAsia="Times New Roman"/>
          <w:smallCaps/>
          <w:szCs w:val="20"/>
        </w:rPr>
      </w:pPr>
      <w:r w:rsidRPr="00E769A3">
        <w:rPr>
          <w:rFonts w:eastAsia="Times New Roman"/>
          <w:smallCaps/>
          <w:szCs w:val="20"/>
        </w:rPr>
        <w:t>Rocco Caruso</w:t>
      </w:r>
    </w:p>
    <w:p w:rsidR="00E769A3" w:rsidRPr="00E769A3" w:rsidRDefault="00E769A3" w:rsidP="00E769A3">
      <w:pPr>
        <w:spacing w:after="0"/>
        <w:jc w:val="right"/>
        <w:rPr>
          <w:rFonts w:eastAsia="Times New Roman"/>
          <w:szCs w:val="17"/>
        </w:rPr>
      </w:pPr>
      <w:r w:rsidRPr="00E769A3">
        <w:rPr>
          <w:rFonts w:eastAsia="Times New Roman"/>
          <w:szCs w:val="17"/>
        </w:rPr>
        <w:t>Manager, Property Acquisition</w:t>
      </w:r>
    </w:p>
    <w:p w:rsidR="00E769A3" w:rsidRPr="00E769A3" w:rsidRDefault="00E769A3" w:rsidP="00E769A3">
      <w:pPr>
        <w:spacing w:after="0"/>
        <w:jc w:val="right"/>
        <w:rPr>
          <w:rFonts w:eastAsia="Times New Roman"/>
          <w:szCs w:val="17"/>
        </w:rPr>
      </w:pPr>
      <w:r w:rsidRPr="00E769A3">
        <w:rPr>
          <w:rFonts w:eastAsia="Times New Roman"/>
          <w:szCs w:val="17"/>
        </w:rPr>
        <w:t>(Authorised Officer)</w:t>
      </w:r>
    </w:p>
    <w:p w:rsidR="00E769A3" w:rsidRPr="00E769A3" w:rsidRDefault="00E769A3" w:rsidP="00E769A3">
      <w:pPr>
        <w:spacing w:after="0"/>
        <w:jc w:val="right"/>
        <w:rPr>
          <w:rFonts w:eastAsia="Times New Roman"/>
          <w:szCs w:val="17"/>
        </w:rPr>
      </w:pPr>
      <w:r w:rsidRPr="00E769A3">
        <w:rPr>
          <w:rFonts w:eastAsia="Times New Roman"/>
          <w:szCs w:val="17"/>
        </w:rPr>
        <w:t>Department for Infrastructure and Transport</w:t>
      </w:r>
    </w:p>
    <w:p w:rsidR="00E769A3" w:rsidRPr="00E769A3" w:rsidRDefault="00E769A3" w:rsidP="00E769A3">
      <w:pPr>
        <w:spacing w:after="0"/>
        <w:rPr>
          <w:rFonts w:eastAsia="Times New Roman"/>
          <w:szCs w:val="17"/>
        </w:rPr>
      </w:pPr>
      <w:r w:rsidRPr="00E769A3">
        <w:rPr>
          <w:rFonts w:eastAsia="Times New Roman"/>
          <w:szCs w:val="17"/>
        </w:rPr>
        <w:t>DIT 2020/09321/01</w:t>
      </w:r>
    </w:p>
    <w:p w:rsidR="00E769A3" w:rsidRPr="00E769A3" w:rsidRDefault="00E769A3" w:rsidP="00E769A3">
      <w:pPr>
        <w:pBdr>
          <w:top w:val="single" w:sz="4" w:space="1" w:color="auto"/>
        </w:pBdr>
        <w:spacing w:before="100" w:after="0" w:line="14" w:lineRule="exact"/>
        <w:jc w:val="center"/>
        <w:rPr>
          <w:rFonts w:eastAsia="Times New Roman"/>
          <w:szCs w:val="17"/>
        </w:rPr>
      </w:pPr>
    </w:p>
    <w:p w:rsidR="00E769A3" w:rsidRPr="00E769A3" w:rsidRDefault="00E769A3" w:rsidP="00E769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769A3" w:rsidRPr="00E769A3" w:rsidRDefault="00E769A3" w:rsidP="00E769A3">
      <w:pPr>
        <w:jc w:val="center"/>
        <w:rPr>
          <w:caps/>
          <w:szCs w:val="17"/>
        </w:rPr>
      </w:pPr>
      <w:r w:rsidRPr="00E769A3">
        <w:rPr>
          <w:caps/>
          <w:szCs w:val="17"/>
        </w:rPr>
        <w:t>Land Acquisition Act 1969</w:t>
      </w:r>
    </w:p>
    <w:p w:rsidR="00E769A3" w:rsidRPr="00E769A3" w:rsidRDefault="00E769A3" w:rsidP="00E769A3">
      <w:pPr>
        <w:jc w:val="center"/>
        <w:rPr>
          <w:smallCaps/>
          <w:szCs w:val="17"/>
        </w:rPr>
      </w:pPr>
      <w:r w:rsidRPr="00E769A3">
        <w:rPr>
          <w:smallCaps/>
          <w:szCs w:val="17"/>
        </w:rPr>
        <w:t>Section 16</w:t>
      </w:r>
    </w:p>
    <w:p w:rsidR="00E769A3" w:rsidRPr="00E769A3" w:rsidRDefault="00E769A3" w:rsidP="00E769A3">
      <w:pPr>
        <w:jc w:val="center"/>
        <w:rPr>
          <w:i/>
          <w:szCs w:val="17"/>
        </w:rPr>
      </w:pPr>
      <w:r w:rsidRPr="00E769A3">
        <w:rPr>
          <w:i/>
          <w:szCs w:val="17"/>
        </w:rPr>
        <w:t>Form 5—Notice of Acquisition</w:t>
      </w:r>
    </w:p>
    <w:p w:rsidR="00E769A3" w:rsidRPr="00E769A3" w:rsidRDefault="00E769A3" w:rsidP="00E769A3">
      <w:pPr>
        <w:ind w:left="284" w:hanging="284"/>
        <w:rPr>
          <w:rFonts w:eastAsia="Times New Roman"/>
          <w:b/>
          <w:szCs w:val="17"/>
        </w:rPr>
      </w:pPr>
      <w:r w:rsidRPr="00E769A3">
        <w:rPr>
          <w:rFonts w:eastAsia="Times New Roman"/>
          <w:b/>
          <w:szCs w:val="17"/>
        </w:rPr>
        <w:t>1.</w:t>
      </w:r>
      <w:r w:rsidRPr="00E769A3">
        <w:rPr>
          <w:rFonts w:eastAsia="Times New Roman"/>
          <w:b/>
          <w:szCs w:val="17"/>
        </w:rPr>
        <w:tab/>
        <w:t>Notice of acquisition</w:t>
      </w:r>
    </w:p>
    <w:p w:rsidR="00E769A3" w:rsidRPr="00E769A3" w:rsidRDefault="00E769A3" w:rsidP="00E769A3">
      <w:pPr>
        <w:ind w:left="284"/>
        <w:rPr>
          <w:rFonts w:eastAsia="Times New Roman"/>
          <w:szCs w:val="17"/>
        </w:rPr>
      </w:pPr>
      <w:r w:rsidRPr="00E769A3">
        <w:rPr>
          <w:rFonts w:eastAsia="Times New Roman"/>
          <w:szCs w:val="17"/>
        </w:rPr>
        <w:t>The Commissioner of Highways (the Authority), of 50 Flinders Street, Adelaide SA 5000, acquires the following interests in the following land:</w:t>
      </w:r>
    </w:p>
    <w:p w:rsidR="00E769A3" w:rsidRPr="00E769A3" w:rsidRDefault="00E769A3" w:rsidP="00E769A3">
      <w:pPr>
        <w:ind w:left="426"/>
        <w:rPr>
          <w:rFonts w:eastAsia="Times New Roman"/>
          <w:spacing w:val="-2"/>
          <w:szCs w:val="17"/>
        </w:rPr>
      </w:pPr>
      <w:r w:rsidRPr="00E769A3">
        <w:rPr>
          <w:rFonts w:eastAsia="Times New Roman"/>
          <w:spacing w:val="-2"/>
          <w:szCs w:val="17"/>
        </w:rPr>
        <w:t>Comprising the entirety of the right, title, estate or interest of the Unregistered Lessee in that piece of land comprising an unencumbered estate in fee simple being portion of Allotment 12 in Deposited Plan No 94045 comprised in Certificate of Title Volume 6147 Folio 415, and being the whole of the land identified as “13 Quinliven Road” in the plan D126638 lodged at the Lands Titles Office.</w:t>
      </w:r>
    </w:p>
    <w:p w:rsidR="00E769A3" w:rsidRPr="00E769A3" w:rsidRDefault="00E769A3" w:rsidP="00E769A3">
      <w:pPr>
        <w:ind w:left="284"/>
        <w:rPr>
          <w:rFonts w:eastAsia="Times New Roman"/>
          <w:szCs w:val="17"/>
        </w:rPr>
      </w:pPr>
      <w:r w:rsidRPr="00E769A3">
        <w:rPr>
          <w:rFonts w:eastAsia="Times New Roman"/>
          <w:szCs w:val="17"/>
        </w:rPr>
        <w:t xml:space="preserve">This notice is given under Section 16 of the </w:t>
      </w:r>
      <w:r w:rsidRPr="00E769A3">
        <w:rPr>
          <w:rFonts w:eastAsia="Times New Roman"/>
          <w:i/>
          <w:szCs w:val="17"/>
        </w:rPr>
        <w:t>Land Acquisition Act 1969</w:t>
      </w:r>
      <w:r w:rsidRPr="00E769A3">
        <w:rPr>
          <w:rFonts w:eastAsia="Times New Roman"/>
          <w:szCs w:val="17"/>
        </w:rPr>
        <w:t>.</w:t>
      </w:r>
    </w:p>
    <w:p w:rsidR="00E769A3" w:rsidRPr="00E769A3" w:rsidRDefault="00E769A3" w:rsidP="00E769A3">
      <w:pPr>
        <w:ind w:left="284" w:hanging="284"/>
        <w:rPr>
          <w:rFonts w:eastAsia="Times New Roman"/>
          <w:b/>
          <w:szCs w:val="17"/>
        </w:rPr>
      </w:pPr>
      <w:r w:rsidRPr="00E769A3">
        <w:rPr>
          <w:rFonts w:eastAsia="Times New Roman"/>
          <w:b/>
          <w:szCs w:val="17"/>
        </w:rPr>
        <w:t>2.</w:t>
      </w:r>
      <w:r w:rsidRPr="00E769A3">
        <w:rPr>
          <w:rFonts w:eastAsia="Times New Roman"/>
          <w:b/>
          <w:szCs w:val="17"/>
        </w:rPr>
        <w:tab/>
        <w:t>Compensation</w:t>
      </w:r>
    </w:p>
    <w:p w:rsidR="00E769A3" w:rsidRPr="00E769A3" w:rsidRDefault="00E769A3" w:rsidP="00E769A3">
      <w:pPr>
        <w:ind w:left="284"/>
        <w:rPr>
          <w:rFonts w:eastAsia="Times New Roman"/>
          <w:szCs w:val="17"/>
        </w:rPr>
      </w:pPr>
      <w:r w:rsidRPr="00E769A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769A3" w:rsidRPr="00E769A3" w:rsidRDefault="00E769A3" w:rsidP="00E769A3">
      <w:pPr>
        <w:ind w:left="284" w:hanging="284"/>
        <w:rPr>
          <w:rFonts w:eastAsia="Times New Roman"/>
          <w:b/>
          <w:szCs w:val="17"/>
        </w:rPr>
      </w:pPr>
      <w:r w:rsidRPr="00E769A3">
        <w:rPr>
          <w:rFonts w:eastAsia="Times New Roman"/>
          <w:b/>
          <w:szCs w:val="17"/>
        </w:rPr>
        <w:t>2A.</w:t>
      </w:r>
      <w:r w:rsidRPr="00E769A3">
        <w:rPr>
          <w:rFonts w:eastAsia="Times New Roman"/>
          <w:b/>
          <w:szCs w:val="17"/>
        </w:rPr>
        <w:tab/>
        <w:t>Payment of professional costs relating to acquisition (Section 26B)</w:t>
      </w:r>
    </w:p>
    <w:p w:rsidR="00E769A3" w:rsidRPr="00E769A3" w:rsidRDefault="00E769A3" w:rsidP="00E769A3">
      <w:pPr>
        <w:ind w:left="284"/>
        <w:rPr>
          <w:rFonts w:eastAsia="Times New Roman"/>
          <w:szCs w:val="17"/>
        </w:rPr>
      </w:pPr>
      <w:r w:rsidRPr="00E769A3">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E769A3" w:rsidRPr="00E769A3" w:rsidRDefault="00E769A3" w:rsidP="00E769A3">
      <w:pPr>
        <w:ind w:left="284"/>
        <w:rPr>
          <w:rFonts w:eastAsia="Times New Roman"/>
          <w:szCs w:val="17"/>
        </w:rPr>
      </w:pPr>
      <w:r w:rsidRPr="00E769A3">
        <w:rPr>
          <w:rFonts w:eastAsia="Times New Roman"/>
          <w:szCs w:val="17"/>
        </w:rPr>
        <w:t xml:space="preserve">Professional costs include legal costs, valuation costs and any other costs prescribed by the </w:t>
      </w:r>
      <w:r w:rsidRPr="00E769A3">
        <w:rPr>
          <w:rFonts w:eastAsia="Times New Roman"/>
          <w:i/>
          <w:szCs w:val="17"/>
        </w:rPr>
        <w:t>Land Acquisition Regulations 2019</w:t>
      </w:r>
      <w:r w:rsidRPr="00E769A3">
        <w:rPr>
          <w:rFonts w:eastAsia="Times New Roman"/>
          <w:szCs w:val="17"/>
        </w:rPr>
        <w:t>.</w:t>
      </w:r>
    </w:p>
    <w:p w:rsidR="00383FA7" w:rsidRDefault="00383FA7">
      <w:pPr>
        <w:spacing w:after="0" w:line="240" w:lineRule="auto"/>
        <w:jc w:val="left"/>
        <w:rPr>
          <w:rFonts w:eastAsia="Times New Roman"/>
          <w:b/>
          <w:szCs w:val="17"/>
        </w:rPr>
      </w:pPr>
      <w:r>
        <w:rPr>
          <w:rFonts w:eastAsia="Times New Roman"/>
          <w:b/>
          <w:szCs w:val="17"/>
        </w:rPr>
        <w:br w:type="page"/>
      </w:r>
    </w:p>
    <w:p w:rsidR="00E769A3" w:rsidRPr="00E769A3" w:rsidRDefault="00E769A3" w:rsidP="00E769A3">
      <w:pPr>
        <w:ind w:left="284" w:hanging="284"/>
        <w:rPr>
          <w:rFonts w:eastAsia="Times New Roman"/>
          <w:b/>
          <w:szCs w:val="17"/>
        </w:rPr>
      </w:pPr>
      <w:r w:rsidRPr="00E769A3">
        <w:rPr>
          <w:rFonts w:eastAsia="Times New Roman"/>
          <w:b/>
          <w:szCs w:val="17"/>
        </w:rPr>
        <w:lastRenderedPageBreak/>
        <w:t>3.</w:t>
      </w:r>
      <w:r w:rsidRPr="00E769A3">
        <w:rPr>
          <w:rFonts w:eastAsia="Times New Roman"/>
          <w:b/>
          <w:szCs w:val="17"/>
        </w:rPr>
        <w:tab/>
        <w:t>Inquiries</w:t>
      </w:r>
    </w:p>
    <w:p w:rsidR="00E769A3" w:rsidRPr="00E769A3" w:rsidRDefault="00E769A3" w:rsidP="00E769A3">
      <w:pPr>
        <w:ind w:left="284"/>
        <w:rPr>
          <w:rFonts w:eastAsia="Times New Roman"/>
          <w:szCs w:val="17"/>
        </w:rPr>
      </w:pPr>
      <w:r w:rsidRPr="00E769A3">
        <w:rPr>
          <w:rFonts w:eastAsia="Times New Roman"/>
          <w:szCs w:val="17"/>
        </w:rPr>
        <w:t>Inquiries should be directed to:</w:t>
      </w:r>
    </w:p>
    <w:p w:rsidR="00E769A3" w:rsidRPr="00E769A3" w:rsidRDefault="00E769A3" w:rsidP="00E769A3">
      <w:pPr>
        <w:spacing w:after="0"/>
        <w:ind w:left="425"/>
        <w:rPr>
          <w:rFonts w:eastAsia="Times New Roman"/>
          <w:szCs w:val="17"/>
        </w:rPr>
      </w:pPr>
      <w:r w:rsidRPr="00E769A3">
        <w:rPr>
          <w:rFonts w:eastAsia="Times New Roman"/>
          <w:szCs w:val="17"/>
        </w:rPr>
        <w:t>Philip Cheffirs</w:t>
      </w:r>
    </w:p>
    <w:p w:rsidR="00E769A3" w:rsidRPr="00E769A3" w:rsidRDefault="00E769A3" w:rsidP="00E769A3">
      <w:pPr>
        <w:spacing w:after="0"/>
        <w:ind w:left="425"/>
        <w:rPr>
          <w:rFonts w:eastAsia="Times New Roman"/>
          <w:szCs w:val="17"/>
        </w:rPr>
      </w:pPr>
      <w:r w:rsidRPr="00E769A3">
        <w:rPr>
          <w:rFonts w:eastAsia="Times New Roman"/>
          <w:szCs w:val="17"/>
        </w:rPr>
        <w:t>GPO Box 1533</w:t>
      </w:r>
    </w:p>
    <w:p w:rsidR="00E769A3" w:rsidRPr="00E769A3" w:rsidRDefault="00E769A3" w:rsidP="00E769A3">
      <w:pPr>
        <w:spacing w:after="0"/>
        <w:ind w:left="425"/>
        <w:rPr>
          <w:rFonts w:eastAsia="Times New Roman"/>
          <w:szCs w:val="17"/>
        </w:rPr>
      </w:pPr>
      <w:r w:rsidRPr="00E769A3">
        <w:rPr>
          <w:rFonts w:eastAsia="Times New Roman"/>
          <w:szCs w:val="17"/>
        </w:rPr>
        <w:t>Adelaide SA 5001</w:t>
      </w:r>
    </w:p>
    <w:p w:rsidR="00E769A3" w:rsidRPr="00E769A3" w:rsidRDefault="00E769A3" w:rsidP="00E769A3">
      <w:pPr>
        <w:ind w:left="426"/>
        <w:rPr>
          <w:rFonts w:eastAsia="Times New Roman"/>
          <w:szCs w:val="17"/>
        </w:rPr>
      </w:pPr>
      <w:r w:rsidRPr="00E769A3">
        <w:rPr>
          <w:rFonts w:eastAsia="Times New Roman"/>
          <w:szCs w:val="17"/>
        </w:rPr>
        <w:t>Telephone: (08) 8343 2575</w:t>
      </w:r>
    </w:p>
    <w:p w:rsidR="00E769A3" w:rsidRPr="00E769A3" w:rsidRDefault="00E769A3" w:rsidP="00E769A3">
      <w:pPr>
        <w:rPr>
          <w:rFonts w:eastAsia="Times New Roman"/>
          <w:szCs w:val="17"/>
        </w:rPr>
      </w:pPr>
      <w:r w:rsidRPr="00E769A3">
        <w:rPr>
          <w:rFonts w:eastAsia="Times New Roman"/>
          <w:szCs w:val="17"/>
        </w:rPr>
        <w:t>Dated: 20 April 2021</w:t>
      </w:r>
    </w:p>
    <w:p w:rsidR="00E769A3" w:rsidRPr="00E769A3" w:rsidRDefault="00E769A3" w:rsidP="00E769A3">
      <w:pPr>
        <w:rPr>
          <w:rFonts w:eastAsia="Times New Roman"/>
          <w:szCs w:val="17"/>
        </w:rPr>
      </w:pPr>
      <w:r w:rsidRPr="00E769A3">
        <w:rPr>
          <w:rFonts w:eastAsia="Times New Roman"/>
          <w:szCs w:val="17"/>
        </w:rPr>
        <w:t>The Common Seal of the COMMISSIONER OF HIGHWAYS was hereto affixed by authority of the Commissioner in the presence of:</w:t>
      </w:r>
    </w:p>
    <w:p w:rsidR="00E769A3" w:rsidRPr="00E769A3" w:rsidRDefault="00E769A3" w:rsidP="00E769A3">
      <w:pPr>
        <w:spacing w:after="0"/>
        <w:jc w:val="right"/>
        <w:rPr>
          <w:rFonts w:eastAsia="Times New Roman"/>
          <w:smallCaps/>
          <w:szCs w:val="20"/>
        </w:rPr>
      </w:pPr>
      <w:r w:rsidRPr="00E769A3">
        <w:rPr>
          <w:rFonts w:eastAsia="Times New Roman"/>
          <w:smallCaps/>
          <w:szCs w:val="20"/>
        </w:rPr>
        <w:t>Rocco Caruso</w:t>
      </w:r>
    </w:p>
    <w:p w:rsidR="00E769A3" w:rsidRPr="00E769A3" w:rsidRDefault="00E769A3" w:rsidP="00E769A3">
      <w:pPr>
        <w:spacing w:after="0"/>
        <w:jc w:val="right"/>
        <w:rPr>
          <w:rFonts w:eastAsia="Times New Roman"/>
          <w:szCs w:val="17"/>
        </w:rPr>
      </w:pPr>
      <w:r w:rsidRPr="00E769A3">
        <w:rPr>
          <w:rFonts w:eastAsia="Times New Roman"/>
          <w:szCs w:val="17"/>
        </w:rPr>
        <w:t>Manager, Property Acquisition</w:t>
      </w:r>
    </w:p>
    <w:p w:rsidR="00E769A3" w:rsidRPr="00E769A3" w:rsidRDefault="00E769A3" w:rsidP="00E769A3">
      <w:pPr>
        <w:spacing w:after="0"/>
        <w:jc w:val="right"/>
        <w:rPr>
          <w:rFonts w:eastAsia="Times New Roman"/>
          <w:szCs w:val="17"/>
        </w:rPr>
      </w:pPr>
      <w:r w:rsidRPr="00E769A3">
        <w:rPr>
          <w:rFonts w:eastAsia="Times New Roman"/>
          <w:szCs w:val="17"/>
        </w:rPr>
        <w:t>(Authorised Officer)</w:t>
      </w:r>
    </w:p>
    <w:p w:rsidR="00E769A3" w:rsidRPr="00E769A3" w:rsidRDefault="00E769A3" w:rsidP="00E769A3">
      <w:pPr>
        <w:spacing w:after="0"/>
        <w:jc w:val="right"/>
        <w:rPr>
          <w:rFonts w:eastAsia="Times New Roman"/>
          <w:szCs w:val="17"/>
        </w:rPr>
      </w:pPr>
      <w:r w:rsidRPr="00E769A3">
        <w:rPr>
          <w:rFonts w:eastAsia="Times New Roman"/>
          <w:szCs w:val="17"/>
        </w:rPr>
        <w:t>Department for Infrastructure and Transport</w:t>
      </w:r>
    </w:p>
    <w:p w:rsidR="00FE5211" w:rsidRDefault="00E769A3" w:rsidP="00E769A3">
      <w:pPr>
        <w:spacing w:after="0"/>
        <w:rPr>
          <w:rFonts w:eastAsia="Times New Roman"/>
          <w:szCs w:val="17"/>
        </w:rPr>
      </w:pPr>
      <w:r w:rsidRPr="00E769A3">
        <w:rPr>
          <w:rFonts w:eastAsia="Times New Roman"/>
          <w:szCs w:val="17"/>
        </w:rPr>
        <w:t>DIT 2020/09320/01</w:t>
      </w:r>
    </w:p>
    <w:p w:rsidR="00E769A3" w:rsidRDefault="00E769A3" w:rsidP="00E769A3">
      <w:pPr>
        <w:pBdr>
          <w:bottom w:val="single" w:sz="4" w:space="1" w:color="auto"/>
        </w:pBdr>
        <w:spacing w:after="0" w:line="52" w:lineRule="exact"/>
        <w:jc w:val="center"/>
        <w:rPr>
          <w:lang w:val="en-US"/>
        </w:rPr>
      </w:pPr>
    </w:p>
    <w:p w:rsidR="00E769A3" w:rsidRDefault="00E769A3" w:rsidP="00E769A3">
      <w:pPr>
        <w:pBdr>
          <w:top w:val="single" w:sz="4" w:space="1" w:color="auto"/>
        </w:pBdr>
        <w:spacing w:before="34" w:after="0" w:line="14" w:lineRule="exact"/>
        <w:jc w:val="center"/>
        <w:rPr>
          <w:lang w:val="en-US"/>
        </w:rPr>
      </w:pPr>
    </w:p>
    <w:p w:rsidR="00E769A3" w:rsidRDefault="00E769A3" w:rsidP="00E769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B21E9" w:rsidRPr="009B21E9" w:rsidRDefault="009B21E9" w:rsidP="00051940">
      <w:pPr>
        <w:pStyle w:val="Heading2"/>
      </w:pPr>
      <w:bookmarkStart w:id="38" w:name="_Toc69916970"/>
      <w:r w:rsidRPr="009B21E9">
        <w:t>Landscape South Australia Act 2019</w:t>
      </w:r>
      <w:bookmarkEnd w:id="38"/>
    </w:p>
    <w:p w:rsidR="009B21E9" w:rsidRPr="009B21E9" w:rsidRDefault="009B21E9" w:rsidP="009B21E9">
      <w:pPr>
        <w:jc w:val="center"/>
        <w:rPr>
          <w:smallCaps/>
          <w:szCs w:val="17"/>
        </w:rPr>
      </w:pPr>
      <w:r w:rsidRPr="009B21E9">
        <w:rPr>
          <w:smallCaps/>
          <w:szCs w:val="17"/>
        </w:rPr>
        <w:t>Subclause 100(2) of Schedule 5</w:t>
      </w:r>
    </w:p>
    <w:p w:rsidR="009B21E9" w:rsidRPr="009B21E9" w:rsidRDefault="009B21E9" w:rsidP="009B21E9">
      <w:pPr>
        <w:jc w:val="center"/>
        <w:rPr>
          <w:i/>
          <w:szCs w:val="17"/>
        </w:rPr>
      </w:pPr>
      <w:r w:rsidRPr="009B21E9">
        <w:rPr>
          <w:i/>
          <w:szCs w:val="17"/>
        </w:rPr>
        <w:t>Notice of Approval of a Water Affecting Activities Control Policy</w:t>
      </w:r>
    </w:p>
    <w:p w:rsidR="009B21E9" w:rsidRPr="009B21E9" w:rsidRDefault="009B21E9" w:rsidP="009B21E9">
      <w:pPr>
        <w:rPr>
          <w:rFonts w:eastAsia="Times New Roman"/>
          <w:szCs w:val="17"/>
        </w:rPr>
      </w:pPr>
      <w:r w:rsidRPr="009B21E9">
        <w:rPr>
          <w:rFonts w:eastAsia="Times New Roman"/>
          <w:szCs w:val="17"/>
        </w:rPr>
        <w:t xml:space="preserve">Pursuant to subclause 100(2) of Schedule 5 of the </w:t>
      </w:r>
      <w:r w:rsidRPr="009B21E9">
        <w:rPr>
          <w:rFonts w:eastAsia="Times New Roman"/>
          <w:i/>
          <w:szCs w:val="17"/>
        </w:rPr>
        <w:t>Landscape South Australia Act 2019</w:t>
      </w:r>
      <w:r w:rsidRPr="009B21E9">
        <w:rPr>
          <w:rFonts w:eastAsia="Times New Roman"/>
          <w:szCs w:val="17"/>
        </w:rPr>
        <w:t xml:space="preserve"> (the Act) I, David Speirs, Minister for Environment and Water, hereby approve the following Water Affecting Activities Control Policies for the Hills and Fleurieu, and Murraylands and Riverland landscape management regions and certify that these policies make provisions in relation to water affecting activities in substantially the same terms as provisions in the Adelaide and Mount Lofty Ranges, and South Australian Murray-Darling Basin Natural Resource Management Plans that apply under subclause 100(1) of Schedule 5 of the Act:</w:t>
      </w:r>
    </w:p>
    <w:p w:rsidR="009B21E9" w:rsidRPr="009B21E9" w:rsidRDefault="009B21E9" w:rsidP="009B21E9">
      <w:pPr>
        <w:ind w:left="142"/>
        <w:rPr>
          <w:rFonts w:eastAsia="Times New Roman"/>
          <w:szCs w:val="17"/>
        </w:rPr>
      </w:pPr>
      <w:r w:rsidRPr="009B21E9">
        <w:rPr>
          <w:rFonts w:eastAsia="Times New Roman"/>
          <w:szCs w:val="17"/>
        </w:rPr>
        <w:t>HILLS AND FLEURIEU WATER AFFECTING ACTIVITIES CONTROL POLICY</w:t>
      </w:r>
    </w:p>
    <w:p w:rsidR="009B21E9" w:rsidRPr="009B21E9" w:rsidRDefault="009B21E9" w:rsidP="009B21E9">
      <w:pPr>
        <w:ind w:left="142"/>
        <w:rPr>
          <w:rFonts w:eastAsia="Times New Roman"/>
          <w:szCs w:val="17"/>
        </w:rPr>
      </w:pPr>
      <w:r w:rsidRPr="009B21E9">
        <w:rPr>
          <w:rFonts w:eastAsia="Times New Roman"/>
          <w:szCs w:val="17"/>
        </w:rPr>
        <w:t>MURRAYLANDS AND RIVERLAND WATER AFFECTING ACTIVITIES CONTROL POLICY</w:t>
      </w:r>
    </w:p>
    <w:p w:rsidR="009B21E9" w:rsidRPr="009B21E9" w:rsidRDefault="009B21E9" w:rsidP="009B21E9">
      <w:pPr>
        <w:rPr>
          <w:rFonts w:eastAsia="Times New Roman"/>
          <w:szCs w:val="17"/>
        </w:rPr>
      </w:pPr>
      <w:r w:rsidRPr="009B21E9">
        <w:rPr>
          <w:rFonts w:eastAsia="Times New Roman"/>
          <w:szCs w:val="17"/>
        </w:rPr>
        <w:t>Dated: 19 April 2021</w:t>
      </w:r>
    </w:p>
    <w:p w:rsidR="009B21E9" w:rsidRPr="009B21E9" w:rsidRDefault="009B21E9" w:rsidP="009B21E9">
      <w:pPr>
        <w:spacing w:after="0"/>
        <w:jc w:val="right"/>
        <w:rPr>
          <w:rFonts w:eastAsia="Times New Roman"/>
          <w:smallCaps/>
          <w:szCs w:val="20"/>
        </w:rPr>
      </w:pPr>
      <w:r w:rsidRPr="009B21E9">
        <w:rPr>
          <w:rFonts w:eastAsia="Times New Roman"/>
          <w:smallCaps/>
          <w:szCs w:val="20"/>
        </w:rPr>
        <w:t>David Speirs</w:t>
      </w:r>
    </w:p>
    <w:p w:rsidR="00E769A3" w:rsidRDefault="009B21E9" w:rsidP="009B21E9">
      <w:pPr>
        <w:spacing w:after="0"/>
        <w:jc w:val="right"/>
        <w:rPr>
          <w:rFonts w:eastAsia="Times New Roman"/>
          <w:szCs w:val="17"/>
        </w:rPr>
      </w:pPr>
      <w:r w:rsidRPr="009B21E9">
        <w:rPr>
          <w:rFonts w:eastAsia="Times New Roman"/>
          <w:szCs w:val="17"/>
        </w:rPr>
        <w:t>Minister for Environment and Water</w:t>
      </w:r>
    </w:p>
    <w:p w:rsidR="009B21E9" w:rsidRDefault="009B21E9" w:rsidP="009B21E9">
      <w:pPr>
        <w:pBdr>
          <w:bottom w:val="single" w:sz="4" w:space="1" w:color="auto"/>
        </w:pBdr>
        <w:spacing w:after="0" w:line="52" w:lineRule="exact"/>
        <w:jc w:val="center"/>
        <w:rPr>
          <w:lang w:val="en-US"/>
        </w:rPr>
      </w:pPr>
    </w:p>
    <w:p w:rsidR="009B21E9" w:rsidRDefault="009B21E9" w:rsidP="009B21E9">
      <w:pPr>
        <w:pBdr>
          <w:top w:val="single" w:sz="4" w:space="1" w:color="auto"/>
        </w:pBdr>
        <w:spacing w:before="34" w:after="0" w:line="14" w:lineRule="exact"/>
        <w:jc w:val="center"/>
        <w:rPr>
          <w:lang w:val="en-US"/>
        </w:rPr>
      </w:pPr>
    </w:p>
    <w:p w:rsidR="009B21E9" w:rsidRDefault="009B21E9" w:rsidP="009B21E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0276E" w:rsidRPr="0030276E" w:rsidRDefault="0030276E" w:rsidP="00051940">
      <w:pPr>
        <w:pStyle w:val="Heading2"/>
      </w:pPr>
      <w:bookmarkStart w:id="39" w:name="_Toc69916971"/>
      <w:r w:rsidRPr="0030276E">
        <w:t>Mining Act 1971</w:t>
      </w:r>
      <w:bookmarkEnd w:id="39"/>
    </w:p>
    <w:p w:rsidR="0030276E" w:rsidRPr="0030276E" w:rsidRDefault="0030276E" w:rsidP="0030276E">
      <w:pPr>
        <w:jc w:val="center"/>
        <w:rPr>
          <w:i/>
          <w:szCs w:val="17"/>
        </w:rPr>
      </w:pPr>
      <w:r w:rsidRPr="0030276E">
        <w:rPr>
          <w:i/>
          <w:szCs w:val="17"/>
        </w:rPr>
        <w:t>Application for a Mining Lease</w:t>
      </w:r>
    </w:p>
    <w:p w:rsidR="0030276E" w:rsidRPr="0030276E" w:rsidRDefault="0030276E" w:rsidP="0030276E">
      <w:pPr>
        <w:rPr>
          <w:rFonts w:eastAsia="Times New Roman"/>
          <w:szCs w:val="17"/>
        </w:rPr>
      </w:pPr>
      <w:r w:rsidRPr="0030276E">
        <w:rPr>
          <w:rFonts w:eastAsia="Times New Roman"/>
          <w:szCs w:val="17"/>
        </w:rPr>
        <w:t xml:space="preserve">Notice is hereby given in accordance with Section 56H of the </w:t>
      </w:r>
      <w:r w:rsidRPr="0030276E">
        <w:rPr>
          <w:rFonts w:eastAsia="Times New Roman"/>
          <w:i/>
          <w:szCs w:val="17"/>
        </w:rPr>
        <w:t>Mining Act 1971</w:t>
      </w:r>
      <w:r w:rsidRPr="0030276E">
        <w:rPr>
          <w:rFonts w:eastAsia="Times New Roman"/>
          <w:szCs w:val="17"/>
        </w:rPr>
        <w:t xml:space="preserve"> that an application for a Mining Lease over the undermentioned mineral claim has been received:</w:t>
      </w:r>
    </w:p>
    <w:p w:rsidR="0030276E" w:rsidRPr="0030276E" w:rsidRDefault="0030276E" w:rsidP="0030276E">
      <w:pPr>
        <w:spacing w:after="40"/>
        <w:ind w:left="1560" w:hanging="1418"/>
        <w:rPr>
          <w:rFonts w:eastAsia="Times New Roman"/>
          <w:szCs w:val="17"/>
        </w:rPr>
      </w:pPr>
      <w:r w:rsidRPr="0030276E">
        <w:rPr>
          <w:rFonts w:eastAsia="Times New Roman"/>
          <w:szCs w:val="17"/>
        </w:rPr>
        <w:t>Applicant:</w:t>
      </w:r>
      <w:r w:rsidRPr="0030276E">
        <w:rPr>
          <w:rFonts w:eastAsia="Times New Roman"/>
          <w:szCs w:val="17"/>
        </w:rPr>
        <w:tab/>
        <w:t>Central Iron Pty Ltd</w:t>
      </w:r>
    </w:p>
    <w:p w:rsidR="0030276E" w:rsidRPr="0030276E" w:rsidRDefault="0030276E" w:rsidP="0030276E">
      <w:pPr>
        <w:spacing w:after="40"/>
        <w:ind w:left="1560" w:hanging="1418"/>
        <w:rPr>
          <w:rFonts w:eastAsia="Times New Roman"/>
          <w:szCs w:val="17"/>
        </w:rPr>
      </w:pPr>
      <w:r w:rsidRPr="0030276E">
        <w:rPr>
          <w:rFonts w:eastAsia="Times New Roman"/>
          <w:szCs w:val="17"/>
        </w:rPr>
        <w:t>Claim Number:</w:t>
      </w:r>
      <w:r w:rsidRPr="0030276E">
        <w:rPr>
          <w:rFonts w:eastAsia="Times New Roman"/>
          <w:szCs w:val="17"/>
        </w:rPr>
        <w:tab/>
        <w:t>4508</w:t>
      </w:r>
    </w:p>
    <w:p w:rsidR="0030276E" w:rsidRPr="0030276E" w:rsidRDefault="0030276E" w:rsidP="0030276E">
      <w:pPr>
        <w:spacing w:after="40"/>
        <w:ind w:left="1560" w:hanging="1418"/>
        <w:rPr>
          <w:rFonts w:eastAsia="Times New Roman"/>
          <w:szCs w:val="17"/>
        </w:rPr>
      </w:pPr>
      <w:r w:rsidRPr="0030276E">
        <w:rPr>
          <w:rFonts w:eastAsia="Times New Roman"/>
          <w:szCs w:val="17"/>
        </w:rPr>
        <w:t>Location:</w:t>
      </w:r>
      <w:r w:rsidRPr="0030276E">
        <w:rPr>
          <w:rFonts w:eastAsia="Times New Roman"/>
          <w:szCs w:val="17"/>
        </w:rPr>
        <w:tab/>
        <w:t>CL6211/148, McDouall Peak area, approximately 115km south-southeast of Coober Pedy</w:t>
      </w:r>
    </w:p>
    <w:p w:rsidR="0030276E" w:rsidRPr="0030276E" w:rsidRDefault="0030276E" w:rsidP="0030276E">
      <w:pPr>
        <w:spacing w:after="40"/>
        <w:ind w:left="1560" w:hanging="1418"/>
        <w:rPr>
          <w:rFonts w:eastAsia="Times New Roman"/>
          <w:szCs w:val="17"/>
        </w:rPr>
      </w:pPr>
      <w:r w:rsidRPr="0030276E">
        <w:rPr>
          <w:rFonts w:eastAsia="Times New Roman"/>
          <w:szCs w:val="17"/>
        </w:rPr>
        <w:t>Area:</w:t>
      </w:r>
      <w:r w:rsidRPr="0030276E">
        <w:rPr>
          <w:rFonts w:eastAsia="Times New Roman"/>
          <w:szCs w:val="17"/>
        </w:rPr>
        <w:tab/>
        <w:t>1617.99 hectares approximately</w:t>
      </w:r>
    </w:p>
    <w:p w:rsidR="0030276E" w:rsidRPr="0030276E" w:rsidRDefault="0030276E" w:rsidP="0030276E">
      <w:pPr>
        <w:spacing w:after="0"/>
        <w:ind w:left="1560" w:hanging="1418"/>
        <w:rPr>
          <w:rFonts w:eastAsia="Times New Roman"/>
          <w:szCs w:val="17"/>
        </w:rPr>
      </w:pPr>
      <w:r w:rsidRPr="0030276E">
        <w:rPr>
          <w:rFonts w:eastAsia="Times New Roman"/>
          <w:szCs w:val="17"/>
        </w:rPr>
        <w:t>Purpose:</w:t>
      </w:r>
      <w:r w:rsidRPr="0030276E">
        <w:rPr>
          <w:rFonts w:eastAsia="Times New Roman"/>
          <w:szCs w:val="17"/>
        </w:rPr>
        <w:tab/>
        <w:t>Metallic Mineral (Iron Ore)</w:t>
      </w:r>
    </w:p>
    <w:p w:rsidR="0030276E" w:rsidRPr="0030276E" w:rsidRDefault="0030276E" w:rsidP="0030276E">
      <w:pPr>
        <w:spacing w:after="40"/>
        <w:ind w:left="1560" w:hanging="1418"/>
        <w:rPr>
          <w:rFonts w:eastAsia="Times New Roman"/>
          <w:szCs w:val="17"/>
        </w:rPr>
      </w:pPr>
      <w:r w:rsidRPr="0030276E">
        <w:rPr>
          <w:rFonts w:eastAsia="Times New Roman"/>
          <w:szCs w:val="17"/>
        </w:rPr>
        <w:tab/>
        <w:t>Construction Materials (Ironstone)</w:t>
      </w:r>
    </w:p>
    <w:p w:rsidR="0030276E" w:rsidRPr="0030276E" w:rsidRDefault="0030276E" w:rsidP="0030276E">
      <w:pPr>
        <w:ind w:left="1560" w:hanging="1418"/>
        <w:rPr>
          <w:rFonts w:eastAsia="Times New Roman"/>
          <w:szCs w:val="17"/>
        </w:rPr>
      </w:pPr>
      <w:r w:rsidRPr="0030276E">
        <w:rPr>
          <w:rFonts w:eastAsia="Times New Roman"/>
          <w:szCs w:val="17"/>
        </w:rPr>
        <w:t>Reference:</w:t>
      </w:r>
      <w:r w:rsidRPr="0030276E">
        <w:rPr>
          <w:rFonts w:eastAsia="Times New Roman"/>
          <w:szCs w:val="17"/>
        </w:rPr>
        <w:tab/>
        <w:t>2020/000664</w:t>
      </w:r>
    </w:p>
    <w:p w:rsidR="0030276E" w:rsidRPr="0030276E" w:rsidRDefault="0030276E" w:rsidP="0030276E">
      <w:pPr>
        <w:rPr>
          <w:rFonts w:eastAsia="Times New Roman"/>
          <w:szCs w:val="17"/>
        </w:rPr>
      </w:pPr>
      <w:r w:rsidRPr="0030276E">
        <w:rPr>
          <w:rFonts w:eastAsia="Times New Roman"/>
          <w:szCs w:val="17"/>
        </w:rPr>
        <w:t>To arrange an inspection of the proposal at the Department for Energy and Mining, please call the Department on (08) 8463 3103.</w:t>
      </w:r>
    </w:p>
    <w:p w:rsidR="0030276E" w:rsidRPr="0030276E" w:rsidRDefault="0030276E" w:rsidP="0030276E">
      <w:pPr>
        <w:rPr>
          <w:rFonts w:eastAsia="Times New Roman"/>
          <w:szCs w:val="17"/>
        </w:rPr>
      </w:pPr>
      <w:r w:rsidRPr="0030276E">
        <w:rPr>
          <w:rFonts w:eastAsia="Times New Roman"/>
          <w:szCs w:val="17"/>
        </w:rPr>
        <w:t>An electronic copy of the proposal can be found on the Department for Energy and Mining website:</w:t>
      </w:r>
    </w:p>
    <w:p w:rsidR="0030276E" w:rsidRPr="0030276E" w:rsidRDefault="00134C11" w:rsidP="0030276E">
      <w:pPr>
        <w:ind w:left="142"/>
        <w:rPr>
          <w:rFonts w:eastAsia="Times New Roman"/>
          <w:szCs w:val="17"/>
        </w:rPr>
      </w:pPr>
      <w:hyperlink r:id="rId26" w:history="1">
        <w:r w:rsidR="0030276E" w:rsidRPr="0030276E">
          <w:rPr>
            <w:rFonts w:eastAsia="Times New Roman"/>
            <w:color w:val="0000FF"/>
            <w:szCs w:val="17"/>
            <w:u w:val="single"/>
          </w:rPr>
          <w:t>http://energymining.sa.gov.au/minerals/mining/public_notices_mining</w:t>
        </w:r>
      </w:hyperlink>
      <w:r w:rsidR="0030276E" w:rsidRPr="0030276E">
        <w:rPr>
          <w:rFonts w:eastAsia="Times New Roman"/>
          <w:szCs w:val="17"/>
        </w:rPr>
        <w:t xml:space="preserve"> </w:t>
      </w:r>
    </w:p>
    <w:p w:rsidR="0030276E" w:rsidRPr="0030276E" w:rsidRDefault="0030276E" w:rsidP="0030276E">
      <w:pPr>
        <w:rPr>
          <w:rFonts w:eastAsia="Times New Roman"/>
          <w:szCs w:val="17"/>
        </w:rPr>
      </w:pPr>
      <w:r w:rsidRPr="0030276E">
        <w:rPr>
          <w:rFonts w:eastAsia="Times New Roman"/>
          <w:szCs w:val="17"/>
        </w:rPr>
        <w:t xml:space="preserve">Written submissions in relation to this application are invited to be received at the Department for Energy and Mining, Mining Regulation, Attn: Business Support Officer, GPO Box 320, Adelaide SA 5001 or </w:t>
      </w:r>
      <w:hyperlink r:id="rId27" w:history="1">
        <w:r w:rsidRPr="0030276E">
          <w:rPr>
            <w:rFonts w:eastAsia="Times New Roman"/>
            <w:color w:val="0000FF"/>
            <w:szCs w:val="17"/>
            <w:u w:val="single"/>
          </w:rPr>
          <w:t>dem.miningregrehab@sa.gov.au</w:t>
        </w:r>
      </w:hyperlink>
      <w:r w:rsidRPr="0030276E">
        <w:rPr>
          <w:rFonts w:eastAsia="Times New Roman"/>
          <w:szCs w:val="17"/>
        </w:rPr>
        <w:t xml:space="preserve"> by no later than 20 May 2021.</w:t>
      </w:r>
    </w:p>
    <w:p w:rsidR="0030276E" w:rsidRPr="0030276E" w:rsidRDefault="0030276E" w:rsidP="0030276E">
      <w:pPr>
        <w:rPr>
          <w:rFonts w:eastAsia="Times New Roman"/>
          <w:szCs w:val="17"/>
        </w:rPr>
      </w:pPr>
      <w:r w:rsidRPr="0030276E">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rsidR="0030276E" w:rsidRPr="0030276E" w:rsidRDefault="0030276E" w:rsidP="0030276E">
      <w:pPr>
        <w:rPr>
          <w:rFonts w:eastAsia="Times New Roman"/>
          <w:szCs w:val="17"/>
        </w:rPr>
      </w:pPr>
      <w:r w:rsidRPr="0030276E">
        <w:rPr>
          <w:rFonts w:eastAsia="Times New Roman"/>
          <w:szCs w:val="17"/>
        </w:rPr>
        <w:t>When you make a written submission, that submission becomes a public record. Your submission will be provided to the applicant and may be made available for public inspection.</w:t>
      </w:r>
    </w:p>
    <w:p w:rsidR="0030276E" w:rsidRPr="0030276E" w:rsidRDefault="0030276E" w:rsidP="0030276E">
      <w:pPr>
        <w:spacing w:after="0"/>
        <w:rPr>
          <w:rFonts w:eastAsia="Times New Roman"/>
          <w:szCs w:val="17"/>
        </w:rPr>
      </w:pPr>
      <w:r w:rsidRPr="0030276E">
        <w:rPr>
          <w:rFonts w:eastAsia="Times New Roman"/>
          <w:szCs w:val="17"/>
        </w:rPr>
        <w:t>Dated: 22 April 2021</w:t>
      </w:r>
    </w:p>
    <w:p w:rsidR="0030276E" w:rsidRPr="0030276E" w:rsidRDefault="0030276E" w:rsidP="0030276E">
      <w:pPr>
        <w:spacing w:after="0"/>
        <w:jc w:val="right"/>
        <w:rPr>
          <w:rFonts w:eastAsia="Times New Roman"/>
          <w:smallCaps/>
          <w:szCs w:val="20"/>
        </w:rPr>
      </w:pPr>
      <w:r w:rsidRPr="0030276E">
        <w:rPr>
          <w:rFonts w:eastAsia="Times New Roman"/>
          <w:smallCaps/>
          <w:szCs w:val="20"/>
        </w:rPr>
        <w:t>J. Martin</w:t>
      </w:r>
    </w:p>
    <w:p w:rsidR="0030276E" w:rsidRPr="0030276E" w:rsidRDefault="0030276E" w:rsidP="0030276E">
      <w:pPr>
        <w:spacing w:after="0"/>
        <w:jc w:val="right"/>
        <w:rPr>
          <w:rFonts w:eastAsia="Times New Roman"/>
          <w:szCs w:val="17"/>
        </w:rPr>
      </w:pPr>
      <w:r w:rsidRPr="0030276E">
        <w:rPr>
          <w:rFonts w:eastAsia="Times New Roman"/>
          <w:szCs w:val="17"/>
        </w:rPr>
        <w:t>Mining Registrar</w:t>
      </w:r>
    </w:p>
    <w:p w:rsidR="0030276E" w:rsidRPr="0030276E" w:rsidRDefault="0030276E" w:rsidP="0030276E">
      <w:pPr>
        <w:spacing w:after="0"/>
        <w:jc w:val="right"/>
        <w:rPr>
          <w:rFonts w:eastAsia="Times New Roman"/>
          <w:szCs w:val="17"/>
        </w:rPr>
      </w:pPr>
      <w:r w:rsidRPr="0030276E">
        <w:rPr>
          <w:rFonts w:eastAsia="Times New Roman"/>
          <w:szCs w:val="17"/>
        </w:rPr>
        <w:t>Delegate for the Minister for Energy and Mining</w:t>
      </w:r>
    </w:p>
    <w:p w:rsidR="0030276E" w:rsidRPr="0030276E" w:rsidRDefault="0030276E" w:rsidP="0030276E">
      <w:pPr>
        <w:pBdr>
          <w:top w:val="single" w:sz="4" w:space="1" w:color="auto"/>
        </w:pBdr>
        <w:spacing w:before="100" w:after="0" w:line="14" w:lineRule="exact"/>
        <w:jc w:val="center"/>
        <w:rPr>
          <w:rFonts w:eastAsia="Times New Roman"/>
          <w:szCs w:val="17"/>
        </w:rPr>
      </w:pPr>
    </w:p>
    <w:p w:rsidR="0030276E" w:rsidRPr="0030276E" w:rsidRDefault="0030276E" w:rsidP="00F94BB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94BB8" w:rsidRPr="00F94BB8" w:rsidRDefault="00F94BB8" w:rsidP="00F94BB8">
      <w:pPr>
        <w:jc w:val="center"/>
        <w:rPr>
          <w:caps/>
          <w:szCs w:val="17"/>
        </w:rPr>
      </w:pPr>
      <w:r w:rsidRPr="00F94BB8">
        <w:rPr>
          <w:caps/>
          <w:szCs w:val="17"/>
        </w:rPr>
        <w:t>Mining Act 1971</w:t>
      </w:r>
    </w:p>
    <w:p w:rsidR="00F94BB8" w:rsidRPr="00F94BB8" w:rsidRDefault="00F94BB8" w:rsidP="00F94BB8">
      <w:pPr>
        <w:jc w:val="center"/>
        <w:rPr>
          <w:i/>
          <w:szCs w:val="17"/>
        </w:rPr>
      </w:pPr>
      <w:r w:rsidRPr="00F94BB8">
        <w:rPr>
          <w:i/>
          <w:szCs w:val="17"/>
        </w:rPr>
        <w:t>Intention to Grant Exploration Licences</w:t>
      </w:r>
    </w:p>
    <w:p w:rsidR="00F94BB8" w:rsidRPr="00F94BB8" w:rsidRDefault="00F94BB8" w:rsidP="00F94BB8">
      <w:pPr>
        <w:rPr>
          <w:rFonts w:eastAsia="Times New Roman"/>
          <w:szCs w:val="17"/>
        </w:rPr>
      </w:pPr>
      <w:r w:rsidRPr="00F94BB8">
        <w:rPr>
          <w:rFonts w:eastAsia="Times New Roman"/>
          <w:szCs w:val="17"/>
        </w:rPr>
        <w:t xml:space="preserve">Notice is hereby given, in accordance with Section 28(5) of the </w:t>
      </w:r>
      <w:r w:rsidRPr="00F94BB8">
        <w:rPr>
          <w:rFonts w:eastAsia="Times New Roman"/>
          <w:i/>
          <w:szCs w:val="17"/>
        </w:rPr>
        <w:t>Mining Act 1971</w:t>
      </w:r>
      <w:r w:rsidRPr="00F94BB8">
        <w:rPr>
          <w:rFonts w:eastAsia="Times New Roman"/>
          <w:szCs w:val="17"/>
        </w:rPr>
        <w:t xml:space="preserve"> (SA) as in force immediately before the lodgement date stated below that the delegate of the Minister for Energy and Mining intends to grant Exploration Licences over the areas described below.</w:t>
      </w:r>
    </w:p>
    <w:p w:rsidR="00F94BB8" w:rsidRPr="00F94BB8" w:rsidRDefault="00F94BB8" w:rsidP="00F94BB8">
      <w:pPr>
        <w:spacing w:after="20"/>
        <w:ind w:left="1701" w:hanging="1559"/>
        <w:rPr>
          <w:rFonts w:eastAsia="Times New Roman"/>
          <w:szCs w:val="17"/>
        </w:rPr>
      </w:pPr>
      <w:r w:rsidRPr="00F94BB8">
        <w:rPr>
          <w:rFonts w:eastAsia="Times New Roman"/>
          <w:szCs w:val="17"/>
        </w:rPr>
        <w:t>Applicant:</w:t>
      </w:r>
      <w:r w:rsidRPr="00F94BB8">
        <w:rPr>
          <w:rFonts w:eastAsia="Times New Roman"/>
          <w:szCs w:val="17"/>
        </w:rPr>
        <w:tab/>
        <w:t>Fowler Resources Pty Ltd</w:t>
      </w:r>
    </w:p>
    <w:p w:rsidR="00F94BB8" w:rsidRPr="00F94BB8" w:rsidRDefault="00F94BB8" w:rsidP="00F94BB8">
      <w:pPr>
        <w:spacing w:after="20"/>
        <w:ind w:left="1701" w:hanging="1559"/>
        <w:rPr>
          <w:rFonts w:eastAsia="Times New Roman"/>
          <w:szCs w:val="17"/>
        </w:rPr>
      </w:pPr>
      <w:r w:rsidRPr="00F94BB8">
        <w:rPr>
          <w:rFonts w:eastAsia="Times New Roman"/>
          <w:szCs w:val="17"/>
        </w:rPr>
        <w:t>Location:</w:t>
      </w:r>
      <w:r w:rsidRPr="00F94BB8">
        <w:rPr>
          <w:rFonts w:eastAsia="Times New Roman"/>
          <w:szCs w:val="17"/>
        </w:rPr>
        <w:tab/>
        <w:t>Yellabinna area—approximately 190km west of Tarcoola</w:t>
      </w:r>
    </w:p>
    <w:p w:rsidR="00F94BB8" w:rsidRPr="00F94BB8" w:rsidRDefault="00F94BB8" w:rsidP="00F94BB8">
      <w:pPr>
        <w:spacing w:after="20"/>
        <w:ind w:left="1701" w:hanging="1559"/>
        <w:rPr>
          <w:rFonts w:eastAsia="Times New Roman"/>
          <w:szCs w:val="17"/>
        </w:rPr>
      </w:pPr>
      <w:r w:rsidRPr="00F94BB8">
        <w:rPr>
          <w:rFonts w:eastAsia="Times New Roman"/>
          <w:szCs w:val="17"/>
        </w:rPr>
        <w:t>Term:</w:t>
      </w:r>
      <w:r w:rsidRPr="00F94BB8">
        <w:rPr>
          <w:rFonts w:eastAsia="Times New Roman"/>
          <w:szCs w:val="17"/>
        </w:rPr>
        <w:tab/>
        <w:t>6 years</w:t>
      </w:r>
    </w:p>
    <w:p w:rsidR="00F94BB8" w:rsidRPr="00F94BB8" w:rsidRDefault="00F94BB8" w:rsidP="00F94BB8">
      <w:pPr>
        <w:spacing w:after="20"/>
        <w:ind w:left="1701" w:hanging="1559"/>
        <w:rPr>
          <w:rFonts w:eastAsia="Times New Roman"/>
          <w:szCs w:val="17"/>
        </w:rPr>
      </w:pPr>
      <w:r w:rsidRPr="00F94BB8">
        <w:rPr>
          <w:rFonts w:eastAsia="Times New Roman"/>
          <w:szCs w:val="17"/>
        </w:rPr>
        <w:t>Area in km</w:t>
      </w:r>
      <w:r w:rsidRPr="00F94BB8">
        <w:rPr>
          <w:rFonts w:eastAsia="Times New Roman"/>
          <w:szCs w:val="17"/>
          <w:vertAlign w:val="superscript"/>
        </w:rPr>
        <w:t>2</w:t>
      </w:r>
      <w:r w:rsidRPr="00F94BB8">
        <w:rPr>
          <w:rFonts w:eastAsia="Times New Roman"/>
          <w:szCs w:val="17"/>
        </w:rPr>
        <w:t>:</w:t>
      </w:r>
      <w:r w:rsidRPr="00F94BB8">
        <w:rPr>
          <w:rFonts w:eastAsia="Times New Roman"/>
          <w:szCs w:val="17"/>
        </w:rPr>
        <w:tab/>
        <w:t>210</w:t>
      </w:r>
    </w:p>
    <w:p w:rsidR="00F94BB8" w:rsidRPr="00F94BB8" w:rsidRDefault="00F94BB8" w:rsidP="00F94BB8">
      <w:pPr>
        <w:spacing w:after="20"/>
        <w:ind w:left="1701" w:hanging="1559"/>
        <w:rPr>
          <w:rFonts w:eastAsia="Times New Roman"/>
          <w:szCs w:val="17"/>
        </w:rPr>
      </w:pPr>
      <w:r w:rsidRPr="00F94BB8">
        <w:rPr>
          <w:rFonts w:eastAsia="Times New Roman"/>
          <w:szCs w:val="17"/>
        </w:rPr>
        <w:t>Reference Number:</w:t>
      </w:r>
      <w:r w:rsidRPr="00F94BB8">
        <w:rPr>
          <w:rFonts w:eastAsia="Times New Roman"/>
          <w:szCs w:val="17"/>
        </w:rPr>
        <w:tab/>
        <w:t>2020/00081</w:t>
      </w:r>
    </w:p>
    <w:p w:rsidR="00F94BB8" w:rsidRPr="00F94BB8" w:rsidRDefault="00F94BB8" w:rsidP="00F94BB8">
      <w:pPr>
        <w:spacing w:after="120"/>
        <w:ind w:left="1701" w:hanging="1559"/>
        <w:rPr>
          <w:rFonts w:eastAsia="Times New Roman"/>
          <w:szCs w:val="17"/>
        </w:rPr>
      </w:pPr>
      <w:r w:rsidRPr="00F94BB8">
        <w:rPr>
          <w:rFonts w:eastAsia="Times New Roman"/>
          <w:szCs w:val="17"/>
        </w:rPr>
        <w:t>Lodgement Date:</w:t>
      </w:r>
      <w:r w:rsidRPr="00F94BB8">
        <w:rPr>
          <w:rFonts w:eastAsia="Times New Roman"/>
          <w:szCs w:val="17"/>
        </w:rPr>
        <w:tab/>
        <w:t>23 June 2020</w:t>
      </w:r>
    </w:p>
    <w:p w:rsidR="00F94BB8" w:rsidRDefault="00F94BB8">
      <w:pPr>
        <w:spacing w:after="0" w:line="240" w:lineRule="auto"/>
        <w:jc w:val="left"/>
        <w:rPr>
          <w:rFonts w:eastAsia="Times New Roman"/>
          <w:szCs w:val="17"/>
        </w:rPr>
      </w:pPr>
      <w:r>
        <w:rPr>
          <w:rFonts w:eastAsia="Times New Roman"/>
          <w:szCs w:val="17"/>
        </w:rPr>
        <w:br w:type="page"/>
      </w:r>
    </w:p>
    <w:p w:rsidR="00F94BB8" w:rsidRPr="00F94BB8" w:rsidRDefault="00F94BB8" w:rsidP="00F94BB8">
      <w:pPr>
        <w:spacing w:after="20"/>
        <w:ind w:left="1701" w:hanging="1559"/>
        <w:rPr>
          <w:rFonts w:eastAsia="Times New Roman"/>
          <w:szCs w:val="17"/>
        </w:rPr>
      </w:pPr>
      <w:r w:rsidRPr="00F94BB8">
        <w:rPr>
          <w:rFonts w:eastAsia="Times New Roman"/>
          <w:szCs w:val="17"/>
        </w:rPr>
        <w:lastRenderedPageBreak/>
        <w:t>Applicant:</w:t>
      </w:r>
      <w:r w:rsidRPr="00F94BB8">
        <w:rPr>
          <w:rFonts w:eastAsia="Times New Roman"/>
          <w:szCs w:val="17"/>
        </w:rPr>
        <w:tab/>
        <w:t>Western Areas Limited</w:t>
      </w:r>
    </w:p>
    <w:p w:rsidR="00F94BB8" w:rsidRPr="00F94BB8" w:rsidRDefault="00F94BB8" w:rsidP="00F94BB8">
      <w:pPr>
        <w:spacing w:after="20"/>
        <w:ind w:left="1701" w:hanging="1559"/>
        <w:rPr>
          <w:rFonts w:eastAsia="Times New Roman"/>
          <w:szCs w:val="17"/>
        </w:rPr>
      </w:pPr>
      <w:r w:rsidRPr="00F94BB8">
        <w:rPr>
          <w:rFonts w:eastAsia="Times New Roman"/>
          <w:szCs w:val="17"/>
        </w:rPr>
        <w:t>Location:</w:t>
      </w:r>
      <w:r w:rsidRPr="00F94BB8">
        <w:rPr>
          <w:rFonts w:eastAsia="Times New Roman"/>
          <w:szCs w:val="17"/>
        </w:rPr>
        <w:tab/>
        <w:t>Lake Ifould area—approximately 225km northwest of Ceduna</w:t>
      </w:r>
    </w:p>
    <w:p w:rsidR="00F94BB8" w:rsidRPr="00F94BB8" w:rsidRDefault="00F94BB8" w:rsidP="00F94BB8">
      <w:pPr>
        <w:spacing w:after="20"/>
        <w:ind w:left="1701" w:hanging="1559"/>
        <w:rPr>
          <w:rFonts w:eastAsia="Times New Roman"/>
          <w:szCs w:val="17"/>
        </w:rPr>
      </w:pPr>
      <w:r w:rsidRPr="00F94BB8">
        <w:rPr>
          <w:rFonts w:eastAsia="Times New Roman"/>
          <w:szCs w:val="17"/>
        </w:rPr>
        <w:t>Term:</w:t>
      </w:r>
      <w:r w:rsidRPr="00F94BB8">
        <w:rPr>
          <w:rFonts w:eastAsia="Times New Roman"/>
          <w:szCs w:val="17"/>
        </w:rPr>
        <w:tab/>
        <w:t>2 years</w:t>
      </w:r>
    </w:p>
    <w:p w:rsidR="00F94BB8" w:rsidRPr="00F94BB8" w:rsidRDefault="00F94BB8" w:rsidP="00F94BB8">
      <w:pPr>
        <w:spacing w:after="20"/>
        <w:ind w:left="1701" w:hanging="1559"/>
        <w:rPr>
          <w:rFonts w:eastAsia="Times New Roman"/>
          <w:szCs w:val="17"/>
        </w:rPr>
      </w:pPr>
      <w:r w:rsidRPr="00F94BB8">
        <w:rPr>
          <w:rFonts w:eastAsia="Times New Roman"/>
          <w:szCs w:val="17"/>
        </w:rPr>
        <w:t>Area in km</w:t>
      </w:r>
      <w:r w:rsidRPr="00F94BB8">
        <w:rPr>
          <w:rFonts w:eastAsia="Times New Roman"/>
          <w:szCs w:val="17"/>
          <w:vertAlign w:val="superscript"/>
        </w:rPr>
        <w:t>2</w:t>
      </w:r>
      <w:r w:rsidRPr="00F94BB8">
        <w:rPr>
          <w:rFonts w:eastAsia="Times New Roman"/>
          <w:szCs w:val="17"/>
        </w:rPr>
        <w:t>:</w:t>
      </w:r>
      <w:r w:rsidRPr="00F94BB8">
        <w:rPr>
          <w:rFonts w:eastAsia="Times New Roman"/>
          <w:szCs w:val="17"/>
        </w:rPr>
        <w:tab/>
        <w:t>395</w:t>
      </w:r>
    </w:p>
    <w:p w:rsidR="00F94BB8" w:rsidRPr="00F94BB8" w:rsidRDefault="00F94BB8" w:rsidP="00F94BB8">
      <w:pPr>
        <w:spacing w:after="20"/>
        <w:ind w:left="1701" w:hanging="1559"/>
        <w:rPr>
          <w:rFonts w:eastAsia="Times New Roman"/>
          <w:szCs w:val="17"/>
        </w:rPr>
      </w:pPr>
      <w:r w:rsidRPr="00F94BB8">
        <w:rPr>
          <w:rFonts w:eastAsia="Times New Roman"/>
          <w:szCs w:val="17"/>
        </w:rPr>
        <w:t>Reference Number:</w:t>
      </w:r>
      <w:r w:rsidRPr="00F94BB8">
        <w:rPr>
          <w:rFonts w:eastAsia="Times New Roman"/>
          <w:szCs w:val="17"/>
        </w:rPr>
        <w:tab/>
        <w:t>2020/00222</w:t>
      </w:r>
    </w:p>
    <w:p w:rsidR="00F94BB8" w:rsidRPr="00F94BB8" w:rsidRDefault="00F94BB8" w:rsidP="00F94BB8">
      <w:pPr>
        <w:ind w:left="1701" w:hanging="1559"/>
        <w:rPr>
          <w:rFonts w:eastAsia="Times New Roman"/>
          <w:szCs w:val="17"/>
        </w:rPr>
      </w:pPr>
      <w:r w:rsidRPr="00F94BB8">
        <w:rPr>
          <w:rFonts w:eastAsia="Times New Roman"/>
          <w:szCs w:val="17"/>
        </w:rPr>
        <w:t>Lodgement Date:</w:t>
      </w:r>
      <w:r w:rsidRPr="00F94BB8">
        <w:rPr>
          <w:rFonts w:eastAsia="Times New Roman"/>
          <w:szCs w:val="17"/>
        </w:rPr>
        <w:tab/>
        <w:t>1 December 2020</w:t>
      </w:r>
    </w:p>
    <w:p w:rsidR="00F94BB8" w:rsidRPr="00F94BB8" w:rsidRDefault="00F94BB8" w:rsidP="00F94BB8">
      <w:pPr>
        <w:rPr>
          <w:rFonts w:eastAsia="Times New Roman"/>
          <w:szCs w:val="17"/>
        </w:rPr>
      </w:pPr>
      <w:r w:rsidRPr="00F94BB8">
        <w:rPr>
          <w:rFonts w:eastAsia="Times New Roman"/>
          <w:szCs w:val="17"/>
        </w:rPr>
        <w:t xml:space="preserve">Plans and co-ordinates can be found on the Department for Energy and Mining website: </w:t>
      </w:r>
      <w:hyperlink r:id="rId28" w:history="1">
        <w:r w:rsidRPr="00F94BB8">
          <w:rPr>
            <w:rFonts w:eastAsia="Times New Roman"/>
            <w:color w:val="0000FF"/>
            <w:szCs w:val="17"/>
            <w:u w:val="single"/>
          </w:rPr>
          <w:t>http://energymining.sa.gov.au/minerals/</w:t>
        </w:r>
        <w:r w:rsidRPr="00F94BB8">
          <w:rPr>
            <w:rFonts w:eastAsia="Times New Roman"/>
            <w:color w:val="0000FF"/>
            <w:szCs w:val="17"/>
            <w:u w:val="single"/>
          </w:rPr>
          <w:br/>
          <w:t>exploration/public_notices/exploration_licence_applications</w:t>
        </w:r>
      </w:hyperlink>
      <w:r w:rsidRPr="00F94BB8">
        <w:rPr>
          <w:rFonts w:eastAsia="Times New Roman"/>
          <w:szCs w:val="17"/>
        </w:rPr>
        <w:t xml:space="preserve"> or by contacting Mineral Tenements on (08) 8463 3103.</w:t>
      </w:r>
    </w:p>
    <w:p w:rsidR="00F94BB8" w:rsidRPr="00F94BB8" w:rsidRDefault="00F94BB8" w:rsidP="00F94BB8">
      <w:pPr>
        <w:rPr>
          <w:rFonts w:eastAsia="Times New Roman"/>
          <w:szCs w:val="17"/>
        </w:rPr>
      </w:pPr>
      <w:r w:rsidRPr="00F94BB8">
        <w:rPr>
          <w:rFonts w:eastAsia="Times New Roman"/>
          <w:szCs w:val="17"/>
        </w:rPr>
        <w:t xml:space="preserve">Community information on mineral exploration licence processes and requirements under the </w:t>
      </w:r>
      <w:r w:rsidRPr="00F94BB8">
        <w:rPr>
          <w:rFonts w:eastAsia="Times New Roman"/>
          <w:i/>
          <w:szCs w:val="17"/>
        </w:rPr>
        <w:t>Mining Act 1971</w:t>
      </w:r>
      <w:r w:rsidRPr="00F94BB8">
        <w:rPr>
          <w:rFonts w:eastAsia="Times New Roman"/>
          <w:szCs w:val="17"/>
        </w:rPr>
        <w:t xml:space="preserve"> is available from: </w:t>
      </w:r>
      <w:hyperlink r:id="rId29" w:history="1">
        <w:r w:rsidRPr="00F94BB8">
          <w:rPr>
            <w:rFonts w:eastAsia="Times New Roman"/>
            <w:color w:val="0000FF"/>
            <w:szCs w:val="17"/>
            <w:u w:val="single"/>
          </w:rPr>
          <w:t>http://energymining.sa.gov.au/minerals/exploration/public_notices/exploration_licence_applications</w:t>
        </w:r>
      </w:hyperlink>
      <w:r w:rsidRPr="00F94BB8">
        <w:rPr>
          <w:rFonts w:eastAsia="Times New Roman"/>
          <w:szCs w:val="17"/>
        </w:rPr>
        <w:t xml:space="preserve"> or hard copy on request to Mineral Tenements.</w:t>
      </w:r>
    </w:p>
    <w:p w:rsidR="00F94BB8" w:rsidRPr="00F94BB8" w:rsidRDefault="00F94BB8" w:rsidP="00F94BB8">
      <w:pPr>
        <w:spacing w:after="0"/>
        <w:rPr>
          <w:rFonts w:eastAsia="Times New Roman"/>
          <w:szCs w:val="17"/>
        </w:rPr>
      </w:pPr>
      <w:r w:rsidRPr="00F94BB8">
        <w:rPr>
          <w:rFonts w:eastAsia="Times New Roman"/>
          <w:szCs w:val="17"/>
        </w:rPr>
        <w:t>Dated: 22 April 2021</w:t>
      </w:r>
    </w:p>
    <w:p w:rsidR="00F94BB8" w:rsidRPr="00F94BB8" w:rsidRDefault="00F94BB8" w:rsidP="00F94BB8">
      <w:pPr>
        <w:spacing w:after="0"/>
        <w:jc w:val="right"/>
        <w:rPr>
          <w:rFonts w:eastAsia="Times New Roman"/>
          <w:smallCaps/>
          <w:szCs w:val="20"/>
        </w:rPr>
      </w:pPr>
      <w:r w:rsidRPr="00F94BB8">
        <w:rPr>
          <w:rFonts w:eastAsia="Times New Roman"/>
          <w:smallCaps/>
          <w:szCs w:val="20"/>
        </w:rPr>
        <w:t>J. Martin</w:t>
      </w:r>
    </w:p>
    <w:p w:rsidR="00F94BB8" w:rsidRPr="00F94BB8" w:rsidRDefault="00F94BB8" w:rsidP="00F94BB8">
      <w:pPr>
        <w:spacing w:after="0"/>
        <w:jc w:val="right"/>
        <w:rPr>
          <w:rFonts w:eastAsia="Times New Roman"/>
          <w:szCs w:val="17"/>
        </w:rPr>
      </w:pPr>
      <w:r w:rsidRPr="00F94BB8">
        <w:rPr>
          <w:rFonts w:eastAsia="Times New Roman"/>
          <w:szCs w:val="17"/>
        </w:rPr>
        <w:t>Mining Registrar</w:t>
      </w:r>
    </w:p>
    <w:p w:rsidR="00F94BB8" w:rsidRPr="00F94BB8" w:rsidRDefault="00F94BB8" w:rsidP="00F94BB8">
      <w:pPr>
        <w:spacing w:after="0"/>
        <w:jc w:val="right"/>
        <w:rPr>
          <w:rFonts w:eastAsia="Times New Roman"/>
          <w:szCs w:val="17"/>
        </w:rPr>
      </w:pPr>
      <w:r w:rsidRPr="00F94BB8">
        <w:rPr>
          <w:rFonts w:eastAsia="Times New Roman"/>
          <w:szCs w:val="17"/>
        </w:rPr>
        <w:t>Delegate for the Minister for Energy and Mining</w:t>
      </w:r>
    </w:p>
    <w:p w:rsidR="009B21E9" w:rsidRDefault="00F94BB8" w:rsidP="00751686">
      <w:pPr>
        <w:spacing w:after="0"/>
        <w:jc w:val="right"/>
        <w:rPr>
          <w:rFonts w:eastAsia="Times New Roman"/>
          <w:szCs w:val="17"/>
        </w:rPr>
      </w:pPr>
      <w:r w:rsidRPr="00F94BB8">
        <w:rPr>
          <w:rFonts w:eastAsia="Times New Roman"/>
          <w:szCs w:val="17"/>
        </w:rPr>
        <w:t>Department for Energy and Mining</w:t>
      </w:r>
    </w:p>
    <w:p w:rsidR="00751686" w:rsidRDefault="00751686" w:rsidP="00751686">
      <w:pPr>
        <w:pBdr>
          <w:bottom w:val="single" w:sz="4" w:space="1" w:color="auto"/>
        </w:pBdr>
        <w:spacing w:after="0" w:line="52" w:lineRule="exact"/>
        <w:jc w:val="center"/>
        <w:rPr>
          <w:lang w:val="en-US"/>
        </w:rPr>
      </w:pPr>
    </w:p>
    <w:p w:rsidR="00751686" w:rsidRDefault="00751686" w:rsidP="00751686">
      <w:pPr>
        <w:pBdr>
          <w:top w:val="single" w:sz="4" w:space="1" w:color="auto"/>
        </w:pBdr>
        <w:spacing w:before="34" w:after="0" w:line="14" w:lineRule="exact"/>
        <w:jc w:val="center"/>
        <w:rPr>
          <w:lang w:val="en-US"/>
        </w:rPr>
      </w:pPr>
    </w:p>
    <w:p w:rsidR="00751686" w:rsidRDefault="00751686" w:rsidP="007516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C2E84" w:rsidRPr="002C2E84" w:rsidRDefault="002C2E84" w:rsidP="00051940">
      <w:pPr>
        <w:pStyle w:val="Heading2"/>
        <w:rPr>
          <w:lang w:eastAsia="en-AU"/>
        </w:rPr>
      </w:pPr>
      <w:bookmarkStart w:id="40" w:name="_Toc69916972"/>
      <w:r w:rsidRPr="002C2E84">
        <w:rPr>
          <w:lang w:eastAsia="en-AU"/>
        </w:rPr>
        <w:t>Motor Vehicles Act 1959</w:t>
      </w:r>
      <w:bookmarkEnd w:id="40"/>
    </w:p>
    <w:p w:rsidR="002C2E84" w:rsidRPr="002C2E84" w:rsidRDefault="002C2E84" w:rsidP="002C2E84">
      <w:pPr>
        <w:keepLines/>
        <w:autoSpaceDE w:val="0"/>
        <w:autoSpaceDN w:val="0"/>
        <w:adjustRightInd w:val="0"/>
        <w:spacing w:before="240" w:after="0" w:line="240" w:lineRule="auto"/>
        <w:jc w:val="left"/>
        <w:rPr>
          <w:rFonts w:eastAsia="Times New Roman"/>
          <w:color w:val="000000"/>
          <w:sz w:val="28"/>
          <w:szCs w:val="28"/>
          <w:lang w:eastAsia="en-AU"/>
        </w:rPr>
      </w:pPr>
      <w:r w:rsidRPr="002C2E84">
        <w:rPr>
          <w:rFonts w:eastAsia="Times New Roman"/>
          <w:color w:val="000000"/>
          <w:sz w:val="28"/>
          <w:szCs w:val="28"/>
          <w:lang w:eastAsia="en-AU"/>
        </w:rPr>
        <w:t>South Australia</w:t>
      </w:r>
    </w:p>
    <w:p w:rsidR="002C2E84" w:rsidRPr="002C2E84" w:rsidRDefault="002C2E84" w:rsidP="002C2E84">
      <w:pPr>
        <w:keepLines/>
        <w:autoSpaceDE w:val="0"/>
        <w:autoSpaceDN w:val="0"/>
        <w:adjustRightInd w:val="0"/>
        <w:spacing w:before="120" w:after="200" w:line="240" w:lineRule="auto"/>
        <w:jc w:val="left"/>
        <w:rPr>
          <w:rFonts w:eastAsia="Times New Roman"/>
          <w:b/>
          <w:bCs/>
          <w:color w:val="000000"/>
          <w:sz w:val="36"/>
          <w:szCs w:val="36"/>
          <w:lang w:eastAsia="en-AU"/>
        </w:rPr>
      </w:pPr>
      <w:r w:rsidRPr="002C2E84">
        <w:rPr>
          <w:rFonts w:eastAsia="Times New Roman"/>
          <w:b/>
          <w:bCs/>
          <w:color w:val="000000"/>
          <w:sz w:val="36"/>
          <w:szCs w:val="36"/>
          <w:lang w:eastAsia="en-AU"/>
        </w:rPr>
        <w:t>Motor Vehicles (Conditional Registration—Recognition of Motor Vehicle Clubs) Notice 2021 – Adelaide Car Club Incorporated</w:t>
      </w:r>
    </w:p>
    <w:p w:rsidR="002C2E84" w:rsidRPr="002C2E84" w:rsidRDefault="002C2E84" w:rsidP="002C2E84">
      <w:pPr>
        <w:keepLines/>
        <w:autoSpaceDE w:val="0"/>
        <w:autoSpaceDN w:val="0"/>
        <w:adjustRightInd w:val="0"/>
        <w:spacing w:before="120" w:after="200" w:line="240" w:lineRule="auto"/>
        <w:jc w:val="left"/>
        <w:rPr>
          <w:rFonts w:eastAsia="Times New Roman"/>
          <w:color w:val="000000"/>
          <w:sz w:val="24"/>
          <w:szCs w:val="24"/>
          <w:lang w:eastAsia="en-AU"/>
        </w:rPr>
      </w:pPr>
      <w:r w:rsidRPr="002C2E84">
        <w:rPr>
          <w:rFonts w:eastAsia="Times New Roman"/>
          <w:color w:val="000000"/>
          <w:sz w:val="24"/>
          <w:szCs w:val="24"/>
          <w:lang w:eastAsia="en-AU"/>
        </w:rPr>
        <w:t xml:space="preserve">under the </w:t>
      </w:r>
      <w:r w:rsidRPr="002C2E84">
        <w:rPr>
          <w:rFonts w:eastAsia="Times New Roman"/>
          <w:i/>
          <w:iCs/>
          <w:color w:val="000000"/>
          <w:sz w:val="24"/>
          <w:szCs w:val="24"/>
          <w:lang w:eastAsia="en-AU"/>
        </w:rPr>
        <w:t>Motor Vehicles Act 1959</w:t>
      </w:r>
    </w:p>
    <w:p w:rsidR="002C2E84" w:rsidRPr="002C2E84" w:rsidRDefault="002C2E84" w:rsidP="002C2E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C2E84">
        <w:rPr>
          <w:rFonts w:eastAsia="Times New Roman"/>
          <w:b/>
          <w:bCs/>
          <w:color w:val="000000"/>
          <w:sz w:val="26"/>
          <w:szCs w:val="26"/>
          <w:lang w:eastAsia="en-AU"/>
        </w:rPr>
        <w:t>1—Short title</w:t>
      </w:r>
    </w:p>
    <w:p w:rsidR="002C2E84" w:rsidRPr="002C2E84" w:rsidRDefault="002C2E84" w:rsidP="002C2E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2C2E84">
        <w:rPr>
          <w:rFonts w:eastAsia="Times New Roman"/>
          <w:color w:val="000000"/>
          <w:sz w:val="23"/>
          <w:szCs w:val="23"/>
          <w:lang w:eastAsia="en-AU"/>
        </w:rPr>
        <w:t xml:space="preserve">This notice may be cited as the </w:t>
      </w:r>
      <w:hyperlink r:id="rId30" w:history="1">
        <w:r w:rsidRPr="002C2E84">
          <w:rPr>
            <w:rFonts w:eastAsia="Times New Roman"/>
            <w:color w:val="000000"/>
            <w:sz w:val="23"/>
            <w:szCs w:val="23"/>
            <w:lang w:eastAsia="en-AU"/>
          </w:rPr>
          <w:t>Motor Vehicles (Conditional Registration—Recognition of Motor Vehicle Clubs) Notice 20</w:t>
        </w:r>
      </w:hyperlink>
      <w:r w:rsidRPr="002C2E84">
        <w:rPr>
          <w:rFonts w:eastAsia="Times New Roman"/>
          <w:color w:val="000000"/>
          <w:sz w:val="23"/>
          <w:szCs w:val="23"/>
          <w:lang w:eastAsia="en-AU"/>
        </w:rPr>
        <w:t>21 – Adelaide Car Club Incorporated.</w:t>
      </w:r>
    </w:p>
    <w:p w:rsidR="002C2E84" w:rsidRPr="002C2E84" w:rsidRDefault="002C2E84" w:rsidP="002C2E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C2E84">
        <w:rPr>
          <w:rFonts w:eastAsia="Times New Roman"/>
          <w:b/>
          <w:bCs/>
          <w:color w:val="000000"/>
          <w:sz w:val="26"/>
          <w:szCs w:val="26"/>
          <w:lang w:eastAsia="en-AU"/>
        </w:rPr>
        <w:t>2—Commencement</w:t>
      </w:r>
    </w:p>
    <w:p w:rsidR="002C2E84" w:rsidRPr="002C2E84" w:rsidRDefault="002C2E84" w:rsidP="002C2E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2C2E84">
        <w:rPr>
          <w:rFonts w:eastAsia="Times New Roman"/>
          <w:color w:val="000000"/>
          <w:sz w:val="23"/>
          <w:szCs w:val="23"/>
          <w:lang w:eastAsia="en-AU"/>
        </w:rPr>
        <w:t>This notice takes effect from the date it is published in the Gazette.</w:t>
      </w:r>
    </w:p>
    <w:p w:rsidR="002C2E84" w:rsidRPr="002C2E84" w:rsidRDefault="002C2E84" w:rsidP="002C2E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C2E84">
        <w:rPr>
          <w:rFonts w:eastAsia="Times New Roman"/>
          <w:b/>
          <w:bCs/>
          <w:color w:val="000000"/>
          <w:sz w:val="26"/>
          <w:szCs w:val="26"/>
          <w:lang w:eastAsia="en-AU"/>
        </w:rPr>
        <w:t>3—Interpretation</w:t>
      </w:r>
    </w:p>
    <w:p w:rsidR="002C2E84" w:rsidRPr="002C2E84" w:rsidRDefault="002C2E84" w:rsidP="002C2E84">
      <w:pPr>
        <w:keepNext/>
        <w:keepLines/>
        <w:autoSpaceDE w:val="0"/>
        <w:autoSpaceDN w:val="0"/>
        <w:adjustRightInd w:val="0"/>
        <w:spacing w:before="120" w:after="230" w:line="240" w:lineRule="auto"/>
        <w:ind w:left="794"/>
        <w:jc w:val="left"/>
        <w:rPr>
          <w:rFonts w:eastAsia="Times New Roman"/>
          <w:color w:val="000000"/>
          <w:sz w:val="23"/>
          <w:szCs w:val="23"/>
          <w:lang w:eastAsia="en-AU"/>
        </w:rPr>
      </w:pPr>
      <w:r w:rsidRPr="002C2E84">
        <w:rPr>
          <w:rFonts w:eastAsia="Times New Roman"/>
          <w:color w:val="000000"/>
          <w:sz w:val="23"/>
          <w:szCs w:val="23"/>
          <w:lang w:eastAsia="en-AU"/>
        </w:rPr>
        <w:t>In this notice—</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bCs/>
          <w:i/>
          <w:iCs/>
          <w:color w:val="000000"/>
          <w:sz w:val="23"/>
          <w:szCs w:val="23"/>
          <w:lang w:eastAsia="en-AU"/>
        </w:rPr>
        <w:t>Act</w:t>
      </w:r>
      <w:r w:rsidRPr="002C2E84">
        <w:rPr>
          <w:rFonts w:eastAsia="Times New Roman"/>
          <w:color w:val="000000"/>
          <w:sz w:val="23"/>
          <w:szCs w:val="23"/>
          <w:lang w:eastAsia="en-AU"/>
        </w:rPr>
        <w:t xml:space="preserve"> means the </w:t>
      </w:r>
      <w:hyperlink r:id="rId31" w:history="1">
        <w:r w:rsidRPr="002C2E84">
          <w:rPr>
            <w:rFonts w:eastAsia="Times New Roman"/>
            <w:i/>
            <w:iCs/>
            <w:color w:val="000000"/>
            <w:sz w:val="23"/>
            <w:szCs w:val="23"/>
            <w:lang w:eastAsia="en-AU"/>
          </w:rPr>
          <w:t>Motor Vehicles Act 1959</w:t>
        </w:r>
      </w:hyperlink>
      <w:r w:rsidRPr="002C2E84">
        <w:rPr>
          <w:rFonts w:eastAsia="Times New Roman"/>
          <w:color w:val="000000"/>
          <w:sz w:val="23"/>
          <w:szCs w:val="23"/>
          <w:lang w:eastAsia="en-AU"/>
        </w:rPr>
        <w:t>;</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i/>
          <w:color w:val="000000"/>
          <w:sz w:val="23"/>
          <w:szCs w:val="23"/>
          <w:lang w:eastAsia="en-AU"/>
        </w:rPr>
        <w:t>Code of Practice</w:t>
      </w:r>
      <w:r w:rsidRPr="002C2E84">
        <w:rPr>
          <w:rFonts w:eastAsia="Times New Roman"/>
          <w:color w:val="000000"/>
          <w:sz w:val="23"/>
          <w:szCs w:val="23"/>
          <w:lang w:eastAsia="en-AU"/>
        </w:rPr>
        <w:t xml:space="preserve"> means the ‘Code of Practice for Club Registration - a 90 day conditional registration scheme for historic, left hand drive and street rod vehicles’ published by the Department of Infrastructure and Transport;</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bCs/>
          <w:i/>
          <w:iCs/>
          <w:color w:val="000000"/>
          <w:sz w:val="23"/>
          <w:szCs w:val="23"/>
          <w:lang w:eastAsia="en-AU"/>
        </w:rPr>
        <w:t>Conditional Registration Scheme</w:t>
      </w:r>
      <w:r w:rsidRPr="002C2E84">
        <w:rPr>
          <w:rFonts w:eastAsia="Times New Roman"/>
          <w:color w:val="000000"/>
          <w:sz w:val="23"/>
          <w:szCs w:val="23"/>
          <w:lang w:eastAsia="en-AU"/>
        </w:rPr>
        <w:t xml:space="preserve"> or </w:t>
      </w:r>
      <w:r w:rsidRPr="002C2E84">
        <w:rPr>
          <w:rFonts w:eastAsia="Times New Roman"/>
          <w:b/>
          <w:bCs/>
          <w:i/>
          <w:iCs/>
          <w:color w:val="000000"/>
          <w:sz w:val="23"/>
          <w:szCs w:val="23"/>
          <w:lang w:eastAsia="en-AU"/>
        </w:rPr>
        <w:t>Scheme</w:t>
      </w:r>
      <w:r w:rsidRPr="002C2E84">
        <w:rPr>
          <w:rFonts w:eastAsia="Times New Roman"/>
          <w:color w:val="000000"/>
          <w:sz w:val="23"/>
          <w:szCs w:val="23"/>
          <w:lang w:eastAsia="en-AU"/>
        </w:rPr>
        <w:t xml:space="preserve"> means the scheme for conditional registration of historic, prescribed left hand drive and street rod motor vehicles under section 25 of the Act and regulations 15 and 16 of the Motor Vehicles Regulations 2010;</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i/>
          <w:color w:val="000000"/>
          <w:sz w:val="23"/>
          <w:szCs w:val="23"/>
          <w:lang w:eastAsia="en-AU"/>
        </w:rPr>
        <w:t>Department</w:t>
      </w:r>
      <w:r w:rsidRPr="002C2E84">
        <w:rPr>
          <w:rFonts w:eastAsia="Times New Roman"/>
          <w:color w:val="000000"/>
          <w:sz w:val="23"/>
          <w:szCs w:val="23"/>
          <w:lang w:eastAsia="en-AU"/>
        </w:rPr>
        <w:t xml:space="preserve"> means the Department for Infrastructure and Transport;</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i/>
          <w:color w:val="000000"/>
          <w:sz w:val="23"/>
          <w:szCs w:val="23"/>
          <w:lang w:eastAsia="en-AU"/>
        </w:rPr>
        <w:t>Federation</w:t>
      </w:r>
      <w:r w:rsidRPr="002C2E84">
        <w:rPr>
          <w:rFonts w:eastAsia="Times New Roman"/>
          <w:color w:val="000000"/>
          <w:sz w:val="23"/>
          <w:szCs w:val="23"/>
          <w:lang w:eastAsia="en-AU"/>
        </w:rPr>
        <w:t xml:space="preserve"> means the Federation of Historic Motoring Clubs Inc;</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i/>
          <w:color w:val="000000"/>
          <w:sz w:val="23"/>
          <w:szCs w:val="23"/>
          <w:lang w:eastAsia="en-AU"/>
        </w:rPr>
        <w:t>MR334 form</w:t>
      </w:r>
      <w:r w:rsidRPr="002C2E84">
        <w:rPr>
          <w:rFonts w:eastAsia="Times New Roman"/>
          <w:color w:val="000000"/>
          <w:sz w:val="23"/>
          <w:szCs w:val="23"/>
          <w:lang w:eastAsia="en-AU"/>
        </w:rPr>
        <w:t xml:space="preserve"> means an ‘</w:t>
      </w:r>
      <w:r w:rsidRPr="002C2E84">
        <w:rPr>
          <w:rFonts w:eastAsia="Times New Roman"/>
          <w:sz w:val="24"/>
          <w:szCs w:val="24"/>
          <w:lang w:eastAsia="en-AU"/>
        </w:rPr>
        <w:t>Approval for Registration of Vehicle on the Club Registration Scheme</w:t>
      </w:r>
      <w:r w:rsidRPr="002C2E84" w:rsidDel="002562B1">
        <w:rPr>
          <w:rFonts w:eastAsia="Times New Roman"/>
          <w:color w:val="000000"/>
          <w:sz w:val="23"/>
          <w:szCs w:val="23"/>
          <w:lang w:eastAsia="en-AU"/>
        </w:rPr>
        <w:t xml:space="preserve"> </w:t>
      </w:r>
      <w:r w:rsidRPr="002C2E84">
        <w:rPr>
          <w:rFonts w:eastAsia="Times New Roman"/>
          <w:color w:val="000000"/>
          <w:sz w:val="23"/>
          <w:szCs w:val="23"/>
          <w:lang w:eastAsia="en-AU"/>
        </w:rPr>
        <w:t>(MR334)’;</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i/>
          <w:color w:val="000000"/>
          <w:sz w:val="23"/>
          <w:szCs w:val="23"/>
          <w:lang w:eastAsia="en-AU"/>
        </w:rPr>
        <w:t>Prescribed log book</w:t>
      </w:r>
      <w:r w:rsidRPr="002C2E84">
        <w:rPr>
          <w:rFonts w:eastAsia="Times New Roman"/>
          <w:color w:val="000000"/>
          <w:sz w:val="23"/>
          <w:szCs w:val="23"/>
          <w:lang w:eastAsia="en-AU"/>
        </w:rPr>
        <w:t xml:space="preserve"> means a log book in a form approved by the Registrar;</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i/>
          <w:color w:val="000000"/>
          <w:sz w:val="23"/>
          <w:szCs w:val="23"/>
          <w:lang w:eastAsia="en-AU"/>
        </w:rPr>
        <w:lastRenderedPageBreak/>
        <w:t xml:space="preserve">Registrar </w:t>
      </w:r>
      <w:r w:rsidRPr="002C2E84">
        <w:rPr>
          <w:rFonts w:eastAsia="Times New Roman"/>
          <w:color w:val="000000"/>
          <w:sz w:val="23"/>
          <w:szCs w:val="23"/>
          <w:lang w:eastAsia="en-AU"/>
        </w:rPr>
        <w:t>means the Registrar of Motor Vehicles;</w:t>
      </w:r>
    </w:p>
    <w:p w:rsidR="002C2E84" w:rsidRPr="002C2E84" w:rsidRDefault="002C2E84" w:rsidP="002C2E84">
      <w:pPr>
        <w:autoSpaceDE w:val="0"/>
        <w:autoSpaceDN w:val="0"/>
        <w:adjustRightInd w:val="0"/>
        <w:spacing w:after="230" w:line="240" w:lineRule="auto"/>
        <w:ind w:left="760"/>
        <w:jc w:val="left"/>
        <w:rPr>
          <w:rFonts w:eastAsia="Times New Roman"/>
          <w:color w:val="000000"/>
          <w:sz w:val="23"/>
          <w:szCs w:val="23"/>
          <w:lang w:eastAsia="en-AU"/>
        </w:rPr>
      </w:pPr>
      <w:r w:rsidRPr="002C2E84">
        <w:rPr>
          <w:rFonts w:eastAsia="Times New Roman"/>
          <w:b/>
          <w:i/>
          <w:color w:val="000000"/>
          <w:sz w:val="23"/>
          <w:szCs w:val="23"/>
          <w:lang w:eastAsia="en-AU"/>
        </w:rPr>
        <w:t xml:space="preserve">Regulations </w:t>
      </w:r>
      <w:r w:rsidRPr="002C2E84">
        <w:rPr>
          <w:rFonts w:eastAsia="Times New Roman"/>
          <w:color w:val="000000"/>
          <w:sz w:val="23"/>
          <w:szCs w:val="23"/>
          <w:lang w:eastAsia="en-AU"/>
        </w:rPr>
        <w:t>means the Motor Vehicles Regulations 2010.</w:t>
      </w:r>
    </w:p>
    <w:p w:rsidR="002C2E84" w:rsidRPr="002C2E84" w:rsidRDefault="002C2E84" w:rsidP="002C2E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C2E84">
        <w:rPr>
          <w:rFonts w:eastAsia="Times New Roman"/>
          <w:b/>
          <w:bCs/>
          <w:color w:val="000000"/>
          <w:sz w:val="26"/>
          <w:szCs w:val="26"/>
          <w:lang w:eastAsia="en-AU"/>
        </w:rPr>
        <w:t>4—Recognition of motor vehicles clubs</w:t>
      </w:r>
    </w:p>
    <w:p w:rsidR="002C2E84" w:rsidRPr="002C2E84" w:rsidRDefault="002C2E84" w:rsidP="002C2E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2C2E84">
        <w:rPr>
          <w:rFonts w:eastAsia="Times New Roman"/>
          <w:color w:val="000000"/>
          <w:sz w:val="23"/>
          <w:szCs w:val="23"/>
          <w:lang w:eastAsia="en-AU"/>
        </w:rPr>
        <w:t xml:space="preserve">The motor vehicle clubs specified in </w:t>
      </w:r>
      <w:hyperlink w:anchor="id5608d260_1550_466c_a7d5_eca9041be6" w:history="1">
        <w:r w:rsidRPr="002C2E84">
          <w:rPr>
            <w:rFonts w:eastAsia="Times New Roman"/>
            <w:color w:val="000000"/>
            <w:sz w:val="23"/>
            <w:szCs w:val="23"/>
            <w:lang w:eastAsia="en-AU"/>
          </w:rPr>
          <w:t>Schedule 1</w:t>
        </w:r>
      </w:hyperlink>
      <w:r w:rsidRPr="002C2E84">
        <w:rPr>
          <w:rFonts w:eastAsia="Times New Roman"/>
          <w:color w:val="000000"/>
          <w:sz w:val="23"/>
          <w:szCs w:val="23"/>
          <w:lang w:eastAsia="en-AU"/>
        </w:rPr>
        <w:t xml:space="preserve"> are, subject to the conditions set out in clause </w:t>
      </w:r>
      <w:hyperlink w:anchor="id2782a17d_f046_4aac_9651_b186efd5c6" w:history="1">
        <w:r w:rsidRPr="002C2E84">
          <w:rPr>
            <w:rFonts w:eastAsia="Times New Roman"/>
            <w:color w:val="000000"/>
            <w:sz w:val="23"/>
            <w:szCs w:val="23"/>
            <w:lang w:eastAsia="en-AU"/>
          </w:rPr>
          <w:t>5</w:t>
        </w:r>
      </w:hyperlink>
      <w:r w:rsidRPr="002C2E84">
        <w:rPr>
          <w:rFonts w:eastAsia="Times New Roman"/>
          <w:color w:val="000000"/>
          <w:sz w:val="23"/>
          <w:szCs w:val="23"/>
          <w:lang w:eastAsia="en-AU"/>
        </w:rPr>
        <w:t xml:space="preserve">, recognised for the purposes of regulation 16 of </w:t>
      </w:r>
      <w:r w:rsidRPr="002C2E84">
        <w:rPr>
          <w:rFonts w:eastAsia="Times New Roman"/>
          <w:sz w:val="24"/>
          <w:szCs w:val="24"/>
          <w:lang w:eastAsia="en-AU"/>
        </w:rPr>
        <w:t>the Regulations</w:t>
      </w:r>
      <w:r w:rsidRPr="002C2E84">
        <w:rPr>
          <w:rFonts w:eastAsia="Times New Roman"/>
          <w:color w:val="000000"/>
          <w:sz w:val="23"/>
          <w:szCs w:val="23"/>
          <w:lang w:eastAsia="en-AU"/>
        </w:rPr>
        <w:t>.</w:t>
      </w:r>
    </w:p>
    <w:p w:rsidR="002C2E84" w:rsidRPr="002C2E84" w:rsidRDefault="002C2E84" w:rsidP="002C2E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C2E84">
        <w:rPr>
          <w:rFonts w:eastAsia="Times New Roman"/>
          <w:b/>
          <w:bCs/>
          <w:color w:val="000000"/>
          <w:sz w:val="26"/>
          <w:szCs w:val="26"/>
          <w:lang w:eastAsia="en-AU"/>
        </w:rPr>
        <w:t>5—Conditions of recognition</w:t>
      </w:r>
    </w:p>
    <w:p w:rsidR="002C2E84" w:rsidRPr="002C2E84" w:rsidRDefault="002C2E84" w:rsidP="002C2E8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C2E84">
        <w:rPr>
          <w:rFonts w:eastAsia="Times New Roman"/>
          <w:color w:val="000000"/>
          <w:sz w:val="23"/>
          <w:szCs w:val="23"/>
          <w:lang w:eastAsia="en-AU"/>
        </w:rPr>
        <w:t xml:space="preserve">A motor vehicle club specified in </w:t>
      </w:r>
      <w:hyperlink w:anchor="id5608d260_1550_466c_a7d5_eca9041be6" w:history="1">
        <w:r w:rsidRPr="002C2E84">
          <w:rPr>
            <w:rFonts w:eastAsia="Times New Roman"/>
            <w:color w:val="000000"/>
            <w:sz w:val="23"/>
            <w:szCs w:val="23"/>
            <w:lang w:eastAsia="en-AU"/>
          </w:rPr>
          <w:t>Schedule 1</w:t>
        </w:r>
      </w:hyperlink>
      <w:r w:rsidRPr="002C2E84">
        <w:rPr>
          <w:rFonts w:eastAsia="Times New Roman"/>
          <w:color w:val="000000"/>
          <w:sz w:val="23"/>
          <w:szCs w:val="23"/>
          <w:lang w:eastAsia="en-AU"/>
        </w:rPr>
        <w:t xml:space="preserve"> must comply with the following conditions:</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(a)</w:t>
      </w:r>
      <w:r w:rsidRPr="002C2E84">
        <w:rPr>
          <w:rFonts w:eastAsia="Times New Roman"/>
          <w:color w:val="000000"/>
          <w:sz w:val="23"/>
          <w:szCs w:val="23"/>
          <w:lang w:eastAsia="en-AU"/>
        </w:rPr>
        <w:tab/>
        <w:t>the club must maintain a constitution approved by the Registrar;</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(b)</w:t>
      </w:r>
      <w:r w:rsidRPr="002C2E84">
        <w:rPr>
          <w:rFonts w:eastAsia="Times New Roman"/>
          <w:color w:val="000000"/>
          <w:sz w:val="23"/>
          <w:szCs w:val="23"/>
          <w:lang w:eastAsia="en-AU"/>
        </w:rPr>
        <w:tab/>
        <w:t>the club must nominate and have members authorised by the Registrar (authorised persons). The club’s authorised person(s) are responsible for approving applicants and motor vehicles for registration under the Scheme. This includes confirming that Scheme applicants are financial members of a club; any other details as required by the Registrar on the MR334 form; and to inspect members’ vehicles when requested to do so by the Registrar;</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(c)</w:t>
      </w:r>
      <w:r w:rsidRPr="002C2E84">
        <w:rPr>
          <w:rFonts w:eastAsia="Times New Roman"/>
          <w:color w:val="000000"/>
          <w:sz w:val="23"/>
          <w:szCs w:val="23"/>
          <w:lang w:eastAsia="en-AU"/>
        </w:rPr>
        <w:tab/>
        <w:t>the club must issue a prescribed log book to club members for each of their vehicles to record vehicle use;</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(d)</w:t>
      </w:r>
      <w:r w:rsidRPr="002C2E84">
        <w:rPr>
          <w:rFonts w:eastAsia="Times New Roman"/>
          <w:color w:val="000000"/>
          <w:sz w:val="23"/>
          <w:szCs w:val="23"/>
          <w:lang w:eastAsia="en-AU"/>
        </w:rPr>
        <w:tab/>
        <w:t>the club must cancel a member’s prescribed log book when a member resigns, must ensure that a statutory declaration is provided when a member’s log book is lost or destroyed, must keep details of members’ prescribed log book return sheets and forward copies of the same to the Registrar or Federation annually as required;</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(e)</w:t>
      </w:r>
      <w:r w:rsidRPr="002C2E84">
        <w:rPr>
          <w:rFonts w:eastAsia="Times New Roman"/>
          <w:color w:val="000000"/>
          <w:sz w:val="23"/>
          <w:szCs w:val="23"/>
          <w:lang w:eastAsia="en-AU"/>
        </w:rPr>
        <w:tab/>
        <w:t>the club must create and maintain records detailing all its financial members, its authorised persons, all vehicles for which an MR334 form has been issued, all statutory declarations received and prescribed log books issued and returned to the club;</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(f)</w:t>
      </w:r>
      <w:r w:rsidRPr="002C2E84">
        <w:rPr>
          <w:rFonts w:eastAsia="Times New Roman"/>
          <w:color w:val="000000"/>
          <w:sz w:val="23"/>
          <w:szCs w:val="23"/>
          <w:lang w:eastAsia="en-AU"/>
        </w:rPr>
        <w:tab/>
        <w:t>the club must keep records for a period of 5 years from the date of the document and these records must include all duplicate MR334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(g)</w:t>
      </w:r>
      <w:r w:rsidRPr="002C2E84">
        <w:rPr>
          <w:rFonts w:eastAsia="Times New Roman"/>
          <w:color w:val="000000"/>
          <w:sz w:val="23"/>
          <w:szCs w:val="23"/>
          <w:lang w:eastAsia="en-AU"/>
        </w:rPr>
        <w:tab/>
        <w:t>the club must ensure, as far as practicable, that all members comply with the Code of Practice;</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(h)</w:t>
      </w:r>
      <w:r w:rsidRPr="002C2E84">
        <w:rPr>
          <w:rFonts w:eastAsia="Times New Roman"/>
          <w:color w:val="000000"/>
          <w:sz w:val="23"/>
          <w:szCs w:val="23"/>
          <w:lang w:eastAsia="en-AU"/>
        </w:rPr>
        <w:tab/>
        <w:t xml:space="preserve">the club, as far as practicable, must report to the Registrar or the Federation details of members and motor vehicles not complying with the conditions and criteria set out in the Code of Practice for the Scheme; </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(i)</w:t>
      </w:r>
      <w:r w:rsidRPr="002C2E84">
        <w:rPr>
          <w:rFonts w:eastAsia="Times New Roman"/>
          <w:color w:val="000000"/>
          <w:sz w:val="23"/>
          <w:szCs w:val="23"/>
          <w:lang w:eastAsia="en-AU"/>
        </w:rPr>
        <w:tab/>
        <w:t>the club must provide to the Registrar, within 2 months after the end of the club’s financial year, an annual report detailing members from that financial year with vehicles registered under the Scheme who are no longer financial members of the club;</w:t>
      </w:r>
    </w:p>
    <w:p w:rsidR="002C2E84" w:rsidRPr="002C2E84" w:rsidRDefault="002C2E84" w:rsidP="002C2E84">
      <w:pPr>
        <w:keepLines/>
        <w:autoSpaceDE w:val="0"/>
        <w:autoSpaceDN w:val="0"/>
        <w:adjustRightInd w:val="0"/>
        <w:spacing w:before="120" w:after="0" w:line="240" w:lineRule="auto"/>
        <w:ind w:left="1560" w:hanging="567"/>
        <w:jc w:val="left"/>
        <w:rPr>
          <w:rFonts w:eastAsia="Times New Roman"/>
          <w:color w:val="000000"/>
          <w:sz w:val="23"/>
          <w:szCs w:val="23"/>
          <w:lang w:eastAsia="en-AU"/>
        </w:rPr>
      </w:pPr>
      <w:r w:rsidRPr="002C2E84">
        <w:rPr>
          <w:rFonts w:eastAsia="Times New Roman"/>
          <w:color w:val="000000"/>
          <w:sz w:val="23"/>
          <w:szCs w:val="23"/>
          <w:lang w:eastAsia="en-AU"/>
        </w:rPr>
        <w:t>(j)</w:t>
      </w:r>
      <w:r w:rsidRPr="002C2E84">
        <w:rPr>
          <w:rFonts w:eastAsia="Times New Roman"/>
          <w:color w:val="000000"/>
          <w:sz w:val="23"/>
          <w:szCs w:val="23"/>
          <w:lang w:eastAsia="en-AU"/>
        </w:rPr>
        <w:tab/>
        <w:t>the club must notify the Registrar, in writing, within 14 days of resolution to cease operation as a club and must provide the club records specified in paragraph (f) to the Registrar within 14 days of its dissolution.</w:t>
      </w:r>
    </w:p>
    <w:p w:rsidR="002C2E84" w:rsidRPr="002C2E84" w:rsidRDefault="002C2E84" w:rsidP="002C2E84">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2C2E84">
        <w:rPr>
          <w:rFonts w:eastAsia="Times New Roman"/>
          <w:b/>
          <w:bCs/>
          <w:color w:val="000000"/>
          <w:sz w:val="20"/>
          <w:szCs w:val="20"/>
          <w:lang w:eastAsia="en-AU"/>
        </w:rPr>
        <w:lastRenderedPageBreak/>
        <w:t>Note—</w:t>
      </w:r>
    </w:p>
    <w:p w:rsidR="002C2E84" w:rsidRPr="002C2E84" w:rsidRDefault="002C2E84" w:rsidP="002C2E84">
      <w:pPr>
        <w:keepLines/>
        <w:autoSpaceDE w:val="0"/>
        <w:autoSpaceDN w:val="0"/>
        <w:adjustRightInd w:val="0"/>
        <w:spacing w:before="120" w:after="0" w:line="240" w:lineRule="auto"/>
        <w:ind w:left="1588"/>
        <w:jc w:val="left"/>
        <w:rPr>
          <w:rFonts w:eastAsia="Times New Roman"/>
          <w:color w:val="000000"/>
          <w:sz w:val="20"/>
          <w:szCs w:val="20"/>
          <w:lang w:eastAsia="en-AU"/>
        </w:rPr>
      </w:pPr>
      <w:r w:rsidRPr="002C2E84">
        <w:rPr>
          <w:rFonts w:eastAsia="Times New Roman"/>
          <w:color w:val="000000"/>
          <w:sz w:val="20"/>
          <w:szCs w:val="20"/>
          <w:lang w:eastAsia="en-AU"/>
        </w:rPr>
        <w:t xml:space="preserve">Under regulation 16(3)(c) of the </w:t>
      </w:r>
      <w:hyperlink r:id="rId32" w:history="1">
        <w:r w:rsidRPr="002C2E84">
          <w:rPr>
            <w:rFonts w:eastAsia="Times New Roman"/>
            <w:i/>
            <w:iCs/>
            <w:color w:val="000000"/>
            <w:sz w:val="20"/>
            <w:szCs w:val="20"/>
            <w:lang w:eastAsia="en-AU"/>
          </w:rPr>
          <w:t>Motor Vehicles Regulations 2010</w:t>
        </w:r>
      </w:hyperlink>
      <w:r w:rsidRPr="002C2E84">
        <w:rPr>
          <w:rFonts w:eastAsia="Times New Roman"/>
          <w:color w:val="000000"/>
          <w:sz w:val="20"/>
          <w:szCs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rsidR="002C2E84" w:rsidRPr="002C2E84" w:rsidRDefault="002C2E84" w:rsidP="002C2E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C2E84">
        <w:rPr>
          <w:rFonts w:eastAsia="Times New Roman"/>
          <w:b/>
          <w:bCs/>
          <w:color w:val="000000"/>
          <w:sz w:val="32"/>
          <w:szCs w:val="32"/>
          <w:lang w:eastAsia="en-AU"/>
        </w:rPr>
        <w:t>Schedule 1—Recognised motor vehicle clubs</w:t>
      </w:r>
    </w:p>
    <w:p w:rsidR="002C2E84" w:rsidRPr="002C2E84" w:rsidRDefault="002C2E84" w:rsidP="002C2E84">
      <w:pPr>
        <w:keepLines/>
        <w:autoSpaceDE w:val="0"/>
        <w:autoSpaceDN w:val="0"/>
        <w:adjustRightInd w:val="0"/>
        <w:spacing w:before="120" w:after="0" w:line="240" w:lineRule="auto"/>
        <w:jc w:val="left"/>
        <w:rPr>
          <w:rFonts w:eastAsia="Times New Roman"/>
          <w:b/>
          <w:bCs/>
          <w:color w:val="000000"/>
          <w:sz w:val="23"/>
          <w:szCs w:val="23"/>
          <w:lang w:eastAsia="en-AU"/>
        </w:rPr>
      </w:pPr>
      <w:r w:rsidRPr="002C2E84">
        <w:rPr>
          <w:rFonts w:eastAsia="Times New Roman"/>
          <w:b/>
          <w:bCs/>
          <w:color w:val="000000"/>
          <w:sz w:val="23"/>
          <w:szCs w:val="23"/>
          <w:lang w:eastAsia="en-AU"/>
        </w:rPr>
        <w:t>Historic, left-hand drive and street rod motor vehicle clubs</w:t>
      </w:r>
    </w:p>
    <w:p w:rsidR="002C2E84" w:rsidRPr="002C2E84" w:rsidRDefault="002C2E84" w:rsidP="002C2E84">
      <w:pPr>
        <w:keepNext/>
        <w:keepLines/>
        <w:autoSpaceDE w:val="0"/>
        <w:autoSpaceDN w:val="0"/>
        <w:adjustRightInd w:val="0"/>
        <w:spacing w:before="230" w:after="230" w:line="240" w:lineRule="auto"/>
        <w:jc w:val="left"/>
        <w:rPr>
          <w:rFonts w:ascii="Arial" w:eastAsia="Times New Roman" w:hAnsi="Arial" w:cs="Arial"/>
          <w:sz w:val="22"/>
          <w:lang w:eastAsia="en-AU"/>
        </w:rPr>
      </w:pPr>
      <w:r w:rsidRPr="002C2E84">
        <w:rPr>
          <w:rFonts w:eastAsia="Times New Roman"/>
          <w:sz w:val="23"/>
          <w:szCs w:val="23"/>
          <w:lang w:eastAsia="en-AU"/>
        </w:rPr>
        <w:t>Adelaide Car Club Incorporated</w:t>
      </w:r>
    </w:p>
    <w:p w:rsidR="002C2E84" w:rsidRPr="002C2E84" w:rsidRDefault="002C2E84" w:rsidP="002C2E84">
      <w:pPr>
        <w:keepNext/>
        <w:keepLines/>
        <w:autoSpaceDE w:val="0"/>
        <w:autoSpaceDN w:val="0"/>
        <w:adjustRightInd w:val="0"/>
        <w:spacing w:before="230" w:after="230" w:line="240" w:lineRule="auto"/>
        <w:jc w:val="left"/>
        <w:rPr>
          <w:rFonts w:eastAsia="Times New Roman"/>
          <w:b/>
          <w:bCs/>
          <w:color w:val="000000"/>
          <w:sz w:val="26"/>
          <w:szCs w:val="26"/>
          <w:lang w:eastAsia="en-AU"/>
        </w:rPr>
      </w:pPr>
      <w:r w:rsidRPr="002C2E84">
        <w:rPr>
          <w:rFonts w:eastAsia="Times New Roman"/>
          <w:b/>
          <w:bCs/>
          <w:color w:val="000000"/>
          <w:sz w:val="26"/>
          <w:szCs w:val="26"/>
          <w:lang w:eastAsia="en-AU"/>
        </w:rPr>
        <w:t>Made by the Deputy Registrar of Motor Vehicles</w:t>
      </w:r>
    </w:p>
    <w:p w:rsidR="00751686" w:rsidRDefault="002C2E84" w:rsidP="002C2E84">
      <w:pPr>
        <w:spacing w:after="0" w:line="240" w:lineRule="auto"/>
        <w:jc w:val="left"/>
        <w:rPr>
          <w:sz w:val="23"/>
          <w:szCs w:val="23"/>
          <w:lang w:eastAsia="en-AU"/>
        </w:rPr>
      </w:pPr>
      <w:r w:rsidRPr="002C2E84">
        <w:rPr>
          <w:sz w:val="23"/>
          <w:szCs w:val="23"/>
          <w:lang w:eastAsia="en-AU"/>
        </w:rPr>
        <w:t>On 15 April 2021</w:t>
      </w:r>
    </w:p>
    <w:p w:rsidR="002C2E84" w:rsidRDefault="002C2E84" w:rsidP="002C2E84">
      <w:pPr>
        <w:pBdr>
          <w:bottom w:val="single" w:sz="4" w:space="1" w:color="auto"/>
        </w:pBdr>
        <w:spacing w:after="0" w:line="52" w:lineRule="exact"/>
        <w:jc w:val="center"/>
        <w:rPr>
          <w:lang w:val="en-US"/>
        </w:rPr>
      </w:pPr>
    </w:p>
    <w:p w:rsidR="002C2E84" w:rsidRDefault="002C2E84" w:rsidP="002C2E84">
      <w:pPr>
        <w:pBdr>
          <w:top w:val="single" w:sz="4" w:space="1" w:color="auto"/>
        </w:pBdr>
        <w:spacing w:before="34" w:after="0" w:line="14" w:lineRule="exact"/>
        <w:jc w:val="center"/>
        <w:rPr>
          <w:lang w:val="en-US"/>
        </w:rPr>
      </w:pPr>
    </w:p>
    <w:p w:rsidR="002C2E84" w:rsidRDefault="002C2E84" w:rsidP="002C2E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C04CC" w:rsidRPr="004C04CC" w:rsidRDefault="004C04CC" w:rsidP="00051940">
      <w:pPr>
        <w:pStyle w:val="Heading2"/>
      </w:pPr>
      <w:bookmarkStart w:id="41" w:name="_Toc69916973"/>
      <w:r w:rsidRPr="004C04CC">
        <w:t>National Parks and Wildlife (National Parks) Regulations 2016</w:t>
      </w:r>
      <w:bookmarkEnd w:id="41"/>
    </w:p>
    <w:p w:rsidR="004C04CC" w:rsidRPr="004C04CC" w:rsidRDefault="004C04CC" w:rsidP="004C04CC">
      <w:pPr>
        <w:jc w:val="center"/>
        <w:rPr>
          <w:i/>
          <w:szCs w:val="17"/>
        </w:rPr>
      </w:pPr>
      <w:r w:rsidRPr="004C04CC">
        <w:rPr>
          <w:i/>
          <w:szCs w:val="17"/>
        </w:rPr>
        <w:t>Closure of Scott Creek Conservation Park</w:t>
      </w:r>
    </w:p>
    <w:p w:rsidR="004C04CC" w:rsidRPr="004C04CC" w:rsidRDefault="004C04CC" w:rsidP="004C04CC">
      <w:pPr>
        <w:rPr>
          <w:rFonts w:eastAsia="Times New Roman"/>
          <w:szCs w:val="17"/>
        </w:rPr>
      </w:pPr>
      <w:r w:rsidRPr="004C04CC">
        <w:rPr>
          <w:rFonts w:eastAsia="Times New Roman"/>
          <w:szCs w:val="17"/>
        </w:rPr>
        <w:t xml:space="preserve">PURSUANT to Regulation 7(3)(d) of the </w:t>
      </w:r>
      <w:r w:rsidRPr="004C04CC">
        <w:rPr>
          <w:rFonts w:eastAsia="Times New Roman"/>
          <w:i/>
          <w:szCs w:val="17"/>
        </w:rPr>
        <w:t>National Parks and Wildlife (National Parks) Regulations 2016</w:t>
      </w:r>
      <w:r w:rsidRPr="004C04CC">
        <w:rPr>
          <w:rFonts w:eastAsia="Times New Roman"/>
          <w:szCs w:val="17"/>
        </w:rPr>
        <w:t>, I, Michael Williams, Director of National Parks and Wildlife, reopen to the public, the portion of Scott Creek Conservation Park to the West of Dorset Vale Road from:</w:t>
      </w:r>
    </w:p>
    <w:p w:rsidR="004C04CC" w:rsidRPr="004C04CC" w:rsidRDefault="004C04CC" w:rsidP="004C04CC">
      <w:pPr>
        <w:ind w:left="142"/>
        <w:rPr>
          <w:rFonts w:eastAsia="Times New Roman"/>
          <w:szCs w:val="17"/>
        </w:rPr>
      </w:pPr>
      <w:r w:rsidRPr="004C04CC">
        <w:rPr>
          <w:rFonts w:eastAsia="Times New Roman"/>
          <w:szCs w:val="17"/>
        </w:rPr>
        <w:t>6.00 am on Monday, 26 April.</w:t>
      </w:r>
    </w:p>
    <w:p w:rsidR="004C04CC" w:rsidRPr="004C04CC" w:rsidRDefault="004C04CC" w:rsidP="004C04CC">
      <w:pPr>
        <w:rPr>
          <w:rFonts w:eastAsia="Times New Roman"/>
          <w:szCs w:val="17"/>
        </w:rPr>
      </w:pPr>
      <w:r w:rsidRPr="004C04CC">
        <w:rPr>
          <w:rFonts w:eastAsia="Times New Roman"/>
          <w:szCs w:val="17"/>
        </w:rPr>
        <w:t>The portion of the park East of Dorset Vale Road will remain closed until further notice. The purpose of the closure is to ensure the safety of the public following recent fires within the park area.</w:t>
      </w:r>
    </w:p>
    <w:p w:rsidR="004C04CC" w:rsidRPr="004C04CC" w:rsidRDefault="004C04CC" w:rsidP="004C04CC">
      <w:pPr>
        <w:spacing w:after="0"/>
        <w:rPr>
          <w:rFonts w:eastAsia="Times New Roman"/>
          <w:szCs w:val="17"/>
        </w:rPr>
      </w:pPr>
      <w:r w:rsidRPr="004C04CC">
        <w:rPr>
          <w:rFonts w:eastAsia="Times New Roman"/>
          <w:szCs w:val="17"/>
        </w:rPr>
        <w:t>Dated: 20 April 2021</w:t>
      </w:r>
    </w:p>
    <w:p w:rsidR="004C04CC" w:rsidRPr="004C04CC" w:rsidRDefault="004C04CC" w:rsidP="004C04CC">
      <w:pPr>
        <w:spacing w:after="0"/>
        <w:jc w:val="right"/>
        <w:rPr>
          <w:rFonts w:eastAsia="Times New Roman"/>
          <w:smallCaps/>
          <w:szCs w:val="20"/>
        </w:rPr>
      </w:pPr>
      <w:r w:rsidRPr="004C04CC">
        <w:rPr>
          <w:rFonts w:eastAsia="Times New Roman"/>
          <w:smallCaps/>
          <w:szCs w:val="20"/>
        </w:rPr>
        <w:t>M. Williams</w:t>
      </w:r>
    </w:p>
    <w:p w:rsidR="004C04CC" w:rsidRPr="004C04CC" w:rsidRDefault="004C04CC" w:rsidP="004C04CC">
      <w:pPr>
        <w:spacing w:after="0"/>
        <w:jc w:val="right"/>
        <w:rPr>
          <w:rFonts w:eastAsia="Times New Roman"/>
          <w:szCs w:val="17"/>
        </w:rPr>
      </w:pPr>
      <w:r w:rsidRPr="004C04CC">
        <w:rPr>
          <w:rFonts w:eastAsia="Times New Roman"/>
          <w:szCs w:val="17"/>
        </w:rPr>
        <w:t>Director of National Parks and Wildlife</w:t>
      </w:r>
    </w:p>
    <w:p w:rsidR="002C2E84" w:rsidRDefault="004C04CC" w:rsidP="004C04CC">
      <w:pPr>
        <w:spacing w:after="0"/>
        <w:jc w:val="right"/>
        <w:rPr>
          <w:rFonts w:eastAsia="Times New Roman"/>
          <w:szCs w:val="17"/>
        </w:rPr>
      </w:pPr>
      <w:r w:rsidRPr="004C04CC">
        <w:rPr>
          <w:rFonts w:eastAsia="Times New Roman"/>
          <w:szCs w:val="17"/>
        </w:rPr>
        <w:t>Department for Environment and Water</w:t>
      </w:r>
    </w:p>
    <w:p w:rsidR="004C04CC" w:rsidRDefault="004C04CC" w:rsidP="004C04CC">
      <w:pPr>
        <w:pBdr>
          <w:bottom w:val="single" w:sz="4" w:space="1" w:color="auto"/>
        </w:pBdr>
        <w:spacing w:after="0" w:line="52" w:lineRule="exact"/>
        <w:jc w:val="center"/>
        <w:rPr>
          <w:lang w:val="en-US"/>
        </w:rPr>
      </w:pPr>
    </w:p>
    <w:p w:rsidR="004C04CC" w:rsidRDefault="004C04CC" w:rsidP="004C04CC">
      <w:pPr>
        <w:pBdr>
          <w:top w:val="single" w:sz="4" w:space="1" w:color="auto"/>
        </w:pBdr>
        <w:spacing w:before="34" w:after="0" w:line="14" w:lineRule="exact"/>
        <w:jc w:val="center"/>
        <w:rPr>
          <w:lang w:val="en-US"/>
        </w:rPr>
      </w:pPr>
    </w:p>
    <w:p w:rsidR="004C04CC" w:rsidRDefault="004C04CC" w:rsidP="004C04C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C04CC" w:rsidRPr="004C04CC" w:rsidRDefault="004C04CC" w:rsidP="00051940">
      <w:pPr>
        <w:pStyle w:val="Heading2"/>
      </w:pPr>
      <w:bookmarkStart w:id="42" w:name="_Toc69916974"/>
      <w:r w:rsidRPr="004C04CC">
        <w:t>Petroleum And Geothermal Energy Act 2000</w:t>
      </w:r>
      <w:bookmarkEnd w:id="42"/>
    </w:p>
    <w:p w:rsidR="004C04CC" w:rsidRPr="004C04CC" w:rsidRDefault="004C04CC" w:rsidP="004C04CC">
      <w:pPr>
        <w:jc w:val="center"/>
        <w:rPr>
          <w:i/>
          <w:szCs w:val="17"/>
        </w:rPr>
      </w:pPr>
      <w:r w:rsidRPr="004C04CC">
        <w:rPr>
          <w:i/>
          <w:szCs w:val="17"/>
        </w:rPr>
        <w:t>Statement of Environmental Objectives</w:t>
      </w:r>
    </w:p>
    <w:p w:rsidR="004C04CC" w:rsidRPr="004C04CC" w:rsidRDefault="004C04CC" w:rsidP="004C04CC">
      <w:pPr>
        <w:rPr>
          <w:rFonts w:eastAsia="Times New Roman"/>
          <w:szCs w:val="17"/>
        </w:rPr>
      </w:pPr>
      <w:r w:rsidRPr="004C04CC">
        <w:rPr>
          <w:rFonts w:eastAsia="Times New Roman"/>
          <w:szCs w:val="17"/>
        </w:rPr>
        <w:t xml:space="preserve">PURSUANT to Section 104(1) of the </w:t>
      </w:r>
      <w:r w:rsidRPr="004C04CC">
        <w:rPr>
          <w:rFonts w:eastAsia="Times New Roman"/>
          <w:i/>
          <w:szCs w:val="17"/>
        </w:rPr>
        <w:t>Petroleum and Geothermal Energy Act 2000</w:t>
      </w:r>
      <w:r w:rsidRPr="004C04CC">
        <w:rPr>
          <w:rFonts w:eastAsia="Times New Roman"/>
          <w:szCs w:val="17"/>
        </w:rPr>
        <w:t xml:space="preserve"> (the Act) I, Barry Goldstein, Executive Director Energy Resources Division, Department for Energy and Mining do hereby publish the following document as having been approved as a statement of environmental objectives under the Act.</w:t>
      </w:r>
    </w:p>
    <w:p w:rsidR="004C04CC" w:rsidRPr="004C04CC" w:rsidRDefault="004C04CC" w:rsidP="004C04CC">
      <w:pPr>
        <w:rPr>
          <w:rFonts w:eastAsia="Times New Roman"/>
          <w:szCs w:val="17"/>
        </w:rPr>
      </w:pPr>
      <w:r w:rsidRPr="004C04CC">
        <w:rPr>
          <w:rFonts w:eastAsia="Times New Roman"/>
          <w:szCs w:val="17"/>
        </w:rPr>
        <w:t>Documents:</w:t>
      </w:r>
    </w:p>
    <w:p w:rsidR="004C04CC" w:rsidRPr="004C04CC" w:rsidRDefault="004C04CC" w:rsidP="004C04CC">
      <w:pPr>
        <w:ind w:left="284" w:hanging="142"/>
        <w:rPr>
          <w:rFonts w:eastAsia="Times New Roman"/>
          <w:szCs w:val="17"/>
        </w:rPr>
      </w:pPr>
      <w:r w:rsidRPr="004C04CC">
        <w:rPr>
          <w:rFonts w:eastAsia="Times New Roman"/>
          <w:szCs w:val="17"/>
        </w:rPr>
        <w:t>•</w:t>
      </w:r>
      <w:r w:rsidRPr="004C04CC">
        <w:rPr>
          <w:rFonts w:eastAsia="Times New Roman"/>
          <w:szCs w:val="17"/>
        </w:rPr>
        <w:tab/>
        <w:t>Santos Ltd, South Australia—Moomba—Statement of Environmental Objectives: Carbon Storage, March 2021</w:t>
      </w:r>
    </w:p>
    <w:p w:rsidR="004C04CC" w:rsidRPr="004C04CC" w:rsidRDefault="004C04CC" w:rsidP="004C04CC">
      <w:pPr>
        <w:rPr>
          <w:rFonts w:eastAsia="Times New Roman"/>
          <w:szCs w:val="17"/>
        </w:rPr>
      </w:pPr>
      <w:r w:rsidRPr="004C04CC">
        <w:rPr>
          <w:rFonts w:eastAsia="Times New Roman"/>
          <w:szCs w:val="17"/>
        </w:rPr>
        <w:t>This document is available for public inspection on the Environmental Register section of the following webpage:</w:t>
      </w:r>
    </w:p>
    <w:p w:rsidR="004C04CC" w:rsidRPr="004C04CC" w:rsidRDefault="00134C11" w:rsidP="004C04CC">
      <w:pPr>
        <w:ind w:firstLine="160"/>
        <w:rPr>
          <w:rFonts w:eastAsia="Times New Roman"/>
          <w:szCs w:val="17"/>
        </w:rPr>
      </w:pPr>
      <w:hyperlink r:id="rId33" w:history="1">
        <w:r w:rsidR="004C04CC" w:rsidRPr="004C04CC">
          <w:rPr>
            <w:rFonts w:eastAsia="Times New Roman"/>
            <w:color w:val="0000FF"/>
            <w:szCs w:val="17"/>
            <w:u w:val="single"/>
          </w:rPr>
          <w:t>https://www.petroleum.sa.gov.au/regulation/environmental-register</w:t>
        </w:r>
      </w:hyperlink>
    </w:p>
    <w:p w:rsidR="004C04CC" w:rsidRPr="004C04CC" w:rsidRDefault="004C04CC" w:rsidP="004C04CC">
      <w:pPr>
        <w:rPr>
          <w:rFonts w:eastAsia="Times New Roman"/>
          <w:szCs w:val="17"/>
        </w:rPr>
      </w:pPr>
      <w:r w:rsidRPr="004C04CC">
        <w:rPr>
          <w:rFonts w:eastAsia="Times New Roman"/>
          <w:szCs w:val="17"/>
        </w:rPr>
        <w:t>or at the Public Office determined pursuant to Section 107(1) of the Act to be at:</w:t>
      </w:r>
    </w:p>
    <w:p w:rsidR="004C04CC" w:rsidRPr="004C04CC" w:rsidRDefault="004C04CC" w:rsidP="004C04CC">
      <w:pPr>
        <w:spacing w:after="0"/>
        <w:ind w:left="142"/>
        <w:rPr>
          <w:rFonts w:eastAsia="Times New Roman"/>
          <w:szCs w:val="17"/>
        </w:rPr>
      </w:pPr>
      <w:r w:rsidRPr="004C04CC">
        <w:rPr>
          <w:rFonts w:eastAsia="Times New Roman"/>
          <w:szCs w:val="17"/>
        </w:rPr>
        <w:t>Energy Resources Division</w:t>
      </w:r>
    </w:p>
    <w:p w:rsidR="004C04CC" w:rsidRPr="004C04CC" w:rsidRDefault="004C04CC" w:rsidP="004C04CC">
      <w:pPr>
        <w:spacing w:after="0"/>
        <w:ind w:left="142"/>
        <w:rPr>
          <w:rFonts w:eastAsia="Times New Roman"/>
          <w:szCs w:val="17"/>
        </w:rPr>
      </w:pPr>
      <w:r w:rsidRPr="004C04CC">
        <w:rPr>
          <w:rFonts w:eastAsia="Times New Roman"/>
          <w:szCs w:val="17"/>
        </w:rPr>
        <w:t>Customer Services</w:t>
      </w:r>
    </w:p>
    <w:p w:rsidR="004C04CC" w:rsidRPr="004C04CC" w:rsidRDefault="004C04CC" w:rsidP="004C04CC">
      <w:pPr>
        <w:spacing w:after="0"/>
        <w:ind w:left="142"/>
        <w:rPr>
          <w:rFonts w:eastAsia="Times New Roman"/>
          <w:szCs w:val="17"/>
        </w:rPr>
      </w:pPr>
      <w:r w:rsidRPr="004C04CC">
        <w:rPr>
          <w:rFonts w:eastAsia="Times New Roman"/>
          <w:szCs w:val="17"/>
        </w:rPr>
        <w:t>Level 4</w:t>
      </w:r>
    </w:p>
    <w:p w:rsidR="004C04CC" w:rsidRPr="004C04CC" w:rsidRDefault="004C04CC" w:rsidP="004C04CC">
      <w:pPr>
        <w:spacing w:after="0"/>
        <w:ind w:left="142"/>
        <w:rPr>
          <w:rFonts w:eastAsia="Times New Roman"/>
          <w:szCs w:val="17"/>
        </w:rPr>
      </w:pPr>
      <w:r w:rsidRPr="004C04CC">
        <w:rPr>
          <w:rFonts w:eastAsia="Times New Roman"/>
          <w:szCs w:val="17"/>
        </w:rPr>
        <w:t>11 Waymouth Street</w:t>
      </w:r>
    </w:p>
    <w:p w:rsidR="004C04CC" w:rsidRPr="004C04CC" w:rsidRDefault="004C04CC" w:rsidP="004C04CC">
      <w:pPr>
        <w:ind w:left="142"/>
        <w:rPr>
          <w:rFonts w:eastAsia="Times New Roman"/>
          <w:szCs w:val="17"/>
        </w:rPr>
      </w:pPr>
      <w:r w:rsidRPr="004C04CC">
        <w:rPr>
          <w:rFonts w:eastAsia="Times New Roman"/>
          <w:szCs w:val="17"/>
        </w:rPr>
        <w:t>Adelaide SA 5000</w:t>
      </w:r>
    </w:p>
    <w:p w:rsidR="004C04CC" w:rsidRPr="004C04CC" w:rsidRDefault="004C04CC" w:rsidP="004C04CC">
      <w:pPr>
        <w:spacing w:after="0"/>
        <w:rPr>
          <w:rFonts w:eastAsia="Times New Roman"/>
          <w:szCs w:val="17"/>
        </w:rPr>
      </w:pPr>
      <w:r w:rsidRPr="004C04CC">
        <w:rPr>
          <w:rFonts w:eastAsia="Times New Roman"/>
          <w:szCs w:val="17"/>
        </w:rPr>
        <w:t>Dated: 16 April 2021</w:t>
      </w:r>
    </w:p>
    <w:p w:rsidR="004C04CC" w:rsidRPr="004C04CC" w:rsidRDefault="004C04CC" w:rsidP="004C04CC">
      <w:pPr>
        <w:spacing w:after="0"/>
        <w:jc w:val="right"/>
        <w:rPr>
          <w:rFonts w:eastAsia="Times New Roman"/>
          <w:smallCaps/>
          <w:szCs w:val="20"/>
        </w:rPr>
      </w:pPr>
      <w:r w:rsidRPr="004C04CC">
        <w:rPr>
          <w:rFonts w:eastAsia="Times New Roman"/>
          <w:smallCaps/>
          <w:szCs w:val="20"/>
        </w:rPr>
        <w:t>Barry Goldstein</w:t>
      </w:r>
    </w:p>
    <w:p w:rsidR="004C04CC" w:rsidRPr="004C04CC" w:rsidRDefault="004C04CC" w:rsidP="004C04CC">
      <w:pPr>
        <w:spacing w:after="0"/>
        <w:jc w:val="right"/>
        <w:rPr>
          <w:rFonts w:eastAsia="Times New Roman"/>
          <w:szCs w:val="17"/>
        </w:rPr>
      </w:pPr>
      <w:r w:rsidRPr="004C04CC">
        <w:rPr>
          <w:rFonts w:eastAsia="Times New Roman"/>
          <w:szCs w:val="17"/>
        </w:rPr>
        <w:t>Executive Director</w:t>
      </w:r>
    </w:p>
    <w:p w:rsidR="004C04CC" w:rsidRPr="004C04CC" w:rsidRDefault="004C04CC" w:rsidP="004C04CC">
      <w:pPr>
        <w:spacing w:after="0"/>
        <w:jc w:val="right"/>
        <w:rPr>
          <w:rFonts w:eastAsia="Times New Roman"/>
          <w:szCs w:val="17"/>
        </w:rPr>
      </w:pPr>
      <w:r w:rsidRPr="004C04CC">
        <w:rPr>
          <w:rFonts w:eastAsia="Times New Roman"/>
          <w:szCs w:val="17"/>
        </w:rPr>
        <w:t>Energy Resources Division</w:t>
      </w:r>
    </w:p>
    <w:p w:rsidR="004C04CC" w:rsidRPr="004C04CC" w:rsidRDefault="004C04CC" w:rsidP="004C04CC">
      <w:pPr>
        <w:spacing w:after="0"/>
        <w:jc w:val="right"/>
        <w:rPr>
          <w:rFonts w:eastAsia="Times New Roman"/>
          <w:szCs w:val="17"/>
        </w:rPr>
      </w:pPr>
      <w:r w:rsidRPr="004C04CC">
        <w:rPr>
          <w:rFonts w:eastAsia="Times New Roman"/>
          <w:szCs w:val="17"/>
        </w:rPr>
        <w:t>Department for Energy and Mining</w:t>
      </w:r>
    </w:p>
    <w:p w:rsidR="004C04CC" w:rsidRPr="004C04CC" w:rsidRDefault="004C04CC" w:rsidP="004C04CC">
      <w:pPr>
        <w:spacing w:after="0"/>
        <w:jc w:val="right"/>
        <w:rPr>
          <w:rFonts w:eastAsia="Times New Roman"/>
          <w:szCs w:val="17"/>
        </w:rPr>
      </w:pPr>
      <w:r w:rsidRPr="004C04CC">
        <w:rPr>
          <w:rFonts w:eastAsia="Times New Roman"/>
          <w:szCs w:val="17"/>
        </w:rPr>
        <w:t>Delegate of the Minister for Energy and Mining</w:t>
      </w:r>
    </w:p>
    <w:p w:rsidR="004C04CC" w:rsidRPr="004C04CC" w:rsidRDefault="004C04CC" w:rsidP="004C04CC">
      <w:pPr>
        <w:pBdr>
          <w:top w:val="single" w:sz="4" w:space="1" w:color="auto"/>
        </w:pBdr>
        <w:spacing w:before="100" w:after="0" w:line="14" w:lineRule="exact"/>
        <w:jc w:val="center"/>
        <w:rPr>
          <w:rFonts w:eastAsia="Times New Roman"/>
          <w:szCs w:val="17"/>
        </w:rPr>
      </w:pPr>
    </w:p>
    <w:p w:rsidR="004C04CC" w:rsidRPr="004C04CC" w:rsidRDefault="004C04CC" w:rsidP="004C04C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C04CC" w:rsidRPr="004C04CC" w:rsidRDefault="004C04CC" w:rsidP="004C04CC">
      <w:pPr>
        <w:jc w:val="center"/>
        <w:rPr>
          <w:caps/>
          <w:szCs w:val="17"/>
        </w:rPr>
      </w:pPr>
      <w:r w:rsidRPr="004C04CC">
        <w:rPr>
          <w:caps/>
          <w:szCs w:val="17"/>
        </w:rPr>
        <w:t>Petroleum and Geothermal Energy Act 2000</w:t>
      </w:r>
    </w:p>
    <w:p w:rsidR="004C04CC" w:rsidRPr="004C04CC" w:rsidRDefault="004C04CC" w:rsidP="004C04CC">
      <w:pPr>
        <w:jc w:val="center"/>
        <w:rPr>
          <w:i/>
          <w:szCs w:val="17"/>
        </w:rPr>
      </w:pPr>
      <w:r w:rsidRPr="004C04CC">
        <w:rPr>
          <w:i/>
          <w:szCs w:val="17"/>
        </w:rPr>
        <w:t>Suspension of Petroleum Retention Licences—PRLs 238, 239, 240, 241, 242, 243 and 244</w:t>
      </w:r>
    </w:p>
    <w:p w:rsidR="004C04CC" w:rsidRPr="004C04CC" w:rsidRDefault="004C04CC" w:rsidP="004C04CC">
      <w:pPr>
        <w:rPr>
          <w:rFonts w:eastAsia="Times New Roman"/>
          <w:szCs w:val="17"/>
        </w:rPr>
      </w:pPr>
      <w:r w:rsidRPr="004C04CC">
        <w:rPr>
          <w:rFonts w:eastAsia="Times New Roman"/>
          <w:szCs w:val="17"/>
        </w:rPr>
        <w:t xml:space="preserve">Pursuant to Section 90 of the </w:t>
      </w:r>
      <w:r w:rsidRPr="004C04CC">
        <w:rPr>
          <w:rFonts w:eastAsia="Times New Roman"/>
          <w:i/>
          <w:szCs w:val="17"/>
        </w:rPr>
        <w:t>Petroleum and Geothermal Energy Act 2000</w:t>
      </w:r>
      <w:r w:rsidRPr="004C04CC">
        <w:rPr>
          <w:rFonts w:eastAsia="Times New Roman"/>
          <w:szCs w:val="17"/>
        </w:rPr>
        <w:t>, notice is hereby given that the abovementioned Petroleum Retention Licences have been suspended from 3 April 2021 to 2 April 2022 inclusive, pursuant to delegated powers dated 29 June 2018.</w:t>
      </w:r>
    </w:p>
    <w:p w:rsidR="004C04CC" w:rsidRPr="004C04CC" w:rsidRDefault="004C04CC" w:rsidP="004C04CC">
      <w:pPr>
        <w:rPr>
          <w:rFonts w:eastAsia="Times New Roman"/>
          <w:szCs w:val="17"/>
        </w:rPr>
      </w:pPr>
      <w:r w:rsidRPr="004C04CC">
        <w:rPr>
          <w:rFonts w:eastAsia="Times New Roman"/>
          <w:szCs w:val="17"/>
        </w:rPr>
        <w:t>The expiry date of PRLs 238, 239, 240, 241, 242, 243 and 244 is now determined to be 12 November 2024.</w:t>
      </w:r>
    </w:p>
    <w:p w:rsidR="004C04CC" w:rsidRPr="004C04CC" w:rsidRDefault="004C04CC" w:rsidP="004C04CC">
      <w:pPr>
        <w:spacing w:after="0"/>
        <w:rPr>
          <w:rFonts w:eastAsia="Times New Roman"/>
          <w:szCs w:val="17"/>
        </w:rPr>
      </w:pPr>
      <w:r w:rsidRPr="004C04CC">
        <w:rPr>
          <w:rFonts w:eastAsia="Times New Roman"/>
          <w:szCs w:val="17"/>
        </w:rPr>
        <w:t>Dated: 20 April 2021</w:t>
      </w:r>
    </w:p>
    <w:p w:rsidR="004C04CC" w:rsidRPr="004C04CC" w:rsidRDefault="004C04CC" w:rsidP="004C04CC">
      <w:pPr>
        <w:spacing w:after="0"/>
        <w:jc w:val="right"/>
        <w:rPr>
          <w:rFonts w:eastAsia="Times New Roman"/>
          <w:smallCaps/>
          <w:szCs w:val="20"/>
        </w:rPr>
      </w:pPr>
      <w:r w:rsidRPr="004C04CC">
        <w:rPr>
          <w:rFonts w:eastAsia="Times New Roman"/>
          <w:smallCaps/>
          <w:szCs w:val="20"/>
        </w:rPr>
        <w:t>Barry A. Goldstein</w:t>
      </w:r>
    </w:p>
    <w:p w:rsidR="004C04CC" w:rsidRPr="004C04CC" w:rsidRDefault="004C04CC" w:rsidP="004C04CC">
      <w:pPr>
        <w:spacing w:after="0"/>
        <w:jc w:val="right"/>
        <w:rPr>
          <w:rFonts w:eastAsia="Times New Roman"/>
          <w:szCs w:val="17"/>
        </w:rPr>
      </w:pPr>
      <w:r w:rsidRPr="004C04CC">
        <w:rPr>
          <w:rFonts w:eastAsia="Times New Roman"/>
          <w:szCs w:val="17"/>
        </w:rPr>
        <w:t>Executive Director</w:t>
      </w:r>
    </w:p>
    <w:p w:rsidR="004C04CC" w:rsidRPr="004C04CC" w:rsidRDefault="004C04CC" w:rsidP="004C04CC">
      <w:pPr>
        <w:spacing w:after="0"/>
        <w:jc w:val="right"/>
        <w:rPr>
          <w:rFonts w:eastAsia="Times New Roman"/>
          <w:szCs w:val="17"/>
        </w:rPr>
      </w:pPr>
      <w:r w:rsidRPr="004C04CC">
        <w:rPr>
          <w:rFonts w:eastAsia="Times New Roman"/>
          <w:szCs w:val="17"/>
        </w:rPr>
        <w:t>Energy Resources Division</w:t>
      </w:r>
    </w:p>
    <w:p w:rsidR="004C04CC" w:rsidRPr="004C04CC" w:rsidRDefault="004C04CC" w:rsidP="004C04CC">
      <w:pPr>
        <w:spacing w:after="0"/>
        <w:jc w:val="right"/>
        <w:rPr>
          <w:rFonts w:eastAsia="Times New Roman"/>
          <w:szCs w:val="17"/>
        </w:rPr>
      </w:pPr>
      <w:r w:rsidRPr="004C04CC">
        <w:rPr>
          <w:rFonts w:eastAsia="Times New Roman"/>
          <w:szCs w:val="17"/>
        </w:rPr>
        <w:t>Department for Energy and Mining</w:t>
      </w:r>
    </w:p>
    <w:p w:rsidR="004C04CC" w:rsidRDefault="004C04CC" w:rsidP="004C04CC">
      <w:pPr>
        <w:spacing w:after="0"/>
        <w:jc w:val="right"/>
        <w:rPr>
          <w:rFonts w:eastAsia="Times New Roman"/>
          <w:szCs w:val="17"/>
        </w:rPr>
      </w:pPr>
      <w:r w:rsidRPr="004C04CC">
        <w:rPr>
          <w:rFonts w:eastAsia="Times New Roman"/>
          <w:szCs w:val="17"/>
        </w:rPr>
        <w:t>Delegate of the Minister for Energy and Mining</w:t>
      </w:r>
    </w:p>
    <w:p w:rsidR="004C04CC" w:rsidRDefault="004C04CC" w:rsidP="004C04CC">
      <w:pPr>
        <w:pBdr>
          <w:bottom w:val="single" w:sz="4" w:space="1" w:color="auto"/>
        </w:pBdr>
        <w:spacing w:after="0" w:line="52" w:lineRule="exact"/>
        <w:jc w:val="center"/>
        <w:rPr>
          <w:lang w:val="en-US"/>
        </w:rPr>
      </w:pPr>
    </w:p>
    <w:p w:rsidR="004C04CC" w:rsidRDefault="004C04CC" w:rsidP="004C04CC">
      <w:pPr>
        <w:pBdr>
          <w:top w:val="single" w:sz="4" w:space="1" w:color="auto"/>
        </w:pBdr>
        <w:spacing w:before="34" w:after="0" w:line="14" w:lineRule="exact"/>
        <w:jc w:val="center"/>
        <w:rPr>
          <w:lang w:val="en-US"/>
        </w:rPr>
      </w:pPr>
    </w:p>
    <w:p w:rsidR="004C04CC" w:rsidRDefault="004C04CC">
      <w:pPr>
        <w:spacing w:after="0" w:line="240" w:lineRule="auto"/>
        <w:jc w:val="left"/>
        <w:rPr>
          <w:lang w:val="en-US"/>
        </w:rPr>
      </w:pPr>
      <w:r>
        <w:rPr>
          <w:lang w:val="en-US"/>
        </w:rPr>
        <w:br w:type="page"/>
      </w:r>
    </w:p>
    <w:p w:rsidR="00103110" w:rsidRPr="00103110" w:rsidRDefault="00103110" w:rsidP="00051940">
      <w:pPr>
        <w:pStyle w:val="Heading2"/>
      </w:pPr>
      <w:bookmarkStart w:id="43" w:name="_Toc69916975"/>
      <w:r w:rsidRPr="00103110">
        <w:lastRenderedPageBreak/>
        <w:t>Planning, Development and Infrastructure Act 2016</w:t>
      </w:r>
      <w:bookmarkEnd w:id="43"/>
    </w:p>
    <w:p w:rsidR="00103110" w:rsidRPr="00103110" w:rsidRDefault="00103110" w:rsidP="00103110">
      <w:pPr>
        <w:jc w:val="center"/>
        <w:rPr>
          <w:smallCaps/>
          <w:szCs w:val="17"/>
        </w:rPr>
      </w:pPr>
      <w:r w:rsidRPr="00103110">
        <w:rPr>
          <w:smallCaps/>
          <w:szCs w:val="17"/>
        </w:rPr>
        <w:t>Section 76</w:t>
      </w:r>
    </w:p>
    <w:p w:rsidR="00103110" w:rsidRPr="00103110" w:rsidRDefault="00103110" w:rsidP="00103110">
      <w:pPr>
        <w:jc w:val="center"/>
        <w:rPr>
          <w:i/>
          <w:szCs w:val="17"/>
        </w:rPr>
      </w:pPr>
      <w:r w:rsidRPr="00103110">
        <w:rPr>
          <w:i/>
          <w:szCs w:val="17"/>
        </w:rPr>
        <w:t>Amendment to the Planning and Design Code</w:t>
      </w:r>
    </w:p>
    <w:p w:rsidR="00103110" w:rsidRPr="00103110" w:rsidRDefault="00103110" w:rsidP="00103110">
      <w:pPr>
        <w:rPr>
          <w:rFonts w:eastAsia="Times New Roman"/>
          <w:i/>
          <w:szCs w:val="17"/>
        </w:rPr>
      </w:pPr>
      <w:r w:rsidRPr="00103110">
        <w:rPr>
          <w:rFonts w:eastAsia="Times New Roman"/>
          <w:i/>
          <w:szCs w:val="17"/>
        </w:rPr>
        <w:t>Preamble</w:t>
      </w:r>
    </w:p>
    <w:p w:rsidR="00103110" w:rsidRPr="00103110" w:rsidRDefault="00103110" w:rsidP="00103110">
      <w:pPr>
        <w:rPr>
          <w:rFonts w:eastAsia="Times New Roman"/>
          <w:szCs w:val="17"/>
        </w:rPr>
      </w:pPr>
      <w:r w:rsidRPr="00103110">
        <w:rPr>
          <w:rFonts w:eastAsia="Times New Roman"/>
          <w:szCs w:val="17"/>
        </w:rPr>
        <w:t>It is necessary to amend the Planning and Design Code (the Code) in operation at 8 April 2021 (Version 2021.4) in order to make changes of form, address inconsistency and correct errors that relate to:</w:t>
      </w:r>
    </w:p>
    <w:p w:rsidR="00103110" w:rsidRPr="00103110" w:rsidRDefault="00103110" w:rsidP="00103110">
      <w:pPr>
        <w:ind w:left="284" w:hanging="142"/>
        <w:rPr>
          <w:rFonts w:eastAsia="Times New Roman"/>
          <w:szCs w:val="17"/>
        </w:rPr>
      </w:pPr>
      <w:r w:rsidRPr="00103110">
        <w:rPr>
          <w:rFonts w:eastAsia="Times New Roman"/>
          <w:szCs w:val="17"/>
        </w:rPr>
        <w:t>•</w:t>
      </w:r>
      <w:r w:rsidRPr="00103110">
        <w:rPr>
          <w:rFonts w:eastAsia="Times New Roman"/>
          <w:szCs w:val="17"/>
        </w:rPr>
        <w:tab/>
        <w:t>Remove references to ‘Significant Tree Overlay’ from the Code wherever it appears (e.g. Classification Tables), being an Overlay that does not exist in the Code</w:t>
      </w:r>
    </w:p>
    <w:p w:rsidR="00103110" w:rsidRPr="00103110" w:rsidRDefault="00103110" w:rsidP="00103110">
      <w:pPr>
        <w:ind w:left="284" w:hanging="142"/>
        <w:rPr>
          <w:rFonts w:eastAsia="Times New Roman"/>
          <w:szCs w:val="17"/>
        </w:rPr>
      </w:pPr>
      <w:r w:rsidRPr="00103110">
        <w:rPr>
          <w:rFonts w:eastAsia="Times New Roman"/>
          <w:szCs w:val="17"/>
        </w:rPr>
        <w:t>•</w:t>
      </w:r>
      <w:r w:rsidRPr="00103110">
        <w:rPr>
          <w:rFonts w:eastAsia="Times New Roman"/>
          <w:szCs w:val="17"/>
        </w:rPr>
        <w:tab/>
        <w:t>Correct references to bushfire overlays used in zone Tables 1 and 2 to be consistent with naming conventions adopted for these hazard overlays used in the Code</w:t>
      </w:r>
    </w:p>
    <w:p w:rsidR="00103110" w:rsidRPr="00103110" w:rsidRDefault="00103110" w:rsidP="00103110">
      <w:pPr>
        <w:ind w:left="284" w:hanging="142"/>
        <w:rPr>
          <w:rFonts w:eastAsia="Times New Roman"/>
          <w:szCs w:val="17"/>
        </w:rPr>
      </w:pPr>
      <w:r w:rsidRPr="00103110">
        <w:rPr>
          <w:rFonts w:eastAsia="Times New Roman"/>
          <w:szCs w:val="17"/>
        </w:rPr>
        <w:t>•</w:t>
      </w:r>
      <w:r w:rsidRPr="00103110">
        <w:rPr>
          <w:rFonts w:eastAsia="Times New Roman"/>
          <w:szCs w:val="17"/>
        </w:rPr>
        <w:tab/>
      </w:r>
      <w:r w:rsidRPr="00103110">
        <w:rPr>
          <w:rFonts w:eastAsia="Times New Roman"/>
          <w:spacing w:val="-2"/>
          <w:szCs w:val="17"/>
        </w:rPr>
        <w:t>Delete stormwater quality DTS/DPF criteria in the Design General Development Policies to reflect the Commission’s Engagement Report</w:t>
      </w:r>
    </w:p>
    <w:p w:rsidR="00103110" w:rsidRPr="00103110" w:rsidRDefault="00103110" w:rsidP="00103110">
      <w:pPr>
        <w:ind w:left="284" w:hanging="142"/>
        <w:rPr>
          <w:rFonts w:eastAsia="Times New Roman"/>
          <w:szCs w:val="17"/>
        </w:rPr>
      </w:pPr>
      <w:r w:rsidRPr="00103110">
        <w:rPr>
          <w:rFonts w:eastAsia="Times New Roman"/>
          <w:szCs w:val="17"/>
        </w:rPr>
        <w:t>•</w:t>
      </w:r>
      <w:r w:rsidRPr="00103110">
        <w:rPr>
          <w:rFonts w:eastAsia="Times New Roman"/>
          <w:szCs w:val="17"/>
        </w:rPr>
        <w:tab/>
        <w:t>Adjust criteria in the City Living Zone to reflect the Commission’s Engagement Report to accommodate longer boundary wall lengths in designated subzones</w:t>
      </w:r>
    </w:p>
    <w:p w:rsidR="00103110" w:rsidRPr="00103110" w:rsidRDefault="00103110" w:rsidP="00103110">
      <w:pPr>
        <w:ind w:left="284" w:hanging="142"/>
        <w:rPr>
          <w:rFonts w:eastAsia="Times New Roman"/>
          <w:szCs w:val="17"/>
        </w:rPr>
      </w:pPr>
      <w:r w:rsidRPr="00103110">
        <w:rPr>
          <w:rFonts w:eastAsia="Times New Roman"/>
          <w:szCs w:val="17"/>
        </w:rPr>
        <w:t>•</w:t>
      </w:r>
      <w:r w:rsidRPr="00103110">
        <w:rPr>
          <w:rFonts w:eastAsia="Times New Roman"/>
          <w:szCs w:val="17"/>
        </w:rPr>
        <w:tab/>
        <w:t>Amend the Hills Neighbourhood Zone to increase the boundary wall height criteria used to trigger notification to be consistent with zone policy</w:t>
      </w:r>
    </w:p>
    <w:p w:rsidR="00103110" w:rsidRPr="00103110" w:rsidRDefault="00103110" w:rsidP="00103110">
      <w:pPr>
        <w:ind w:left="284" w:hanging="142"/>
        <w:rPr>
          <w:rFonts w:eastAsia="Times New Roman"/>
          <w:szCs w:val="17"/>
        </w:rPr>
      </w:pPr>
      <w:r w:rsidRPr="00103110">
        <w:rPr>
          <w:rFonts w:eastAsia="Times New Roman"/>
          <w:szCs w:val="17"/>
        </w:rPr>
        <w:t>•</w:t>
      </w:r>
      <w:r w:rsidRPr="00103110">
        <w:rPr>
          <w:rFonts w:eastAsia="Times New Roman"/>
          <w:szCs w:val="17"/>
        </w:rPr>
        <w:tab/>
        <w:t>Amend Conservation Zone linkages so that Visitor Experience Subzone policy is only returned via the online Code’s query functions where the Subzone spatially applies</w:t>
      </w:r>
    </w:p>
    <w:p w:rsidR="00103110" w:rsidRPr="00103110" w:rsidRDefault="00103110" w:rsidP="00103110">
      <w:pPr>
        <w:ind w:left="284" w:hanging="142"/>
        <w:rPr>
          <w:rFonts w:eastAsia="Times New Roman"/>
          <w:szCs w:val="17"/>
        </w:rPr>
      </w:pPr>
      <w:r w:rsidRPr="00103110">
        <w:rPr>
          <w:rFonts w:eastAsia="Times New Roman"/>
          <w:szCs w:val="17"/>
        </w:rPr>
        <w:t>•</w:t>
      </w:r>
      <w:r w:rsidRPr="00103110">
        <w:rPr>
          <w:rFonts w:eastAsia="Times New Roman"/>
          <w:szCs w:val="17"/>
        </w:rPr>
        <w:tab/>
        <w:t>Adjust the Code’s spatial layers to maintain the correct relationship between parcels and Code spatial layers.</w:t>
      </w:r>
    </w:p>
    <w:p w:rsidR="00103110" w:rsidRPr="00103110" w:rsidRDefault="00103110" w:rsidP="00103110">
      <w:pPr>
        <w:rPr>
          <w:rFonts w:eastAsia="Times New Roman"/>
          <w:szCs w:val="17"/>
        </w:rPr>
      </w:pPr>
      <w:r w:rsidRPr="00103110">
        <w:rPr>
          <w:rFonts w:eastAsia="Times New Roman"/>
          <w:szCs w:val="17"/>
        </w:rPr>
        <w:t xml:space="preserve">PURSUANT to Section 76(1)(a) and (b) of the </w:t>
      </w:r>
      <w:r w:rsidRPr="00103110">
        <w:rPr>
          <w:rFonts w:eastAsia="Times New Roman"/>
          <w:i/>
          <w:szCs w:val="17"/>
        </w:rPr>
        <w:t>Planning, Development and Infrastructure Act 2016</w:t>
      </w:r>
      <w:r w:rsidRPr="00103110">
        <w:rPr>
          <w:rFonts w:eastAsia="Times New Roman"/>
          <w:szCs w:val="17"/>
        </w:rPr>
        <w:t>, I—</w:t>
      </w:r>
    </w:p>
    <w:p w:rsidR="00103110" w:rsidRPr="00103110" w:rsidRDefault="00103110" w:rsidP="00103110">
      <w:pPr>
        <w:ind w:left="426" w:hanging="284"/>
        <w:rPr>
          <w:rFonts w:eastAsia="Times New Roman"/>
          <w:szCs w:val="17"/>
        </w:rPr>
      </w:pPr>
      <w:r w:rsidRPr="00103110">
        <w:rPr>
          <w:rFonts w:eastAsia="Times New Roman"/>
          <w:szCs w:val="17"/>
        </w:rPr>
        <w:t>1.</w:t>
      </w:r>
      <w:r w:rsidRPr="00103110">
        <w:rPr>
          <w:rFonts w:eastAsia="Times New Roman"/>
          <w:szCs w:val="17"/>
        </w:rPr>
        <w:tab/>
        <w:t>Amend the Code as follows:</w:t>
      </w:r>
    </w:p>
    <w:p w:rsidR="00103110" w:rsidRPr="00103110" w:rsidRDefault="00103110" w:rsidP="00103110">
      <w:pPr>
        <w:ind w:left="709" w:hanging="283"/>
        <w:rPr>
          <w:rFonts w:eastAsia="Times New Roman"/>
          <w:szCs w:val="17"/>
        </w:rPr>
      </w:pPr>
      <w:r w:rsidRPr="00103110">
        <w:rPr>
          <w:rFonts w:eastAsia="Times New Roman"/>
          <w:szCs w:val="17"/>
        </w:rPr>
        <w:t>a.</w:t>
      </w:r>
      <w:r w:rsidRPr="00103110">
        <w:rPr>
          <w:rFonts w:eastAsia="Times New Roman"/>
          <w:szCs w:val="17"/>
        </w:rPr>
        <w:tab/>
        <w:t xml:space="preserve">For all zones where ‘advertisement’ is listed in the class of development column of </w:t>
      </w:r>
      <w:r w:rsidRPr="00103110">
        <w:rPr>
          <w:rFonts w:eastAsia="Times New Roman"/>
          <w:i/>
          <w:szCs w:val="17"/>
        </w:rPr>
        <w:t>Table 2—Deemed-to-Satisfy Development Classification</w:t>
      </w:r>
      <w:r w:rsidRPr="00103110">
        <w:rPr>
          <w:rFonts w:eastAsia="Times New Roman"/>
          <w:szCs w:val="17"/>
        </w:rPr>
        <w:t xml:space="preserve">, remove the ‘Significant Tree Overlay’ from under the heading ‘Except where any of the following apply:’ </w:t>
      </w:r>
      <w:r w:rsidRPr="00103110">
        <w:rPr>
          <w:rFonts w:eastAsia="Times New Roman"/>
          <w:szCs w:val="17"/>
        </w:rPr>
        <w:br/>
        <w:t>for that class of development.</w:t>
      </w:r>
    </w:p>
    <w:p w:rsidR="00103110" w:rsidRPr="00103110" w:rsidRDefault="00103110" w:rsidP="00103110">
      <w:pPr>
        <w:ind w:left="709" w:hanging="283"/>
        <w:rPr>
          <w:rFonts w:eastAsia="Times New Roman"/>
          <w:szCs w:val="17"/>
        </w:rPr>
      </w:pPr>
      <w:r w:rsidRPr="00103110">
        <w:rPr>
          <w:rFonts w:eastAsia="Times New Roman"/>
          <w:szCs w:val="17"/>
        </w:rPr>
        <w:t>b.</w:t>
      </w:r>
      <w:r w:rsidRPr="00103110">
        <w:rPr>
          <w:rFonts w:eastAsia="Times New Roman"/>
          <w:szCs w:val="17"/>
        </w:rPr>
        <w:tab/>
      </w:r>
      <w:r w:rsidRPr="00103110">
        <w:rPr>
          <w:rFonts w:eastAsia="Times New Roman"/>
          <w:spacing w:val="-2"/>
          <w:szCs w:val="17"/>
        </w:rPr>
        <w:t xml:space="preserve">Update Table 1—Accepted Development Classification and </w:t>
      </w:r>
      <w:r w:rsidRPr="00103110">
        <w:rPr>
          <w:rFonts w:eastAsia="Times New Roman"/>
          <w:i/>
          <w:spacing w:val="-2"/>
          <w:szCs w:val="17"/>
        </w:rPr>
        <w:t>Table 2—Deemed-to-Satisfy Development Classification</w:t>
      </w:r>
      <w:r w:rsidRPr="00103110">
        <w:rPr>
          <w:rFonts w:eastAsia="Times New Roman"/>
          <w:spacing w:val="-2"/>
          <w:szCs w:val="17"/>
        </w:rPr>
        <w:t xml:space="preserve"> of all Zones by replacing (wherever it appears) the ‘Overlay Name’ with the corresponding ‘Replacement Name’ as per the following table:</w:t>
      </w:r>
    </w:p>
    <w:tbl>
      <w:tblPr>
        <w:tblStyle w:val="TableGrid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3680"/>
      </w:tblGrid>
      <w:tr w:rsidR="00103110" w:rsidRPr="00103110" w:rsidTr="00A354F7">
        <w:trPr>
          <w:tblHeader/>
        </w:trPr>
        <w:tc>
          <w:tcPr>
            <w:tcW w:w="4966" w:type="dxa"/>
            <w:tcBorders>
              <w:top w:val="single" w:sz="4" w:space="0" w:color="auto"/>
              <w:bottom w:val="single" w:sz="4" w:space="0" w:color="auto"/>
            </w:tcBorders>
            <w:vAlign w:val="center"/>
          </w:tcPr>
          <w:p w:rsidR="00103110" w:rsidRPr="00103110" w:rsidRDefault="00103110" w:rsidP="00103110">
            <w:pPr>
              <w:spacing w:before="40" w:after="40"/>
              <w:jc w:val="center"/>
              <w:rPr>
                <w:b/>
                <w:szCs w:val="17"/>
              </w:rPr>
            </w:pPr>
            <w:r w:rsidRPr="00103110">
              <w:rPr>
                <w:b/>
                <w:szCs w:val="17"/>
              </w:rPr>
              <w:t>Overlay Name</w:t>
            </w:r>
          </w:p>
        </w:tc>
        <w:tc>
          <w:tcPr>
            <w:tcW w:w="3680" w:type="dxa"/>
            <w:tcBorders>
              <w:top w:val="single" w:sz="4" w:space="0" w:color="auto"/>
              <w:bottom w:val="single" w:sz="4" w:space="0" w:color="auto"/>
            </w:tcBorders>
            <w:vAlign w:val="center"/>
          </w:tcPr>
          <w:p w:rsidR="00103110" w:rsidRPr="00103110" w:rsidRDefault="00103110" w:rsidP="00103110">
            <w:pPr>
              <w:spacing w:before="40" w:after="40"/>
              <w:jc w:val="center"/>
              <w:rPr>
                <w:b/>
                <w:szCs w:val="17"/>
              </w:rPr>
            </w:pPr>
            <w:r w:rsidRPr="00103110">
              <w:rPr>
                <w:b/>
                <w:szCs w:val="17"/>
              </w:rPr>
              <w:t>Replacement Name</w:t>
            </w:r>
          </w:p>
        </w:tc>
      </w:tr>
      <w:tr w:rsidR="00103110" w:rsidRPr="00103110" w:rsidTr="00A354F7">
        <w:trPr>
          <w:tblHeader/>
        </w:trPr>
        <w:tc>
          <w:tcPr>
            <w:tcW w:w="4966" w:type="dxa"/>
            <w:tcBorders>
              <w:top w:val="single" w:sz="4" w:space="0" w:color="auto"/>
            </w:tcBorders>
          </w:tcPr>
          <w:p w:rsidR="00103110" w:rsidRPr="00103110" w:rsidRDefault="00103110" w:rsidP="00103110">
            <w:pPr>
              <w:spacing w:after="0" w:line="80" w:lineRule="exact"/>
              <w:jc w:val="left"/>
              <w:rPr>
                <w:szCs w:val="17"/>
              </w:rPr>
            </w:pPr>
          </w:p>
        </w:tc>
        <w:tc>
          <w:tcPr>
            <w:tcW w:w="3680" w:type="dxa"/>
            <w:tcBorders>
              <w:top w:val="single" w:sz="4" w:space="0" w:color="auto"/>
            </w:tcBorders>
          </w:tcPr>
          <w:p w:rsidR="00103110" w:rsidRPr="00103110" w:rsidRDefault="00103110" w:rsidP="00103110">
            <w:pPr>
              <w:spacing w:after="0" w:line="80" w:lineRule="exact"/>
              <w:jc w:val="left"/>
              <w:rPr>
                <w:szCs w:val="17"/>
              </w:rPr>
            </w:pPr>
          </w:p>
        </w:tc>
      </w:tr>
      <w:tr w:rsidR="00103110" w:rsidRPr="00103110" w:rsidTr="00A354F7">
        <w:tc>
          <w:tcPr>
            <w:tcW w:w="4966" w:type="dxa"/>
          </w:tcPr>
          <w:p w:rsidR="00103110" w:rsidRPr="00103110" w:rsidRDefault="00103110" w:rsidP="00103110">
            <w:pPr>
              <w:spacing w:after="20"/>
              <w:ind w:left="181"/>
              <w:jc w:val="left"/>
              <w:rPr>
                <w:szCs w:val="17"/>
              </w:rPr>
            </w:pPr>
            <w:r w:rsidRPr="00103110">
              <w:rPr>
                <w:szCs w:val="17"/>
              </w:rPr>
              <w:t xml:space="preserve">Hazards (Bushfire—General Risk) </w:t>
            </w:r>
            <w:r w:rsidRPr="00103110">
              <w:rPr>
                <w:i/>
                <w:szCs w:val="17"/>
              </w:rPr>
              <w:t>(General)</w:t>
            </w:r>
            <w:r w:rsidRPr="00103110">
              <w:rPr>
                <w:szCs w:val="17"/>
              </w:rPr>
              <w:t xml:space="preserve"> Overlay</w:t>
            </w:r>
          </w:p>
        </w:tc>
        <w:tc>
          <w:tcPr>
            <w:tcW w:w="3680" w:type="dxa"/>
          </w:tcPr>
          <w:p w:rsidR="00103110" w:rsidRPr="00103110" w:rsidRDefault="00103110" w:rsidP="00103110">
            <w:pPr>
              <w:spacing w:after="20"/>
              <w:ind w:left="176"/>
              <w:jc w:val="left"/>
              <w:rPr>
                <w:szCs w:val="17"/>
              </w:rPr>
            </w:pPr>
            <w:r w:rsidRPr="00103110">
              <w:rPr>
                <w:szCs w:val="17"/>
              </w:rPr>
              <w:t>Hazards (Bushfire—General Risk) Overlay</w:t>
            </w:r>
          </w:p>
        </w:tc>
      </w:tr>
      <w:tr w:rsidR="00103110" w:rsidRPr="00103110" w:rsidTr="00A354F7">
        <w:tc>
          <w:tcPr>
            <w:tcW w:w="4966" w:type="dxa"/>
          </w:tcPr>
          <w:p w:rsidR="00103110" w:rsidRPr="00103110" w:rsidRDefault="00103110" w:rsidP="00103110">
            <w:pPr>
              <w:spacing w:after="20"/>
              <w:ind w:left="181"/>
              <w:jc w:val="left"/>
              <w:rPr>
                <w:szCs w:val="17"/>
              </w:rPr>
            </w:pPr>
            <w:r w:rsidRPr="00103110">
              <w:rPr>
                <w:szCs w:val="17"/>
              </w:rPr>
              <w:t xml:space="preserve">Hazards (Bushfire—Medium Risk) </w:t>
            </w:r>
            <w:r w:rsidRPr="00103110">
              <w:rPr>
                <w:i/>
                <w:szCs w:val="17"/>
              </w:rPr>
              <w:t>(Medium)</w:t>
            </w:r>
            <w:r w:rsidRPr="00103110">
              <w:rPr>
                <w:szCs w:val="17"/>
              </w:rPr>
              <w:t xml:space="preserve"> Overlay</w:t>
            </w:r>
          </w:p>
        </w:tc>
        <w:tc>
          <w:tcPr>
            <w:tcW w:w="3680" w:type="dxa"/>
          </w:tcPr>
          <w:p w:rsidR="00103110" w:rsidRPr="00103110" w:rsidRDefault="00103110" w:rsidP="00103110">
            <w:pPr>
              <w:spacing w:after="20"/>
              <w:ind w:left="176"/>
              <w:jc w:val="left"/>
              <w:rPr>
                <w:szCs w:val="17"/>
              </w:rPr>
            </w:pPr>
            <w:r w:rsidRPr="00103110">
              <w:rPr>
                <w:szCs w:val="17"/>
              </w:rPr>
              <w:t>Hazards (Bushfire—Medium Risk) Overlay</w:t>
            </w:r>
          </w:p>
        </w:tc>
      </w:tr>
      <w:tr w:rsidR="00103110" w:rsidRPr="00103110" w:rsidTr="00A354F7">
        <w:tc>
          <w:tcPr>
            <w:tcW w:w="4966" w:type="dxa"/>
          </w:tcPr>
          <w:p w:rsidR="00103110" w:rsidRPr="00103110" w:rsidRDefault="00103110" w:rsidP="00103110">
            <w:pPr>
              <w:spacing w:after="20"/>
              <w:ind w:left="181"/>
              <w:jc w:val="left"/>
              <w:rPr>
                <w:szCs w:val="17"/>
              </w:rPr>
            </w:pPr>
            <w:r w:rsidRPr="00103110">
              <w:rPr>
                <w:szCs w:val="17"/>
              </w:rPr>
              <w:t xml:space="preserve">Hazards (Bushfire—High Risk) </w:t>
            </w:r>
            <w:r w:rsidRPr="00103110">
              <w:rPr>
                <w:i/>
                <w:szCs w:val="17"/>
              </w:rPr>
              <w:t>(High)</w:t>
            </w:r>
            <w:r w:rsidRPr="00103110">
              <w:rPr>
                <w:szCs w:val="17"/>
              </w:rPr>
              <w:t xml:space="preserve"> Overlay</w:t>
            </w:r>
          </w:p>
        </w:tc>
        <w:tc>
          <w:tcPr>
            <w:tcW w:w="3680" w:type="dxa"/>
          </w:tcPr>
          <w:p w:rsidR="00103110" w:rsidRPr="00103110" w:rsidRDefault="00103110" w:rsidP="00103110">
            <w:pPr>
              <w:spacing w:after="20"/>
              <w:ind w:left="176"/>
              <w:jc w:val="left"/>
              <w:rPr>
                <w:szCs w:val="17"/>
              </w:rPr>
            </w:pPr>
            <w:r w:rsidRPr="00103110">
              <w:rPr>
                <w:szCs w:val="17"/>
              </w:rPr>
              <w:t>Hazards (Bushfire—High Risk) Overlay</w:t>
            </w:r>
          </w:p>
        </w:tc>
      </w:tr>
      <w:tr w:rsidR="00103110" w:rsidRPr="00103110" w:rsidTr="00A354F7">
        <w:tc>
          <w:tcPr>
            <w:tcW w:w="4966" w:type="dxa"/>
          </w:tcPr>
          <w:p w:rsidR="00103110" w:rsidRPr="00103110" w:rsidRDefault="00103110" w:rsidP="00103110">
            <w:pPr>
              <w:spacing w:after="20"/>
              <w:ind w:left="181"/>
              <w:jc w:val="left"/>
              <w:rPr>
                <w:szCs w:val="17"/>
              </w:rPr>
            </w:pPr>
            <w:r w:rsidRPr="00103110">
              <w:rPr>
                <w:szCs w:val="17"/>
              </w:rPr>
              <w:t xml:space="preserve">Hazards (Bushfire—Regional) </w:t>
            </w:r>
            <w:r w:rsidRPr="00103110">
              <w:rPr>
                <w:i/>
                <w:szCs w:val="17"/>
              </w:rPr>
              <w:t>(Regional)</w:t>
            </w:r>
            <w:r w:rsidRPr="00103110">
              <w:rPr>
                <w:szCs w:val="17"/>
              </w:rPr>
              <w:t xml:space="preserve"> Overlay</w:t>
            </w:r>
          </w:p>
        </w:tc>
        <w:tc>
          <w:tcPr>
            <w:tcW w:w="3680" w:type="dxa"/>
          </w:tcPr>
          <w:p w:rsidR="00103110" w:rsidRPr="00103110" w:rsidRDefault="00103110" w:rsidP="00103110">
            <w:pPr>
              <w:spacing w:after="20"/>
              <w:ind w:left="176"/>
              <w:jc w:val="left"/>
              <w:rPr>
                <w:szCs w:val="17"/>
              </w:rPr>
            </w:pPr>
            <w:r w:rsidRPr="00103110">
              <w:rPr>
                <w:szCs w:val="17"/>
              </w:rPr>
              <w:t>Hazards (Bushfire—Regional) Overlay</w:t>
            </w:r>
          </w:p>
        </w:tc>
      </w:tr>
      <w:tr w:rsidR="00103110" w:rsidRPr="00103110" w:rsidTr="00A354F7">
        <w:tc>
          <w:tcPr>
            <w:tcW w:w="4966" w:type="dxa"/>
          </w:tcPr>
          <w:p w:rsidR="00103110" w:rsidRPr="00103110" w:rsidRDefault="00103110" w:rsidP="00103110">
            <w:pPr>
              <w:spacing w:after="20"/>
              <w:ind w:left="181"/>
              <w:jc w:val="left"/>
              <w:rPr>
                <w:szCs w:val="17"/>
              </w:rPr>
            </w:pPr>
            <w:r w:rsidRPr="00103110">
              <w:rPr>
                <w:szCs w:val="17"/>
              </w:rPr>
              <w:t xml:space="preserve">Hazards (Bushfire—Outback) </w:t>
            </w:r>
            <w:r w:rsidRPr="00103110">
              <w:rPr>
                <w:i/>
                <w:szCs w:val="17"/>
              </w:rPr>
              <w:t>(Outback)</w:t>
            </w:r>
            <w:r w:rsidRPr="00103110">
              <w:rPr>
                <w:szCs w:val="17"/>
              </w:rPr>
              <w:t xml:space="preserve"> Overlay</w:t>
            </w:r>
          </w:p>
        </w:tc>
        <w:tc>
          <w:tcPr>
            <w:tcW w:w="3680" w:type="dxa"/>
          </w:tcPr>
          <w:p w:rsidR="00103110" w:rsidRPr="00103110" w:rsidRDefault="00103110" w:rsidP="00103110">
            <w:pPr>
              <w:spacing w:after="20"/>
              <w:ind w:left="176"/>
              <w:jc w:val="left"/>
              <w:rPr>
                <w:szCs w:val="17"/>
              </w:rPr>
            </w:pPr>
            <w:r w:rsidRPr="00103110">
              <w:rPr>
                <w:szCs w:val="17"/>
              </w:rPr>
              <w:t>Hazards (Bushfire—Outback) Overlay</w:t>
            </w:r>
          </w:p>
        </w:tc>
      </w:tr>
      <w:tr w:rsidR="00103110" w:rsidRPr="00103110" w:rsidTr="00A354F7">
        <w:tc>
          <w:tcPr>
            <w:tcW w:w="4966" w:type="dxa"/>
            <w:tcBorders>
              <w:bottom w:val="single" w:sz="4" w:space="0" w:color="auto"/>
            </w:tcBorders>
          </w:tcPr>
          <w:p w:rsidR="00103110" w:rsidRPr="00103110" w:rsidRDefault="00103110" w:rsidP="00103110">
            <w:pPr>
              <w:ind w:left="181"/>
              <w:jc w:val="left"/>
              <w:rPr>
                <w:szCs w:val="17"/>
              </w:rPr>
            </w:pPr>
            <w:r w:rsidRPr="00103110">
              <w:rPr>
                <w:szCs w:val="17"/>
              </w:rPr>
              <w:t xml:space="preserve">Hazards (Bushfire—Urban Interface) </w:t>
            </w:r>
            <w:r w:rsidRPr="00103110">
              <w:rPr>
                <w:i/>
                <w:szCs w:val="17"/>
              </w:rPr>
              <w:t>(Urban Interface)</w:t>
            </w:r>
            <w:r w:rsidRPr="00103110">
              <w:rPr>
                <w:szCs w:val="17"/>
              </w:rPr>
              <w:t xml:space="preserve"> Overlay</w:t>
            </w:r>
          </w:p>
        </w:tc>
        <w:tc>
          <w:tcPr>
            <w:tcW w:w="3680" w:type="dxa"/>
            <w:tcBorders>
              <w:bottom w:val="single" w:sz="4" w:space="0" w:color="auto"/>
            </w:tcBorders>
          </w:tcPr>
          <w:p w:rsidR="00103110" w:rsidRPr="00103110" w:rsidRDefault="00103110" w:rsidP="00103110">
            <w:pPr>
              <w:ind w:left="176"/>
              <w:jc w:val="left"/>
              <w:rPr>
                <w:szCs w:val="17"/>
              </w:rPr>
            </w:pPr>
            <w:r w:rsidRPr="00103110">
              <w:rPr>
                <w:szCs w:val="17"/>
              </w:rPr>
              <w:t>Hazards (Bushfire—Urban Interface) Overlay</w:t>
            </w:r>
          </w:p>
        </w:tc>
      </w:tr>
      <w:tr w:rsidR="00103110" w:rsidRPr="00103110" w:rsidTr="00A354F7">
        <w:tc>
          <w:tcPr>
            <w:tcW w:w="4966" w:type="dxa"/>
            <w:tcBorders>
              <w:top w:val="single" w:sz="4" w:space="0" w:color="auto"/>
            </w:tcBorders>
          </w:tcPr>
          <w:p w:rsidR="00103110" w:rsidRPr="00103110" w:rsidRDefault="00103110" w:rsidP="00103110">
            <w:pPr>
              <w:spacing w:after="0" w:line="80" w:lineRule="exact"/>
              <w:jc w:val="left"/>
              <w:rPr>
                <w:szCs w:val="17"/>
              </w:rPr>
            </w:pPr>
          </w:p>
        </w:tc>
        <w:tc>
          <w:tcPr>
            <w:tcW w:w="3680" w:type="dxa"/>
            <w:tcBorders>
              <w:top w:val="single" w:sz="4" w:space="0" w:color="auto"/>
            </w:tcBorders>
          </w:tcPr>
          <w:p w:rsidR="00103110" w:rsidRPr="00103110" w:rsidRDefault="00103110" w:rsidP="00103110">
            <w:pPr>
              <w:spacing w:after="0" w:line="80" w:lineRule="exact"/>
              <w:jc w:val="left"/>
              <w:rPr>
                <w:szCs w:val="17"/>
              </w:rPr>
            </w:pPr>
          </w:p>
        </w:tc>
      </w:tr>
    </w:tbl>
    <w:p w:rsidR="00103110" w:rsidRPr="00103110" w:rsidRDefault="00103110" w:rsidP="00103110">
      <w:pPr>
        <w:ind w:left="709" w:hanging="284"/>
        <w:rPr>
          <w:rFonts w:eastAsia="Times New Roman"/>
          <w:szCs w:val="17"/>
        </w:rPr>
      </w:pPr>
      <w:r w:rsidRPr="00103110">
        <w:rPr>
          <w:rFonts w:eastAsia="Times New Roman"/>
          <w:szCs w:val="17"/>
        </w:rPr>
        <w:t>c.</w:t>
      </w:r>
      <w:r w:rsidRPr="00103110">
        <w:rPr>
          <w:rFonts w:eastAsia="Times New Roman"/>
          <w:szCs w:val="17"/>
        </w:rPr>
        <w:tab/>
        <w:t>In the City Living Zone, replace the contents of DTS/DPF 3.5 which states:</w:t>
      </w:r>
    </w:p>
    <w:p w:rsidR="00103110" w:rsidRPr="00103110" w:rsidRDefault="00103110" w:rsidP="00103110">
      <w:pPr>
        <w:ind w:left="709"/>
        <w:rPr>
          <w:rFonts w:eastAsia="Times New Roman"/>
          <w:i/>
          <w:szCs w:val="17"/>
        </w:rPr>
      </w:pPr>
      <w:r w:rsidRPr="00103110">
        <w:rPr>
          <w:rFonts w:eastAsia="Times New Roman"/>
          <w:i/>
          <w:szCs w:val="17"/>
        </w:rPr>
        <w:t>‘For buildings that do not have a common wall, any wall sited on a side boundary meets all of the following:</w:t>
      </w:r>
    </w:p>
    <w:p w:rsidR="00103110" w:rsidRPr="00103110" w:rsidRDefault="00103110" w:rsidP="00103110">
      <w:pPr>
        <w:ind w:left="1134" w:hanging="283"/>
        <w:rPr>
          <w:rFonts w:eastAsia="Times New Roman"/>
          <w:i/>
          <w:szCs w:val="17"/>
        </w:rPr>
      </w:pPr>
      <w:r w:rsidRPr="00103110">
        <w:rPr>
          <w:rFonts w:eastAsia="Times New Roman"/>
          <w:i/>
          <w:szCs w:val="17"/>
        </w:rPr>
        <w:t>(a)</w:t>
      </w:r>
      <w:r w:rsidRPr="00103110">
        <w:rPr>
          <w:rFonts w:eastAsia="Times New Roman"/>
          <w:i/>
          <w:szCs w:val="17"/>
        </w:rPr>
        <w:tab/>
        <w:t>does not exceed 3m in height from the top of the footings</w:t>
      </w:r>
    </w:p>
    <w:p w:rsidR="00103110" w:rsidRPr="00103110" w:rsidRDefault="00103110" w:rsidP="00103110">
      <w:pPr>
        <w:ind w:left="1134" w:hanging="283"/>
        <w:rPr>
          <w:rFonts w:eastAsia="Times New Roman"/>
          <w:b/>
          <w:i/>
          <w:szCs w:val="17"/>
        </w:rPr>
      </w:pPr>
      <w:r w:rsidRPr="00103110">
        <w:rPr>
          <w:rFonts w:eastAsia="Times New Roman"/>
          <w:b/>
          <w:i/>
          <w:szCs w:val="17"/>
        </w:rPr>
        <w:t>(b)</w:t>
      </w:r>
      <w:r w:rsidRPr="00103110">
        <w:rPr>
          <w:rFonts w:eastAsia="Times New Roman"/>
          <w:b/>
          <w:i/>
          <w:szCs w:val="17"/>
        </w:rPr>
        <w:tab/>
        <w:t>does not exceed 11.5m in length</w:t>
      </w:r>
    </w:p>
    <w:p w:rsidR="00103110" w:rsidRPr="00103110" w:rsidRDefault="00103110" w:rsidP="00103110">
      <w:pPr>
        <w:ind w:left="1134" w:hanging="283"/>
        <w:rPr>
          <w:rFonts w:eastAsia="Times New Roman"/>
          <w:i/>
          <w:szCs w:val="17"/>
        </w:rPr>
      </w:pPr>
      <w:r w:rsidRPr="00103110">
        <w:rPr>
          <w:rFonts w:eastAsia="Times New Roman"/>
          <w:i/>
          <w:szCs w:val="17"/>
        </w:rPr>
        <w:t>(c)</w:t>
      </w:r>
      <w:r w:rsidRPr="00103110">
        <w:rPr>
          <w:rFonts w:eastAsia="Times New Roman"/>
          <w:i/>
          <w:szCs w:val="17"/>
        </w:rPr>
        <w:tab/>
        <w:t>when combined with other walls on the boundary, does not exceed 45%</w:t>
      </w:r>
    </w:p>
    <w:p w:rsidR="00103110" w:rsidRPr="00103110" w:rsidRDefault="00103110" w:rsidP="00103110">
      <w:pPr>
        <w:ind w:left="1134" w:hanging="283"/>
        <w:rPr>
          <w:rFonts w:eastAsia="Times New Roman"/>
          <w:i/>
          <w:szCs w:val="17"/>
        </w:rPr>
      </w:pPr>
      <w:r w:rsidRPr="00103110">
        <w:rPr>
          <w:rFonts w:eastAsia="Times New Roman"/>
          <w:i/>
          <w:szCs w:val="17"/>
        </w:rPr>
        <w:t>(d)</w:t>
      </w:r>
      <w:r w:rsidRPr="00103110">
        <w:rPr>
          <w:rFonts w:eastAsia="Times New Roman"/>
          <w:i/>
          <w:szCs w:val="17"/>
        </w:rPr>
        <w:tab/>
        <w:t>is setback at least 3m from any existing or proposed boundary walls.’</w:t>
      </w:r>
    </w:p>
    <w:p w:rsidR="00103110" w:rsidRPr="00103110" w:rsidRDefault="00103110" w:rsidP="00103110">
      <w:pPr>
        <w:ind w:left="709"/>
        <w:rPr>
          <w:rFonts w:eastAsia="Times New Roman"/>
          <w:szCs w:val="17"/>
        </w:rPr>
      </w:pPr>
      <w:r w:rsidRPr="00103110">
        <w:rPr>
          <w:rFonts w:eastAsia="Times New Roman"/>
          <w:szCs w:val="17"/>
        </w:rPr>
        <w:t>with:</w:t>
      </w:r>
    </w:p>
    <w:p w:rsidR="00103110" w:rsidRPr="00103110" w:rsidRDefault="00103110" w:rsidP="00103110">
      <w:pPr>
        <w:ind w:left="709"/>
        <w:rPr>
          <w:rFonts w:eastAsia="Times New Roman"/>
          <w:i/>
          <w:szCs w:val="17"/>
        </w:rPr>
      </w:pPr>
      <w:r w:rsidRPr="00103110">
        <w:rPr>
          <w:rFonts w:eastAsia="Times New Roman"/>
          <w:i/>
          <w:szCs w:val="17"/>
        </w:rPr>
        <w:t>‘For buildings that do not have a common wall, any wall sited on a side boundary meets all of the following:</w:t>
      </w:r>
    </w:p>
    <w:p w:rsidR="00103110" w:rsidRPr="00103110" w:rsidRDefault="00103110" w:rsidP="00103110">
      <w:pPr>
        <w:ind w:left="1134" w:hanging="283"/>
        <w:rPr>
          <w:rFonts w:eastAsia="Times New Roman"/>
          <w:i/>
          <w:szCs w:val="17"/>
        </w:rPr>
      </w:pPr>
      <w:r w:rsidRPr="00103110">
        <w:rPr>
          <w:rFonts w:eastAsia="Times New Roman"/>
          <w:i/>
          <w:szCs w:val="17"/>
        </w:rPr>
        <w:t>(a)</w:t>
      </w:r>
      <w:r w:rsidRPr="00103110">
        <w:rPr>
          <w:rFonts w:eastAsia="Times New Roman"/>
          <w:i/>
          <w:szCs w:val="17"/>
        </w:rPr>
        <w:tab/>
        <w:t>does not exceed 3m in height from the top of the footings</w:t>
      </w:r>
    </w:p>
    <w:p w:rsidR="00103110" w:rsidRPr="00103110" w:rsidRDefault="00103110" w:rsidP="00103110">
      <w:pPr>
        <w:ind w:left="1134" w:hanging="283"/>
        <w:rPr>
          <w:rFonts w:eastAsia="Times New Roman"/>
          <w:b/>
          <w:i/>
          <w:spacing w:val="-2"/>
          <w:szCs w:val="17"/>
        </w:rPr>
      </w:pPr>
      <w:r w:rsidRPr="00103110">
        <w:rPr>
          <w:rFonts w:eastAsia="Times New Roman"/>
          <w:b/>
          <w:i/>
          <w:spacing w:val="-2"/>
          <w:szCs w:val="17"/>
        </w:rPr>
        <w:t>(b)</w:t>
      </w:r>
      <w:r w:rsidRPr="00103110">
        <w:rPr>
          <w:rFonts w:eastAsia="Times New Roman"/>
          <w:b/>
          <w:i/>
          <w:spacing w:val="-2"/>
          <w:szCs w:val="17"/>
        </w:rPr>
        <w:tab/>
        <w:t>does not exceed a length of 8m, or 11.5m where located in the Medium-High Intensity Subzone or East Terrace Subzone</w:t>
      </w:r>
    </w:p>
    <w:p w:rsidR="00103110" w:rsidRPr="00103110" w:rsidRDefault="00103110" w:rsidP="00103110">
      <w:pPr>
        <w:ind w:left="1134" w:hanging="283"/>
        <w:rPr>
          <w:rFonts w:eastAsia="Times New Roman"/>
          <w:i/>
          <w:szCs w:val="17"/>
        </w:rPr>
      </w:pPr>
      <w:r w:rsidRPr="00103110">
        <w:rPr>
          <w:rFonts w:eastAsia="Times New Roman"/>
          <w:i/>
          <w:szCs w:val="17"/>
        </w:rPr>
        <w:t>(c)</w:t>
      </w:r>
      <w:r w:rsidRPr="00103110">
        <w:rPr>
          <w:rFonts w:eastAsia="Times New Roman"/>
          <w:i/>
          <w:szCs w:val="17"/>
        </w:rPr>
        <w:tab/>
        <w:t>when combined with other walls on the boundary, does not exceed 45%</w:t>
      </w:r>
    </w:p>
    <w:p w:rsidR="00103110" w:rsidRPr="00103110" w:rsidRDefault="00103110" w:rsidP="00103110">
      <w:pPr>
        <w:ind w:left="1134" w:hanging="283"/>
        <w:rPr>
          <w:rFonts w:eastAsia="Times New Roman"/>
          <w:i/>
          <w:szCs w:val="17"/>
        </w:rPr>
      </w:pPr>
      <w:r w:rsidRPr="00103110">
        <w:rPr>
          <w:rFonts w:eastAsia="Times New Roman"/>
          <w:i/>
          <w:szCs w:val="17"/>
        </w:rPr>
        <w:t>(d)</w:t>
      </w:r>
      <w:r w:rsidRPr="00103110">
        <w:rPr>
          <w:rFonts w:eastAsia="Times New Roman"/>
          <w:i/>
          <w:szCs w:val="17"/>
        </w:rPr>
        <w:tab/>
        <w:t>is setback at least 3m from any existing or proposed boundary walls.’</w:t>
      </w:r>
    </w:p>
    <w:p w:rsidR="00103110" w:rsidRPr="00103110" w:rsidRDefault="00103110" w:rsidP="00103110">
      <w:pPr>
        <w:ind w:left="709" w:hanging="283"/>
        <w:rPr>
          <w:rFonts w:eastAsia="Times New Roman"/>
          <w:szCs w:val="17"/>
        </w:rPr>
      </w:pPr>
      <w:r w:rsidRPr="00103110">
        <w:rPr>
          <w:rFonts w:eastAsia="Times New Roman"/>
          <w:szCs w:val="17"/>
        </w:rPr>
        <w:t>d.</w:t>
      </w:r>
      <w:r w:rsidRPr="00103110">
        <w:rPr>
          <w:rFonts w:eastAsia="Times New Roman"/>
          <w:szCs w:val="17"/>
        </w:rPr>
        <w:tab/>
        <w:t>In Part 4—General Development Policies—Design, replace the content of DTS/DPF 31.1 which states:</w:t>
      </w:r>
    </w:p>
    <w:p w:rsidR="00103110" w:rsidRPr="00103110" w:rsidRDefault="00103110" w:rsidP="00103110">
      <w:pPr>
        <w:ind w:left="709"/>
        <w:rPr>
          <w:rFonts w:eastAsia="Times New Roman"/>
          <w:szCs w:val="17"/>
        </w:rPr>
      </w:pPr>
      <w:r w:rsidRPr="00103110">
        <w:rPr>
          <w:rFonts w:eastAsia="Times New Roman"/>
          <w:szCs w:val="17"/>
        </w:rPr>
        <w:t>‘Development likely to result in significant risk of export of litter, oil or grease includes stormwater management systems designed to achieve the following gross pollutant outcomes:</w:t>
      </w:r>
    </w:p>
    <w:p w:rsidR="00103110" w:rsidRPr="00103110" w:rsidRDefault="00103110" w:rsidP="00103110">
      <w:pPr>
        <w:ind w:left="1134" w:hanging="283"/>
        <w:rPr>
          <w:rFonts w:eastAsia="Times New Roman"/>
          <w:i/>
          <w:szCs w:val="17"/>
        </w:rPr>
      </w:pPr>
      <w:r w:rsidRPr="00103110">
        <w:rPr>
          <w:rFonts w:eastAsia="Times New Roman"/>
          <w:i/>
          <w:szCs w:val="17"/>
        </w:rPr>
        <w:t>(a)</w:t>
      </w:r>
      <w:r w:rsidRPr="00103110">
        <w:rPr>
          <w:rFonts w:eastAsia="Times New Roman"/>
          <w:i/>
          <w:szCs w:val="17"/>
        </w:rPr>
        <w:tab/>
        <w:t>90 per cent reduction of litter/gross pollutants compared to untreated stormwater runoff</w:t>
      </w:r>
    </w:p>
    <w:p w:rsidR="00103110" w:rsidRPr="00103110" w:rsidRDefault="00103110" w:rsidP="00103110">
      <w:pPr>
        <w:ind w:left="1134" w:hanging="283"/>
        <w:rPr>
          <w:rFonts w:eastAsia="Times New Roman"/>
          <w:i/>
          <w:szCs w:val="17"/>
        </w:rPr>
      </w:pPr>
      <w:r w:rsidRPr="00103110">
        <w:rPr>
          <w:rFonts w:eastAsia="Times New Roman"/>
          <w:i/>
          <w:szCs w:val="17"/>
        </w:rPr>
        <w:t>(b)</w:t>
      </w:r>
      <w:r w:rsidRPr="00103110">
        <w:rPr>
          <w:rFonts w:eastAsia="Times New Roman"/>
          <w:i/>
          <w:szCs w:val="17"/>
        </w:rPr>
        <w:tab/>
        <w:t>no visible oils/grease for flows up to the 4 EY (exceedances per year).’</w:t>
      </w:r>
    </w:p>
    <w:p w:rsidR="00103110" w:rsidRPr="00103110" w:rsidRDefault="00103110" w:rsidP="00103110">
      <w:pPr>
        <w:ind w:left="709"/>
        <w:rPr>
          <w:rFonts w:eastAsia="Times New Roman"/>
          <w:szCs w:val="17"/>
        </w:rPr>
      </w:pPr>
      <w:r w:rsidRPr="00103110">
        <w:rPr>
          <w:rFonts w:eastAsia="Times New Roman"/>
          <w:szCs w:val="17"/>
        </w:rPr>
        <w:t>with:</w:t>
      </w:r>
    </w:p>
    <w:p w:rsidR="00103110" w:rsidRPr="00103110" w:rsidRDefault="00103110" w:rsidP="00103110">
      <w:pPr>
        <w:ind w:left="709"/>
        <w:rPr>
          <w:rFonts w:eastAsia="Times New Roman"/>
          <w:i/>
          <w:szCs w:val="17"/>
        </w:rPr>
      </w:pPr>
      <w:r w:rsidRPr="00103110">
        <w:rPr>
          <w:rFonts w:eastAsia="Times New Roman"/>
          <w:i/>
          <w:szCs w:val="17"/>
        </w:rPr>
        <w:t>‘None are applicable.’</w:t>
      </w:r>
    </w:p>
    <w:p w:rsidR="00103110" w:rsidRPr="00103110" w:rsidRDefault="00103110" w:rsidP="00103110">
      <w:pPr>
        <w:ind w:left="709" w:hanging="283"/>
        <w:rPr>
          <w:rFonts w:eastAsia="Times New Roman"/>
          <w:szCs w:val="17"/>
        </w:rPr>
      </w:pPr>
      <w:r w:rsidRPr="00103110">
        <w:rPr>
          <w:rFonts w:eastAsia="Times New Roman"/>
          <w:szCs w:val="17"/>
        </w:rPr>
        <w:t>e.</w:t>
      </w:r>
      <w:r w:rsidRPr="00103110">
        <w:rPr>
          <w:rFonts w:eastAsia="Times New Roman"/>
          <w:szCs w:val="17"/>
        </w:rPr>
        <w:tab/>
        <w:t>Amend Table 5—Procedural Matters (PM)—Notification for the Hills Neighbourhood Zone in accordance with following:</w:t>
      </w:r>
    </w:p>
    <w:p w:rsidR="00103110" w:rsidRPr="00103110" w:rsidRDefault="00103110" w:rsidP="00103110">
      <w:pPr>
        <w:ind w:left="851" w:hanging="142"/>
        <w:rPr>
          <w:rFonts w:eastAsia="Times New Roman"/>
          <w:szCs w:val="17"/>
        </w:rPr>
      </w:pPr>
      <w:r w:rsidRPr="00103110">
        <w:rPr>
          <w:rFonts w:eastAsia="Times New Roman"/>
          <w:szCs w:val="17"/>
        </w:rPr>
        <w:t>•</w:t>
      </w:r>
      <w:r w:rsidRPr="00103110">
        <w:rPr>
          <w:rFonts w:eastAsia="Times New Roman"/>
          <w:szCs w:val="17"/>
        </w:rPr>
        <w:tab/>
        <w:t>In in the exceptions column (Column B) relating to Clause 3, replace subclause 2(b) which states:</w:t>
      </w:r>
    </w:p>
    <w:p w:rsidR="00103110" w:rsidRPr="00103110" w:rsidRDefault="00103110" w:rsidP="00103110">
      <w:pPr>
        <w:ind w:left="851"/>
        <w:rPr>
          <w:rFonts w:eastAsia="Times New Roman"/>
          <w:szCs w:val="17"/>
        </w:rPr>
      </w:pPr>
      <w:r w:rsidRPr="00103110">
        <w:rPr>
          <w:rFonts w:eastAsia="Times New Roman"/>
          <w:szCs w:val="17"/>
        </w:rPr>
        <w:t>‘the height of the proposed wall (or post height) exceeds 3m measured from the lower of the natural or finished ground level (other than where the proposed wall abuts an existing wall or structure of greater height on the adjoining allotment).’</w:t>
      </w:r>
    </w:p>
    <w:p w:rsidR="00103110" w:rsidRPr="00103110" w:rsidRDefault="00103110" w:rsidP="00103110">
      <w:pPr>
        <w:ind w:left="709"/>
        <w:rPr>
          <w:rFonts w:eastAsia="Times New Roman"/>
          <w:szCs w:val="17"/>
        </w:rPr>
      </w:pPr>
      <w:r w:rsidRPr="00103110">
        <w:rPr>
          <w:rFonts w:eastAsia="Times New Roman"/>
          <w:szCs w:val="17"/>
        </w:rPr>
        <w:t>with:</w:t>
      </w:r>
    </w:p>
    <w:p w:rsidR="00103110" w:rsidRPr="00103110" w:rsidRDefault="00103110" w:rsidP="00103110">
      <w:pPr>
        <w:ind w:left="851"/>
        <w:rPr>
          <w:rFonts w:eastAsia="Times New Roman"/>
          <w:i/>
          <w:szCs w:val="17"/>
        </w:rPr>
      </w:pPr>
      <w:r w:rsidRPr="00103110">
        <w:rPr>
          <w:rFonts w:eastAsia="Times New Roman"/>
          <w:i/>
          <w:szCs w:val="17"/>
        </w:rPr>
        <w:t>‘the height of the proposed wall (or post height) exceeds 3.2m measured from the lower of the natural or finished ground level (other than where the proposed wall abuts an existing wall or structure of greater height on the adjoining allotment).’</w:t>
      </w:r>
    </w:p>
    <w:p w:rsidR="00F07877" w:rsidRDefault="00F07877">
      <w:pPr>
        <w:spacing w:after="0" w:line="240" w:lineRule="auto"/>
        <w:jc w:val="left"/>
        <w:rPr>
          <w:rFonts w:eastAsia="Times New Roman"/>
          <w:szCs w:val="17"/>
        </w:rPr>
      </w:pPr>
      <w:r>
        <w:rPr>
          <w:rFonts w:eastAsia="Times New Roman"/>
          <w:szCs w:val="17"/>
        </w:rPr>
        <w:br w:type="page"/>
      </w:r>
    </w:p>
    <w:p w:rsidR="00103110" w:rsidRPr="00103110" w:rsidRDefault="00103110" w:rsidP="00103110">
      <w:pPr>
        <w:ind w:left="851" w:hanging="142"/>
        <w:rPr>
          <w:rFonts w:eastAsia="Times New Roman"/>
          <w:szCs w:val="17"/>
        </w:rPr>
      </w:pPr>
      <w:r w:rsidRPr="00103110">
        <w:rPr>
          <w:rFonts w:eastAsia="Times New Roman"/>
          <w:szCs w:val="17"/>
        </w:rPr>
        <w:lastRenderedPageBreak/>
        <w:t>•</w:t>
      </w:r>
      <w:r w:rsidRPr="00103110">
        <w:rPr>
          <w:rFonts w:eastAsia="Times New Roman"/>
          <w:szCs w:val="17"/>
        </w:rPr>
        <w:tab/>
        <w:t>In in the exceptions column (Column B) relating to clause 4, replace subclause 3(b) which states:</w:t>
      </w:r>
    </w:p>
    <w:p w:rsidR="00103110" w:rsidRPr="00103110" w:rsidRDefault="00103110" w:rsidP="00103110">
      <w:pPr>
        <w:ind w:left="851"/>
        <w:rPr>
          <w:rFonts w:eastAsia="Times New Roman"/>
          <w:i/>
          <w:szCs w:val="17"/>
        </w:rPr>
      </w:pPr>
      <w:r w:rsidRPr="00103110">
        <w:rPr>
          <w:rFonts w:eastAsia="Times New Roman"/>
          <w:i/>
          <w:szCs w:val="17"/>
        </w:rPr>
        <w:t xml:space="preserve">‘the height of the proposed wall (or post height) exceeds </w:t>
      </w:r>
      <w:r w:rsidRPr="00103110">
        <w:rPr>
          <w:rFonts w:eastAsia="Times New Roman"/>
          <w:b/>
          <w:i/>
          <w:szCs w:val="17"/>
        </w:rPr>
        <w:t>3m</w:t>
      </w:r>
      <w:r w:rsidRPr="00103110">
        <w:rPr>
          <w:rFonts w:eastAsia="Times New Roman"/>
          <w:i/>
          <w:szCs w:val="17"/>
        </w:rPr>
        <w:t xml:space="preserve"> measured from the lower of the natural or finished ground level (other than where the proposed wall abuts an existing wall or structure of greater height on the adjoining allotment).’</w:t>
      </w:r>
    </w:p>
    <w:p w:rsidR="00103110" w:rsidRPr="00103110" w:rsidRDefault="00103110" w:rsidP="00103110">
      <w:pPr>
        <w:ind w:left="851"/>
        <w:rPr>
          <w:rFonts w:eastAsia="Times New Roman"/>
          <w:szCs w:val="17"/>
        </w:rPr>
      </w:pPr>
      <w:r w:rsidRPr="00103110">
        <w:rPr>
          <w:rFonts w:eastAsia="Times New Roman"/>
          <w:szCs w:val="17"/>
        </w:rPr>
        <w:t>with:</w:t>
      </w:r>
    </w:p>
    <w:p w:rsidR="00103110" w:rsidRPr="00103110" w:rsidRDefault="00103110" w:rsidP="00103110">
      <w:pPr>
        <w:ind w:left="851"/>
        <w:rPr>
          <w:rFonts w:eastAsia="Times New Roman"/>
          <w:i/>
          <w:szCs w:val="17"/>
        </w:rPr>
      </w:pPr>
      <w:r w:rsidRPr="00103110">
        <w:rPr>
          <w:rFonts w:eastAsia="Times New Roman"/>
          <w:i/>
          <w:szCs w:val="17"/>
        </w:rPr>
        <w:t xml:space="preserve">‘the height of the proposed wall (or post height) exceeds </w:t>
      </w:r>
      <w:r w:rsidRPr="00103110">
        <w:rPr>
          <w:rFonts w:eastAsia="Times New Roman"/>
          <w:b/>
          <w:i/>
          <w:szCs w:val="17"/>
        </w:rPr>
        <w:t>3.2m</w:t>
      </w:r>
      <w:r w:rsidRPr="00103110">
        <w:rPr>
          <w:rFonts w:eastAsia="Times New Roman"/>
          <w:i/>
          <w:szCs w:val="17"/>
        </w:rPr>
        <w:t xml:space="preserve"> measured from the lower of the natural or finished ground level (other than where the proposed wall abuts an existing wall or structure of greater height on the adjoining allotment).’</w:t>
      </w:r>
    </w:p>
    <w:p w:rsidR="00103110" w:rsidRPr="00103110" w:rsidRDefault="00103110" w:rsidP="00103110">
      <w:pPr>
        <w:ind w:left="709" w:hanging="283"/>
        <w:rPr>
          <w:rFonts w:eastAsia="Times New Roman"/>
          <w:szCs w:val="17"/>
        </w:rPr>
      </w:pPr>
      <w:r w:rsidRPr="00103110">
        <w:rPr>
          <w:rFonts w:eastAsia="Times New Roman"/>
          <w:szCs w:val="17"/>
        </w:rPr>
        <w:t>f.</w:t>
      </w:r>
      <w:r w:rsidRPr="00103110">
        <w:rPr>
          <w:rFonts w:eastAsia="Times New Roman"/>
          <w:szCs w:val="17"/>
        </w:rPr>
        <w:tab/>
        <w:t>Amend the Conservation Zone such that location-based searches in the SA planning portal return Planning and Design Code policy content for the Visitor Experience Subzone only where that subzone applies spatially.</w:t>
      </w:r>
    </w:p>
    <w:p w:rsidR="00103110" w:rsidRPr="00103110" w:rsidRDefault="00103110" w:rsidP="00103110">
      <w:pPr>
        <w:ind w:left="709" w:hanging="283"/>
        <w:rPr>
          <w:rFonts w:eastAsia="Times New Roman"/>
          <w:szCs w:val="17"/>
        </w:rPr>
      </w:pPr>
      <w:r w:rsidRPr="00103110">
        <w:rPr>
          <w:rFonts w:eastAsia="Times New Roman"/>
          <w:szCs w:val="17"/>
        </w:rPr>
        <w:t>g.</w:t>
      </w:r>
      <w:r w:rsidRPr="00103110">
        <w:rPr>
          <w:rFonts w:eastAsia="Times New Roman"/>
          <w:szCs w:val="17"/>
        </w:rPr>
        <w:tab/>
        <w:t>Undertake minor alterations to the geometry of the spatial layers and data in the Planning and Design Code to maintain the current relationship between the parcel boundaries and Planning and Design Code data as a result of the following:</w:t>
      </w:r>
    </w:p>
    <w:p w:rsidR="00103110" w:rsidRPr="00103110" w:rsidRDefault="00103110" w:rsidP="00103110">
      <w:pPr>
        <w:ind w:left="1134" w:hanging="425"/>
        <w:rPr>
          <w:rFonts w:eastAsia="Times New Roman"/>
          <w:szCs w:val="17"/>
        </w:rPr>
      </w:pPr>
      <w:r w:rsidRPr="00103110">
        <w:rPr>
          <w:rFonts w:eastAsia="Times New Roman"/>
          <w:szCs w:val="17"/>
        </w:rPr>
        <w:t>(i)</w:t>
      </w:r>
      <w:r w:rsidRPr="00103110">
        <w:rPr>
          <w:rFonts w:eastAsia="Times New Roman"/>
          <w:szCs w:val="17"/>
        </w:rPr>
        <w:tab/>
        <w:t>New plans of division deposited in the Land Titles Office between 2 April 2021 and 15 April 2021 affecting the following spatial and data layers in the Planning and Design Code:</w:t>
      </w:r>
    </w:p>
    <w:p w:rsidR="00103110" w:rsidRPr="00103110" w:rsidRDefault="00103110" w:rsidP="00103110">
      <w:pPr>
        <w:ind w:left="1276" w:hanging="142"/>
        <w:rPr>
          <w:rFonts w:eastAsia="Times New Roman"/>
          <w:szCs w:val="17"/>
        </w:rPr>
      </w:pPr>
      <w:r w:rsidRPr="00103110">
        <w:rPr>
          <w:rFonts w:eastAsia="Times New Roman"/>
          <w:szCs w:val="17"/>
        </w:rPr>
        <w:t>A.</w:t>
      </w:r>
      <w:r w:rsidRPr="00103110">
        <w:rPr>
          <w:rFonts w:eastAsia="Times New Roman"/>
          <w:szCs w:val="17"/>
        </w:rPr>
        <w:tab/>
        <w:t>Zones and subzones</w:t>
      </w:r>
    </w:p>
    <w:p w:rsidR="00103110" w:rsidRPr="00103110" w:rsidRDefault="00103110" w:rsidP="00103110">
      <w:pPr>
        <w:ind w:left="1276" w:hanging="142"/>
        <w:rPr>
          <w:rFonts w:eastAsia="Times New Roman"/>
          <w:szCs w:val="17"/>
        </w:rPr>
      </w:pPr>
      <w:r w:rsidRPr="00103110">
        <w:rPr>
          <w:rFonts w:eastAsia="Times New Roman"/>
          <w:szCs w:val="17"/>
        </w:rPr>
        <w:t>B.</w:t>
      </w:r>
      <w:r w:rsidRPr="00103110">
        <w:rPr>
          <w:rFonts w:eastAsia="Times New Roman"/>
          <w:szCs w:val="17"/>
        </w:rPr>
        <w:tab/>
        <w:t>Technical and Numeric Variations</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Building Heights</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Concept Plan</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Minimum Frontage</w:t>
      </w:r>
    </w:p>
    <w:p w:rsidR="00103110" w:rsidRPr="00103110" w:rsidRDefault="00103110" w:rsidP="00103110">
      <w:pPr>
        <w:ind w:left="1560" w:hanging="142"/>
        <w:rPr>
          <w:rFonts w:eastAsia="Times New Roman"/>
          <w:szCs w:val="17"/>
        </w:rPr>
      </w:pPr>
      <w:r w:rsidRPr="00103110">
        <w:rPr>
          <w:rFonts w:eastAsia="Times New Roman"/>
          <w:szCs w:val="17"/>
        </w:rPr>
        <w:t>•</w:t>
      </w:r>
      <w:r w:rsidRPr="00103110">
        <w:rPr>
          <w:rFonts w:eastAsia="Times New Roman"/>
          <w:szCs w:val="17"/>
        </w:rPr>
        <w:tab/>
        <w:t>Minimum Site Area</w:t>
      </w:r>
    </w:p>
    <w:p w:rsidR="00103110" w:rsidRPr="00103110" w:rsidRDefault="00103110" w:rsidP="00103110">
      <w:pPr>
        <w:ind w:left="1276" w:hanging="142"/>
        <w:rPr>
          <w:rFonts w:eastAsia="Times New Roman"/>
          <w:szCs w:val="17"/>
        </w:rPr>
      </w:pPr>
      <w:r w:rsidRPr="00103110">
        <w:rPr>
          <w:rFonts w:eastAsia="Times New Roman"/>
          <w:szCs w:val="17"/>
        </w:rPr>
        <w:t>C.</w:t>
      </w:r>
      <w:r w:rsidRPr="00103110">
        <w:rPr>
          <w:rFonts w:eastAsia="Times New Roman"/>
          <w:szCs w:val="17"/>
        </w:rPr>
        <w:tab/>
        <w:t>Overlays</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Airport Building heights (Regulated)</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Key Outback and Rural Routes</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Major Urban Transport Routes</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Non Stop Corridors</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Stormwater Management</w:t>
      </w:r>
    </w:p>
    <w:p w:rsidR="00103110" w:rsidRPr="00103110" w:rsidRDefault="00103110" w:rsidP="00103110">
      <w:pPr>
        <w:spacing w:after="40"/>
        <w:ind w:left="1560" w:hanging="142"/>
        <w:rPr>
          <w:rFonts w:eastAsia="Times New Roman"/>
          <w:szCs w:val="17"/>
        </w:rPr>
      </w:pPr>
      <w:r w:rsidRPr="00103110">
        <w:rPr>
          <w:rFonts w:eastAsia="Times New Roman"/>
          <w:szCs w:val="17"/>
        </w:rPr>
        <w:t>•</w:t>
      </w:r>
      <w:r w:rsidRPr="00103110">
        <w:rPr>
          <w:rFonts w:eastAsia="Times New Roman"/>
          <w:szCs w:val="17"/>
        </w:rPr>
        <w:tab/>
        <w:t>Urban Transport Routes</w:t>
      </w:r>
    </w:p>
    <w:p w:rsidR="00103110" w:rsidRPr="00103110" w:rsidRDefault="00103110" w:rsidP="00103110">
      <w:pPr>
        <w:ind w:left="1560" w:hanging="142"/>
        <w:rPr>
          <w:rFonts w:eastAsia="Times New Roman"/>
          <w:szCs w:val="17"/>
        </w:rPr>
      </w:pPr>
      <w:r w:rsidRPr="00103110">
        <w:rPr>
          <w:rFonts w:eastAsia="Times New Roman"/>
          <w:szCs w:val="17"/>
        </w:rPr>
        <w:t>•</w:t>
      </w:r>
      <w:r w:rsidRPr="00103110">
        <w:rPr>
          <w:rFonts w:eastAsia="Times New Roman"/>
          <w:szCs w:val="17"/>
        </w:rPr>
        <w:tab/>
        <w:t>Urban Tree Canopy</w:t>
      </w:r>
    </w:p>
    <w:p w:rsidR="00103110" w:rsidRPr="00103110" w:rsidRDefault="00103110" w:rsidP="00103110">
      <w:pPr>
        <w:ind w:left="1134" w:hanging="425"/>
        <w:rPr>
          <w:rFonts w:eastAsia="Times New Roman"/>
          <w:szCs w:val="17"/>
        </w:rPr>
      </w:pPr>
      <w:r w:rsidRPr="00103110">
        <w:rPr>
          <w:rFonts w:eastAsia="Times New Roman"/>
          <w:szCs w:val="17"/>
        </w:rPr>
        <w:t>(ii)</w:t>
      </w:r>
      <w:r w:rsidRPr="00103110">
        <w:rPr>
          <w:rFonts w:eastAsia="Times New Roman"/>
          <w:szCs w:val="17"/>
        </w:rPr>
        <w:tab/>
        <w:t>Improved spatial data for existing land parcels in the following locations (Column A) that affect data layers in the Planning and Design Code (Column B):</w:t>
      </w:r>
    </w:p>
    <w:tbl>
      <w:tblPr>
        <w:tblStyle w:val="TableGrid2"/>
        <w:tblW w:w="0" w:type="auto"/>
        <w:tblInd w:w="1129" w:type="dxa"/>
        <w:tblLook w:val="04A0" w:firstRow="1" w:lastRow="0" w:firstColumn="1" w:lastColumn="0" w:noHBand="0" w:noVBand="1"/>
      </w:tblPr>
      <w:tblGrid>
        <w:gridCol w:w="4107"/>
        <w:gridCol w:w="4108"/>
      </w:tblGrid>
      <w:tr w:rsidR="00103110" w:rsidRPr="00103110" w:rsidTr="00A354F7">
        <w:trPr>
          <w:trHeight w:val="20"/>
          <w:tblHeader/>
        </w:trPr>
        <w:tc>
          <w:tcPr>
            <w:tcW w:w="4110" w:type="dxa"/>
            <w:vAlign w:val="center"/>
          </w:tcPr>
          <w:p w:rsidR="00103110" w:rsidRPr="00103110" w:rsidRDefault="00103110" w:rsidP="00103110">
            <w:pPr>
              <w:spacing w:before="40" w:after="40"/>
              <w:jc w:val="center"/>
              <w:rPr>
                <w:b/>
                <w:szCs w:val="17"/>
              </w:rPr>
            </w:pPr>
            <w:r w:rsidRPr="00103110">
              <w:rPr>
                <w:b/>
                <w:szCs w:val="17"/>
              </w:rPr>
              <w:t>Location (Column A)</w:t>
            </w:r>
          </w:p>
        </w:tc>
        <w:tc>
          <w:tcPr>
            <w:tcW w:w="4111" w:type="dxa"/>
            <w:vAlign w:val="center"/>
          </w:tcPr>
          <w:p w:rsidR="00103110" w:rsidRPr="00103110" w:rsidRDefault="00103110" w:rsidP="00103110">
            <w:pPr>
              <w:spacing w:before="40" w:after="40"/>
              <w:jc w:val="center"/>
              <w:rPr>
                <w:b/>
                <w:szCs w:val="17"/>
              </w:rPr>
            </w:pPr>
            <w:r w:rsidRPr="00103110">
              <w:rPr>
                <w:b/>
                <w:szCs w:val="17"/>
              </w:rPr>
              <w:t>Layers (Column B)</w:t>
            </w:r>
          </w:p>
        </w:tc>
      </w:tr>
      <w:tr w:rsidR="00103110" w:rsidRPr="00103110" w:rsidTr="00A354F7">
        <w:trPr>
          <w:trHeight w:val="20"/>
        </w:trPr>
        <w:tc>
          <w:tcPr>
            <w:tcW w:w="4110" w:type="dxa"/>
          </w:tcPr>
          <w:p w:rsidR="00103110" w:rsidRPr="00103110" w:rsidRDefault="00103110" w:rsidP="00103110">
            <w:pPr>
              <w:spacing w:before="80" w:after="0"/>
              <w:jc w:val="left"/>
              <w:rPr>
                <w:szCs w:val="17"/>
              </w:rPr>
            </w:pPr>
            <w:r w:rsidRPr="00103110">
              <w:rPr>
                <w:szCs w:val="17"/>
              </w:rPr>
              <w:t>Lower Light</w:t>
            </w:r>
          </w:p>
        </w:tc>
        <w:tc>
          <w:tcPr>
            <w:tcW w:w="4111" w:type="dxa"/>
          </w:tcPr>
          <w:p w:rsidR="00103110" w:rsidRPr="00103110" w:rsidRDefault="00103110" w:rsidP="00103110">
            <w:pPr>
              <w:spacing w:before="80" w:after="0"/>
              <w:rPr>
                <w:szCs w:val="17"/>
              </w:rPr>
            </w:pPr>
            <w:r w:rsidRPr="00103110">
              <w:rPr>
                <w:szCs w:val="17"/>
              </w:rPr>
              <w:t>Zones and Subzones</w:t>
            </w:r>
          </w:p>
          <w:p w:rsidR="00103110" w:rsidRPr="00103110" w:rsidRDefault="00103110" w:rsidP="00103110">
            <w:pPr>
              <w:spacing w:after="40"/>
              <w:rPr>
                <w:szCs w:val="17"/>
              </w:rPr>
            </w:pPr>
            <w:r w:rsidRPr="00103110">
              <w:rPr>
                <w:szCs w:val="17"/>
              </w:rPr>
              <w:t>Technical and Numeric Variations</w:t>
            </w:r>
          </w:p>
          <w:p w:rsidR="00103110" w:rsidRPr="00103110" w:rsidRDefault="00103110" w:rsidP="00103110">
            <w:pPr>
              <w:spacing w:after="40"/>
              <w:ind w:left="182"/>
              <w:rPr>
                <w:szCs w:val="17"/>
              </w:rPr>
            </w:pPr>
            <w:r w:rsidRPr="00103110">
              <w:rPr>
                <w:szCs w:val="17"/>
              </w:rPr>
              <w:t>-</w:t>
            </w:r>
            <w:r w:rsidRPr="00103110">
              <w:rPr>
                <w:szCs w:val="17"/>
              </w:rPr>
              <w:tab/>
              <w:t>Minimum Site Area</w:t>
            </w:r>
          </w:p>
          <w:p w:rsidR="00103110" w:rsidRPr="00103110" w:rsidRDefault="00103110" w:rsidP="00103110">
            <w:pPr>
              <w:spacing w:after="40"/>
              <w:rPr>
                <w:szCs w:val="17"/>
              </w:rPr>
            </w:pPr>
            <w:r w:rsidRPr="00103110">
              <w:rPr>
                <w:szCs w:val="17"/>
              </w:rPr>
              <w:t>Overlays</w:t>
            </w:r>
          </w:p>
          <w:p w:rsidR="00103110" w:rsidRPr="00103110" w:rsidRDefault="00103110" w:rsidP="00103110">
            <w:pPr>
              <w:ind w:left="182"/>
              <w:rPr>
                <w:szCs w:val="17"/>
              </w:rPr>
            </w:pPr>
            <w:r w:rsidRPr="00103110">
              <w:rPr>
                <w:szCs w:val="17"/>
              </w:rPr>
              <w:t>-</w:t>
            </w:r>
            <w:r w:rsidRPr="00103110">
              <w:rPr>
                <w:szCs w:val="17"/>
              </w:rPr>
              <w:tab/>
              <w:t>Coastal Areas</w:t>
            </w:r>
          </w:p>
        </w:tc>
      </w:tr>
      <w:tr w:rsidR="00103110" w:rsidRPr="00103110" w:rsidTr="00A354F7">
        <w:trPr>
          <w:trHeight w:val="20"/>
        </w:trPr>
        <w:tc>
          <w:tcPr>
            <w:tcW w:w="4110" w:type="dxa"/>
          </w:tcPr>
          <w:p w:rsidR="00103110" w:rsidRPr="00103110" w:rsidRDefault="00103110" w:rsidP="00103110">
            <w:pPr>
              <w:spacing w:before="80" w:after="0"/>
              <w:jc w:val="left"/>
              <w:rPr>
                <w:szCs w:val="17"/>
              </w:rPr>
            </w:pPr>
            <w:r w:rsidRPr="00103110">
              <w:rPr>
                <w:szCs w:val="17"/>
              </w:rPr>
              <w:t>Richmond</w:t>
            </w:r>
          </w:p>
        </w:tc>
        <w:tc>
          <w:tcPr>
            <w:tcW w:w="4111" w:type="dxa"/>
          </w:tcPr>
          <w:p w:rsidR="00103110" w:rsidRPr="00103110" w:rsidRDefault="00103110" w:rsidP="00103110">
            <w:pPr>
              <w:spacing w:before="80" w:after="0"/>
              <w:rPr>
                <w:szCs w:val="17"/>
              </w:rPr>
            </w:pPr>
            <w:r w:rsidRPr="00103110">
              <w:rPr>
                <w:szCs w:val="17"/>
              </w:rPr>
              <w:t>Zones and subzones</w:t>
            </w:r>
          </w:p>
          <w:p w:rsidR="00103110" w:rsidRPr="00103110" w:rsidRDefault="00103110" w:rsidP="00103110">
            <w:pPr>
              <w:spacing w:after="40"/>
              <w:rPr>
                <w:szCs w:val="17"/>
              </w:rPr>
            </w:pPr>
            <w:r w:rsidRPr="00103110">
              <w:rPr>
                <w:szCs w:val="17"/>
              </w:rPr>
              <w:t>Technical and Numeric Variations</w:t>
            </w:r>
          </w:p>
          <w:p w:rsidR="00103110" w:rsidRPr="00103110" w:rsidRDefault="00103110" w:rsidP="00103110">
            <w:pPr>
              <w:spacing w:after="40"/>
              <w:ind w:left="182"/>
              <w:rPr>
                <w:szCs w:val="17"/>
              </w:rPr>
            </w:pPr>
            <w:r w:rsidRPr="00103110">
              <w:rPr>
                <w:szCs w:val="17"/>
              </w:rPr>
              <w:t>-</w:t>
            </w:r>
            <w:r w:rsidRPr="00103110">
              <w:rPr>
                <w:szCs w:val="17"/>
              </w:rPr>
              <w:tab/>
              <w:t>Minimum Frontage</w:t>
            </w:r>
          </w:p>
          <w:p w:rsidR="00103110" w:rsidRPr="00103110" w:rsidRDefault="00103110" w:rsidP="00103110">
            <w:pPr>
              <w:spacing w:after="40"/>
              <w:ind w:left="182"/>
              <w:rPr>
                <w:szCs w:val="17"/>
              </w:rPr>
            </w:pPr>
            <w:r w:rsidRPr="00103110">
              <w:rPr>
                <w:szCs w:val="17"/>
              </w:rPr>
              <w:t>-</w:t>
            </w:r>
            <w:r w:rsidRPr="00103110">
              <w:rPr>
                <w:szCs w:val="17"/>
              </w:rPr>
              <w:tab/>
              <w:t>Minimum Site Area</w:t>
            </w:r>
          </w:p>
          <w:p w:rsidR="00103110" w:rsidRPr="00103110" w:rsidRDefault="00103110" w:rsidP="00103110">
            <w:pPr>
              <w:spacing w:after="40"/>
              <w:ind w:left="182"/>
              <w:rPr>
                <w:szCs w:val="17"/>
              </w:rPr>
            </w:pPr>
            <w:r w:rsidRPr="00103110">
              <w:rPr>
                <w:szCs w:val="17"/>
              </w:rPr>
              <w:t>-</w:t>
            </w:r>
            <w:r w:rsidRPr="00103110">
              <w:rPr>
                <w:szCs w:val="17"/>
              </w:rPr>
              <w:tab/>
              <w:t>Building Heights</w:t>
            </w:r>
          </w:p>
          <w:p w:rsidR="00103110" w:rsidRPr="00103110" w:rsidRDefault="00103110" w:rsidP="00103110">
            <w:pPr>
              <w:spacing w:after="40"/>
              <w:ind w:left="182"/>
              <w:rPr>
                <w:szCs w:val="17"/>
              </w:rPr>
            </w:pPr>
            <w:r w:rsidRPr="00103110">
              <w:rPr>
                <w:szCs w:val="17"/>
              </w:rPr>
              <w:t>-</w:t>
            </w:r>
            <w:r w:rsidRPr="00103110">
              <w:rPr>
                <w:szCs w:val="17"/>
              </w:rPr>
              <w:tab/>
              <w:t>Setback</w:t>
            </w:r>
          </w:p>
          <w:p w:rsidR="00103110" w:rsidRPr="00103110" w:rsidRDefault="00103110" w:rsidP="00103110">
            <w:pPr>
              <w:spacing w:after="0"/>
              <w:rPr>
                <w:szCs w:val="17"/>
              </w:rPr>
            </w:pPr>
            <w:r w:rsidRPr="00103110">
              <w:rPr>
                <w:szCs w:val="17"/>
              </w:rPr>
              <w:t>Overlays</w:t>
            </w:r>
          </w:p>
          <w:p w:rsidR="00103110" w:rsidRPr="00103110" w:rsidRDefault="00103110" w:rsidP="00103110">
            <w:pPr>
              <w:spacing w:after="40"/>
              <w:ind w:left="182"/>
              <w:rPr>
                <w:szCs w:val="17"/>
              </w:rPr>
            </w:pPr>
            <w:r w:rsidRPr="00103110">
              <w:rPr>
                <w:szCs w:val="17"/>
              </w:rPr>
              <w:t>-</w:t>
            </w:r>
            <w:r w:rsidRPr="00103110">
              <w:rPr>
                <w:szCs w:val="17"/>
              </w:rPr>
              <w:tab/>
              <w:t>Affordable Housing</w:t>
            </w:r>
          </w:p>
          <w:p w:rsidR="00103110" w:rsidRPr="00103110" w:rsidRDefault="00103110" w:rsidP="00103110">
            <w:pPr>
              <w:spacing w:after="40"/>
              <w:ind w:left="182"/>
              <w:rPr>
                <w:szCs w:val="17"/>
              </w:rPr>
            </w:pPr>
            <w:r w:rsidRPr="00103110">
              <w:rPr>
                <w:szCs w:val="17"/>
              </w:rPr>
              <w:t>-</w:t>
            </w:r>
            <w:r w:rsidRPr="00103110">
              <w:rPr>
                <w:szCs w:val="17"/>
              </w:rPr>
              <w:tab/>
              <w:t>Historic Area</w:t>
            </w:r>
          </w:p>
          <w:p w:rsidR="00103110" w:rsidRPr="00103110" w:rsidRDefault="00103110" w:rsidP="00103110">
            <w:pPr>
              <w:spacing w:after="40"/>
              <w:ind w:left="182"/>
              <w:rPr>
                <w:szCs w:val="17"/>
              </w:rPr>
            </w:pPr>
            <w:r w:rsidRPr="00103110">
              <w:rPr>
                <w:szCs w:val="17"/>
              </w:rPr>
              <w:t>-</w:t>
            </w:r>
            <w:r w:rsidRPr="00103110">
              <w:rPr>
                <w:szCs w:val="17"/>
              </w:rPr>
              <w:tab/>
              <w:t>Major Urban Transport Routes</w:t>
            </w:r>
          </w:p>
          <w:p w:rsidR="00103110" w:rsidRPr="00103110" w:rsidRDefault="00103110" w:rsidP="00103110">
            <w:pPr>
              <w:spacing w:after="40"/>
              <w:ind w:left="182"/>
              <w:rPr>
                <w:szCs w:val="17"/>
              </w:rPr>
            </w:pPr>
            <w:r w:rsidRPr="00103110">
              <w:rPr>
                <w:szCs w:val="17"/>
              </w:rPr>
              <w:t>-</w:t>
            </w:r>
            <w:r w:rsidRPr="00103110">
              <w:rPr>
                <w:szCs w:val="17"/>
              </w:rPr>
              <w:tab/>
              <w:t>Urban Tree Canopy</w:t>
            </w:r>
          </w:p>
          <w:p w:rsidR="00103110" w:rsidRPr="00103110" w:rsidRDefault="00103110" w:rsidP="00103110">
            <w:pPr>
              <w:spacing w:after="40"/>
              <w:ind w:left="182"/>
              <w:rPr>
                <w:szCs w:val="17"/>
              </w:rPr>
            </w:pPr>
            <w:r w:rsidRPr="00103110">
              <w:rPr>
                <w:szCs w:val="17"/>
              </w:rPr>
              <w:t>-</w:t>
            </w:r>
            <w:r w:rsidRPr="00103110">
              <w:rPr>
                <w:szCs w:val="17"/>
              </w:rPr>
              <w:tab/>
              <w:t>Stormwater Management</w:t>
            </w:r>
          </w:p>
        </w:tc>
      </w:tr>
      <w:tr w:rsidR="00103110" w:rsidRPr="00103110" w:rsidTr="00A354F7">
        <w:trPr>
          <w:trHeight w:val="20"/>
        </w:trPr>
        <w:tc>
          <w:tcPr>
            <w:tcW w:w="4110" w:type="dxa"/>
          </w:tcPr>
          <w:p w:rsidR="00103110" w:rsidRPr="00103110" w:rsidRDefault="00103110" w:rsidP="00103110">
            <w:pPr>
              <w:spacing w:before="80" w:after="0"/>
              <w:jc w:val="left"/>
              <w:rPr>
                <w:szCs w:val="17"/>
              </w:rPr>
            </w:pPr>
            <w:r w:rsidRPr="00103110">
              <w:rPr>
                <w:szCs w:val="17"/>
              </w:rPr>
              <w:t>Belair National Park</w:t>
            </w:r>
          </w:p>
        </w:tc>
        <w:tc>
          <w:tcPr>
            <w:tcW w:w="4111" w:type="dxa"/>
          </w:tcPr>
          <w:p w:rsidR="00103110" w:rsidRPr="00103110" w:rsidRDefault="00103110" w:rsidP="00103110">
            <w:pPr>
              <w:spacing w:before="80" w:after="0"/>
              <w:rPr>
                <w:szCs w:val="17"/>
              </w:rPr>
            </w:pPr>
            <w:r w:rsidRPr="00103110">
              <w:rPr>
                <w:szCs w:val="17"/>
              </w:rPr>
              <w:t>Zones and subzones</w:t>
            </w:r>
          </w:p>
          <w:p w:rsidR="00103110" w:rsidRPr="00103110" w:rsidRDefault="00103110" w:rsidP="00103110">
            <w:pPr>
              <w:spacing w:after="0"/>
              <w:rPr>
                <w:szCs w:val="17"/>
              </w:rPr>
            </w:pPr>
            <w:r w:rsidRPr="00103110">
              <w:rPr>
                <w:szCs w:val="17"/>
              </w:rPr>
              <w:t>Technical and Numeric Variations</w:t>
            </w:r>
          </w:p>
          <w:p w:rsidR="00103110" w:rsidRPr="00103110" w:rsidRDefault="00103110" w:rsidP="00103110">
            <w:pPr>
              <w:spacing w:after="40"/>
              <w:ind w:left="182"/>
              <w:rPr>
                <w:szCs w:val="17"/>
              </w:rPr>
            </w:pPr>
            <w:r w:rsidRPr="00103110">
              <w:rPr>
                <w:szCs w:val="17"/>
              </w:rPr>
              <w:t>-</w:t>
            </w:r>
            <w:r w:rsidRPr="00103110">
              <w:rPr>
                <w:szCs w:val="17"/>
              </w:rPr>
              <w:tab/>
              <w:t>Minimum Site Area</w:t>
            </w:r>
          </w:p>
          <w:p w:rsidR="00103110" w:rsidRPr="00103110" w:rsidRDefault="00103110" w:rsidP="00103110">
            <w:pPr>
              <w:spacing w:after="0"/>
              <w:rPr>
                <w:szCs w:val="17"/>
              </w:rPr>
            </w:pPr>
            <w:r w:rsidRPr="00103110">
              <w:rPr>
                <w:szCs w:val="17"/>
              </w:rPr>
              <w:t>Overlays</w:t>
            </w:r>
          </w:p>
          <w:p w:rsidR="00103110" w:rsidRPr="00103110" w:rsidRDefault="00103110" w:rsidP="00103110">
            <w:pPr>
              <w:spacing w:after="40"/>
              <w:ind w:left="182"/>
              <w:rPr>
                <w:szCs w:val="17"/>
              </w:rPr>
            </w:pPr>
            <w:r w:rsidRPr="00103110">
              <w:rPr>
                <w:szCs w:val="17"/>
              </w:rPr>
              <w:t>-</w:t>
            </w:r>
            <w:r w:rsidRPr="00103110">
              <w:rPr>
                <w:szCs w:val="17"/>
              </w:rPr>
              <w:tab/>
              <w:t>Limited Land Division</w:t>
            </w:r>
          </w:p>
          <w:p w:rsidR="00103110" w:rsidRPr="00103110" w:rsidRDefault="00103110" w:rsidP="00103110">
            <w:pPr>
              <w:spacing w:after="40"/>
              <w:ind w:left="182"/>
              <w:rPr>
                <w:szCs w:val="17"/>
              </w:rPr>
            </w:pPr>
            <w:r w:rsidRPr="00103110">
              <w:rPr>
                <w:szCs w:val="17"/>
              </w:rPr>
              <w:t>-</w:t>
            </w:r>
            <w:r w:rsidRPr="00103110">
              <w:rPr>
                <w:szCs w:val="17"/>
              </w:rPr>
              <w:tab/>
              <w:t>Significant Landscape Protection</w:t>
            </w:r>
          </w:p>
          <w:p w:rsidR="00103110" w:rsidRPr="00103110" w:rsidRDefault="00103110" w:rsidP="00103110">
            <w:pPr>
              <w:spacing w:after="40"/>
              <w:ind w:left="182"/>
              <w:rPr>
                <w:szCs w:val="17"/>
              </w:rPr>
            </w:pPr>
            <w:r w:rsidRPr="00103110">
              <w:rPr>
                <w:szCs w:val="17"/>
              </w:rPr>
              <w:t>-</w:t>
            </w:r>
            <w:r w:rsidRPr="00103110">
              <w:rPr>
                <w:szCs w:val="17"/>
              </w:rPr>
              <w:tab/>
              <w:t>Scenic Quality</w:t>
            </w:r>
          </w:p>
          <w:p w:rsidR="00103110" w:rsidRPr="00103110" w:rsidRDefault="00103110" w:rsidP="00103110">
            <w:pPr>
              <w:ind w:left="182"/>
              <w:rPr>
                <w:szCs w:val="17"/>
              </w:rPr>
            </w:pPr>
            <w:r w:rsidRPr="00103110">
              <w:rPr>
                <w:szCs w:val="17"/>
              </w:rPr>
              <w:t>-</w:t>
            </w:r>
            <w:r w:rsidRPr="00103110">
              <w:rPr>
                <w:szCs w:val="17"/>
              </w:rPr>
              <w:tab/>
              <w:t>Environmental Food Production Area</w:t>
            </w:r>
          </w:p>
        </w:tc>
      </w:tr>
      <w:tr w:rsidR="00103110" w:rsidRPr="00103110" w:rsidTr="00A354F7">
        <w:trPr>
          <w:trHeight w:val="20"/>
        </w:trPr>
        <w:tc>
          <w:tcPr>
            <w:tcW w:w="4110" w:type="dxa"/>
          </w:tcPr>
          <w:p w:rsidR="00103110" w:rsidRPr="00103110" w:rsidRDefault="00103110" w:rsidP="00103110">
            <w:pPr>
              <w:spacing w:before="80" w:after="0"/>
              <w:jc w:val="left"/>
              <w:rPr>
                <w:szCs w:val="17"/>
              </w:rPr>
            </w:pPr>
            <w:r w:rsidRPr="00103110">
              <w:rPr>
                <w:szCs w:val="17"/>
              </w:rPr>
              <w:t>Mount Barker (Community Plan alterations)</w:t>
            </w:r>
          </w:p>
        </w:tc>
        <w:tc>
          <w:tcPr>
            <w:tcW w:w="4111" w:type="dxa"/>
          </w:tcPr>
          <w:p w:rsidR="00103110" w:rsidRPr="00103110" w:rsidRDefault="00103110" w:rsidP="00103110">
            <w:pPr>
              <w:spacing w:before="80" w:after="0"/>
              <w:rPr>
                <w:szCs w:val="17"/>
              </w:rPr>
            </w:pPr>
            <w:r w:rsidRPr="00103110">
              <w:rPr>
                <w:szCs w:val="17"/>
              </w:rPr>
              <w:t>Zones and subzones</w:t>
            </w:r>
          </w:p>
          <w:p w:rsidR="00103110" w:rsidRPr="00103110" w:rsidRDefault="00103110" w:rsidP="00103110">
            <w:pPr>
              <w:spacing w:after="0"/>
              <w:rPr>
                <w:szCs w:val="17"/>
              </w:rPr>
            </w:pPr>
            <w:r w:rsidRPr="00103110">
              <w:rPr>
                <w:szCs w:val="17"/>
              </w:rPr>
              <w:t>Technical and Numeric Variations</w:t>
            </w:r>
          </w:p>
          <w:p w:rsidR="00103110" w:rsidRPr="00103110" w:rsidRDefault="00103110" w:rsidP="00103110">
            <w:pPr>
              <w:spacing w:after="40"/>
              <w:ind w:left="182"/>
              <w:rPr>
                <w:szCs w:val="17"/>
              </w:rPr>
            </w:pPr>
            <w:r w:rsidRPr="00103110">
              <w:rPr>
                <w:szCs w:val="17"/>
              </w:rPr>
              <w:t>-</w:t>
            </w:r>
            <w:r w:rsidRPr="00103110">
              <w:rPr>
                <w:szCs w:val="17"/>
              </w:rPr>
              <w:tab/>
              <w:t>Minimum Site Area</w:t>
            </w:r>
          </w:p>
          <w:p w:rsidR="00103110" w:rsidRPr="00103110" w:rsidRDefault="00103110" w:rsidP="00103110">
            <w:pPr>
              <w:spacing w:after="0"/>
              <w:rPr>
                <w:szCs w:val="17"/>
              </w:rPr>
            </w:pPr>
            <w:r w:rsidRPr="00103110">
              <w:rPr>
                <w:szCs w:val="17"/>
              </w:rPr>
              <w:t>Overlays</w:t>
            </w:r>
          </w:p>
          <w:p w:rsidR="00103110" w:rsidRPr="00103110" w:rsidRDefault="00103110" w:rsidP="00103110">
            <w:pPr>
              <w:spacing w:after="40"/>
              <w:ind w:left="182"/>
              <w:rPr>
                <w:szCs w:val="17"/>
              </w:rPr>
            </w:pPr>
            <w:r w:rsidRPr="00103110">
              <w:rPr>
                <w:szCs w:val="17"/>
              </w:rPr>
              <w:t>-</w:t>
            </w:r>
            <w:r w:rsidRPr="00103110">
              <w:rPr>
                <w:szCs w:val="17"/>
              </w:rPr>
              <w:tab/>
              <w:t>Hazard (Bushfire—High Risk)</w:t>
            </w:r>
          </w:p>
          <w:p w:rsidR="00103110" w:rsidRPr="00103110" w:rsidRDefault="00103110" w:rsidP="00103110">
            <w:pPr>
              <w:spacing w:after="40"/>
              <w:ind w:left="182"/>
              <w:rPr>
                <w:szCs w:val="17"/>
              </w:rPr>
            </w:pPr>
            <w:r w:rsidRPr="00103110">
              <w:rPr>
                <w:szCs w:val="17"/>
              </w:rPr>
              <w:t>-</w:t>
            </w:r>
            <w:r w:rsidRPr="00103110">
              <w:rPr>
                <w:szCs w:val="17"/>
              </w:rPr>
              <w:tab/>
              <w:t>Hazard (Bushfire—Medium Risk)</w:t>
            </w:r>
          </w:p>
          <w:p w:rsidR="00103110" w:rsidRPr="00103110" w:rsidRDefault="00103110" w:rsidP="00103110">
            <w:pPr>
              <w:spacing w:after="40"/>
              <w:ind w:left="182"/>
              <w:rPr>
                <w:szCs w:val="17"/>
              </w:rPr>
            </w:pPr>
            <w:r w:rsidRPr="00103110">
              <w:rPr>
                <w:szCs w:val="17"/>
              </w:rPr>
              <w:t>-</w:t>
            </w:r>
            <w:r w:rsidRPr="00103110">
              <w:rPr>
                <w:szCs w:val="17"/>
              </w:rPr>
              <w:tab/>
              <w:t>Limited Land Division</w:t>
            </w:r>
          </w:p>
          <w:p w:rsidR="00103110" w:rsidRPr="00103110" w:rsidRDefault="00103110" w:rsidP="00103110">
            <w:pPr>
              <w:spacing w:after="40"/>
              <w:ind w:left="182"/>
              <w:rPr>
                <w:szCs w:val="17"/>
              </w:rPr>
            </w:pPr>
            <w:r w:rsidRPr="00103110">
              <w:rPr>
                <w:szCs w:val="17"/>
              </w:rPr>
              <w:t>-</w:t>
            </w:r>
            <w:r w:rsidRPr="00103110">
              <w:rPr>
                <w:szCs w:val="17"/>
              </w:rPr>
              <w:tab/>
              <w:t>Significant Landscape Protection</w:t>
            </w:r>
          </w:p>
          <w:p w:rsidR="00103110" w:rsidRPr="00103110" w:rsidRDefault="00103110" w:rsidP="00103110">
            <w:pPr>
              <w:spacing w:after="40"/>
              <w:ind w:left="182"/>
              <w:rPr>
                <w:szCs w:val="17"/>
              </w:rPr>
            </w:pPr>
            <w:r w:rsidRPr="00103110">
              <w:rPr>
                <w:szCs w:val="17"/>
              </w:rPr>
              <w:t>-</w:t>
            </w:r>
            <w:r w:rsidRPr="00103110">
              <w:rPr>
                <w:szCs w:val="17"/>
              </w:rPr>
              <w:tab/>
              <w:t>Scenic Quality</w:t>
            </w:r>
          </w:p>
          <w:p w:rsidR="00103110" w:rsidRPr="00103110" w:rsidRDefault="00103110" w:rsidP="00103110">
            <w:pPr>
              <w:ind w:left="182"/>
              <w:rPr>
                <w:szCs w:val="17"/>
              </w:rPr>
            </w:pPr>
            <w:r w:rsidRPr="00103110">
              <w:rPr>
                <w:szCs w:val="17"/>
              </w:rPr>
              <w:t>-</w:t>
            </w:r>
            <w:r w:rsidRPr="00103110">
              <w:rPr>
                <w:szCs w:val="17"/>
              </w:rPr>
              <w:tab/>
              <w:t>Environmental Food Production Area</w:t>
            </w:r>
          </w:p>
        </w:tc>
      </w:tr>
      <w:tr w:rsidR="00103110" w:rsidRPr="00103110" w:rsidTr="00A354F7">
        <w:trPr>
          <w:trHeight w:val="20"/>
        </w:trPr>
        <w:tc>
          <w:tcPr>
            <w:tcW w:w="4110" w:type="dxa"/>
            <w:tcBorders>
              <w:bottom w:val="single" w:sz="4" w:space="0" w:color="auto"/>
            </w:tcBorders>
          </w:tcPr>
          <w:p w:rsidR="00103110" w:rsidRPr="00103110" w:rsidRDefault="00103110" w:rsidP="00103110">
            <w:pPr>
              <w:spacing w:before="80" w:after="0"/>
              <w:jc w:val="left"/>
              <w:rPr>
                <w:szCs w:val="17"/>
              </w:rPr>
            </w:pPr>
            <w:r w:rsidRPr="00103110">
              <w:rPr>
                <w:szCs w:val="17"/>
              </w:rPr>
              <w:lastRenderedPageBreak/>
              <w:t>Kanyaka</w:t>
            </w:r>
          </w:p>
        </w:tc>
        <w:tc>
          <w:tcPr>
            <w:tcW w:w="4111" w:type="dxa"/>
            <w:tcBorders>
              <w:bottom w:val="single" w:sz="4" w:space="0" w:color="auto"/>
            </w:tcBorders>
          </w:tcPr>
          <w:p w:rsidR="00103110" w:rsidRPr="00103110" w:rsidRDefault="00103110" w:rsidP="00103110">
            <w:pPr>
              <w:spacing w:before="80" w:after="0"/>
              <w:rPr>
                <w:szCs w:val="17"/>
              </w:rPr>
            </w:pPr>
            <w:r w:rsidRPr="00103110">
              <w:rPr>
                <w:szCs w:val="17"/>
              </w:rPr>
              <w:t>Technical and Numeric Variations</w:t>
            </w:r>
          </w:p>
          <w:p w:rsidR="00103110" w:rsidRPr="00103110" w:rsidRDefault="00103110" w:rsidP="00103110">
            <w:pPr>
              <w:spacing w:after="40"/>
              <w:ind w:left="182"/>
              <w:rPr>
                <w:szCs w:val="17"/>
              </w:rPr>
            </w:pPr>
            <w:r w:rsidRPr="00103110">
              <w:rPr>
                <w:szCs w:val="17"/>
              </w:rPr>
              <w:t>-</w:t>
            </w:r>
            <w:r w:rsidRPr="00103110">
              <w:rPr>
                <w:szCs w:val="17"/>
              </w:rPr>
              <w:tab/>
              <w:t>Minimum Site Area</w:t>
            </w:r>
          </w:p>
          <w:p w:rsidR="00103110" w:rsidRPr="00103110" w:rsidRDefault="00103110" w:rsidP="00103110">
            <w:pPr>
              <w:spacing w:after="0"/>
              <w:rPr>
                <w:szCs w:val="17"/>
              </w:rPr>
            </w:pPr>
            <w:r w:rsidRPr="00103110">
              <w:rPr>
                <w:szCs w:val="17"/>
              </w:rPr>
              <w:t>Overlays</w:t>
            </w:r>
          </w:p>
          <w:p w:rsidR="00103110" w:rsidRPr="00103110" w:rsidRDefault="00103110" w:rsidP="00103110">
            <w:pPr>
              <w:spacing w:after="40"/>
              <w:ind w:left="182"/>
              <w:rPr>
                <w:szCs w:val="17"/>
              </w:rPr>
            </w:pPr>
            <w:r w:rsidRPr="00103110">
              <w:rPr>
                <w:szCs w:val="17"/>
              </w:rPr>
              <w:t>-</w:t>
            </w:r>
            <w:r w:rsidRPr="00103110">
              <w:rPr>
                <w:szCs w:val="17"/>
              </w:rPr>
              <w:tab/>
              <w:t>Limited Land Division</w:t>
            </w:r>
          </w:p>
          <w:p w:rsidR="00103110" w:rsidRPr="00103110" w:rsidRDefault="00103110" w:rsidP="00103110">
            <w:pPr>
              <w:ind w:left="182"/>
              <w:rPr>
                <w:szCs w:val="17"/>
              </w:rPr>
            </w:pPr>
            <w:r w:rsidRPr="00103110">
              <w:rPr>
                <w:szCs w:val="17"/>
              </w:rPr>
              <w:t>-</w:t>
            </w:r>
            <w:r w:rsidRPr="00103110">
              <w:rPr>
                <w:szCs w:val="17"/>
              </w:rPr>
              <w:tab/>
              <w:t>Significant Landscape Protection</w:t>
            </w:r>
          </w:p>
        </w:tc>
      </w:tr>
      <w:tr w:rsidR="00103110" w:rsidRPr="00103110" w:rsidTr="00A354F7">
        <w:trPr>
          <w:trHeight w:val="20"/>
        </w:trPr>
        <w:tc>
          <w:tcPr>
            <w:tcW w:w="4110" w:type="dxa"/>
            <w:tcBorders>
              <w:bottom w:val="single" w:sz="4" w:space="0" w:color="auto"/>
            </w:tcBorders>
          </w:tcPr>
          <w:p w:rsidR="00103110" w:rsidRPr="00103110" w:rsidRDefault="00103110" w:rsidP="00103110">
            <w:pPr>
              <w:spacing w:before="80" w:after="0"/>
              <w:jc w:val="left"/>
              <w:rPr>
                <w:szCs w:val="17"/>
              </w:rPr>
            </w:pPr>
            <w:r w:rsidRPr="00103110">
              <w:rPr>
                <w:szCs w:val="17"/>
              </w:rPr>
              <w:t>Mile End South</w:t>
            </w:r>
          </w:p>
        </w:tc>
        <w:tc>
          <w:tcPr>
            <w:tcW w:w="4111" w:type="dxa"/>
            <w:tcBorders>
              <w:bottom w:val="single" w:sz="4" w:space="0" w:color="auto"/>
            </w:tcBorders>
          </w:tcPr>
          <w:p w:rsidR="00103110" w:rsidRPr="00103110" w:rsidRDefault="00103110" w:rsidP="00103110">
            <w:pPr>
              <w:spacing w:before="80" w:after="0"/>
              <w:rPr>
                <w:szCs w:val="17"/>
              </w:rPr>
            </w:pPr>
            <w:r w:rsidRPr="00103110">
              <w:rPr>
                <w:szCs w:val="17"/>
              </w:rPr>
              <w:t>Zones and subzones</w:t>
            </w:r>
          </w:p>
          <w:p w:rsidR="00103110" w:rsidRPr="00103110" w:rsidRDefault="00103110" w:rsidP="00103110">
            <w:pPr>
              <w:spacing w:after="0"/>
              <w:rPr>
                <w:szCs w:val="17"/>
              </w:rPr>
            </w:pPr>
            <w:r w:rsidRPr="00103110">
              <w:rPr>
                <w:szCs w:val="17"/>
              </w:rPr>
              <w:t>Technical and Numeric Variations</w:t>
            </w:r>
          </w:p>
          <w:p w:rsidR="00103110" w:rsidRPr="00103110" w:rsidRDefault="00103110" w:rsidP="00103110">
            <w:pPr>
              <w:spacing w:after="40"/>
              <w:ind w:left="182"/>
              <w:rPr>
                <w:szCs w:val="17"/>
              </w:rPr>
            </w:pPr>
            <w:r w:rsidRPr="00103110">
              <w:rPr>
                <w:szCs w:val="17"/>
              </w:rPr>
              <w:t>-</w:t>
            </w:r>
            <w:r w:rsidRPr="00103110">
              <w:rPr>
                <w:szCs w:val="17"/>
              </w:rPr>
              <w:tab/>
              <w:t>Building Heights</w:t>
            </w:r>
          </w:p>
          <w:p w:rsidR="00103110" w:rsidRPr="00103110" w:rsidRDefault="00103110" w:rsidP="00103110">
            <w:pPr>
              <w:spacing w:after="0"/>
              <w:rPr>
                <w:szCs w:val="17"/>
              </w:rPr>
            </w:pPr>
            <w:r w:rsidRPr="00103110">
              <w:rPr>
                <w:szCs w:val="17"/>
              </w:rPr>
              <w:t>Overlays</w:t>
            </w:r>
          </w:p>
          <w:p w:rsidR="00103110" w:rsidRPr="00103110" w:rsidRDefault="00103110" w:rsidP="00103110">
            <w:pPr>
              <w:ind w:left="181"/>
              <w:rPr>
                <w:szCs w:val="17"/>
              </w:rPr>
            </w:pPr>
            <w:r w:rsidRPr="00103110">
              <w:rPr>
                <w:szCs w:val="17"/>
              </w:rPr>
              <w:t>-</w:t>
            </w:r>
            <w:r w:rsidRPr="00103110">
              <w:rPr>
                <w:szCs w:val="17"/>
              </w:rPr>
              <w:tab/>
              <w:t>Major Urban Transport Routes</w:t>
            </w:r>
          </w:p>
        </w:tc>
      </w:tr>
      <w:tr w:rsidR="00103110" w:rsidRPr="00103110" w:rsidTr="00A354F7">
        <w:trPr>
          <w:trHeight w:val="20"/>
        </w:trPr>
        <w:tc>
          <w:tcPr>
            <w:tcW w:w="4110" w:type="dxa"/>
            <w:tcBorders>
              <w:top w:val="single" w:sz="4" w:space="0" w:color="auto"/>
              <w:left w:val="nil"/>
              <w:bottom w:val="nil"/>
              <w:right w:val="nil"/>
            </w:tcBorders>
          </w:tcPr>
          <w:p w:rsidR="00103110" w:rsidRPr="00103110" w:rsidRDefault="00103110" w:rsidP="00103110">
            <w:pPr>
              <w:spacing w:after="0" w:line="80" w:lineRule="exact"/>
              <w:rPr>
                <w:szCs w:val="17"/>
              </w:rPr>
            </w:pPr>
          </w:p>
        </w:tc>
        <w:tc>
          <w:tcPr>
            <w:tcW w:w="4111" w:type="dxa"/>
            <w:tcBorders>
              <w:top w:val="single" w:sz="4" w:space="0" w:color="auto"/>
              <w:left w:val="nil"/>
              <w:bottom w:val="nil"/>
              <w:right w:val="nil"/>
            </w:tcBorders>
          </w:tcPr>
          <w:p w:rsidR="00103110" w:rsidRPr="00103110" w:rsidRDefault="00103110" w:rsidP="00103110">
            <w:pPr>
              <w:spacing w:after="0" w:line="80" w:lineRule="exact"/>
              <w:rPr>
                <w:szCs w:val="17"/>
              </w:rPr>
            </w:pPr>
          </w:p>
        </w:tc>
      </w:tr>
    </w:tbl>
    <w:p w:rsidR="00103110" w:rsidRPr="00103110" w:rsidRDefault="00103110" w:rsidP="0006638A">
      <w:pPr>
        <w:spacing w:after="60"/>
        <w:ind w:left="1134" w:hanging="425"/>
        <w:rPr>
          <w:rFonts w:eastAsia="Times New Roman"/>
          <w:szCs w:val="17"/>
        </w:rPr>
      </w:pPr>
      <w:r w:rsidRPr="00103110">
        <w:rPr>
          <w:rFonts w:eastAsia="Times New Roman"/>
          <w:szCs w:val="17"/>
        </w:rPr>
        <w:t>(iii)</w:t>
      </w:r>
      <w:r w:rsidRPr="00103110">
        <w:rPr>
          <w:rFonts w:eastAsia="Times New Roman"/>
          <w:szCs w:val="17"/>
        </w:rPr>
        <w:tab/>
      </w:r>
      <w:r w:rsidRPr="00103110">
        <w:rPr>
          <w:rFonts w:eastAsia="Times New Roman"/>
          <w:spacing w:val="-4"/>
          <w:szCs w:val="17"/>
        </w:rPr>
        <w:t>Remedy minor miscellaneous gaps, overlaps and misalignments between parcel boundaries and Planning and Design Code data.</w:t>
      </w:r>
    </w:p>
    <w:p w:rsidR="00103110" w:rsidRPr="00103110" w:rsidRDefault="00103110" w:rsidP="0006638A">
      <w:pPr>
        <w:spacing w:after="60"/>
        <w:ind w:left="709" w:hanging="283"/>
        <w:rPr>
          <w:rFonts w:eastAsia="Times New Roman"/>
          <w:szCs w:val="17"/>
        </w:rPr>
      </w:pPr>
      <w:r w:rsidRPr="00103110">
        <w:rPr>
          <w:rFonts w:eastAsia="Times New Roman"/>
          <w:szCs w:val="17"/>
        </w:rPr>
        <w:t>h.</w:t>
      </w:r>
      <w:r w:rsidRPr="00103110">
        <w:rPr>
          <w:rFonts w:eastAsia="Times New Roman"/>
          <w:szCs w:val="17"/>
        </w:rPr>
        <w:tab/>
        <w:t>Update the Table of Planning and Design Code Amendments (Part 13—Table of Amendments), pursuant to this Section 76 Amendment.</w:t>
      </w:r>
    </w:p>
    <w:p w:rsidR="00103110" w:rsidRPr="00103110" w:rsidRDefault="00103110" w:rsidP="0006638A">
      <w:pPr>
        <w:spacing w:after="60"/>
        <w:ind w:left="426" w:hanging="284"/>
        <w:rPr>
          <w:rFonts w:eastAsia="Times New Roman"/>
          <w:szCs w:val="17"/>
        </w:rPr>
      </w:pPr>
      <w:r w:rsidRPr="00103110">
        <w:rPr>
          <w:rFonts w:eastAsia="Times New Roman"/>
          <w:szCs w:val="17"/>
        </w:rPr>
        <w:t>2.</w:t>
      </w:r>
      <w:r w:rsidRPr="00103110">
        <w:rPr>
          <w:rFonts w:eastAsia="Times New Roman"/>
          <w:szCs w:val="17"/>
        </w:rPr>
        <w:tab/>
        <w:t>Declare that the Section 76 Amendment will take effect upon being published on the SA planning portal.</w:t>
      </w:r>
    </w:p>
    <w:p w:rsidR="00103110" w:rsidRPr="00103110" w:rsidRDefault="00103110" w:rsidP="00103110">
      <w:pPr>
        <w:spacing w:after="0"/>
        <w:rPr>
          <w:rFonts w:eastAsia="Times New Roman"/>
          <w:szCs w:val="17"/>
        </w:rPr>
      </w:pPr>
      <w:r w:rsidRPr="00103110">
        <w:rPr>
          <w:rFonts w:eastAsia="Times New Roman"/>
          <w:szCs w:val="17"/>
        </w:rPr>
        <w:t>Dated: 20 April 2021</w:t>
      </w:r>
    </w:p>
    <w:p w:rsidR="00103110" w:rsidRPr="00103110" w:rsidRDefault="00103110" w:rsidP="00103110">
      <w:pPr>
        <w:spacing w:after="0"/>
        <w:jc w:val="right"/>
        <w:rPr>
          <w:rFonts w:eastAsia="Times New Roman"/>
          <w:smallCaps/>
          <w:szCs w:val="20"/>
        </w:rPr>
      </w:pPr>
      <w:r w:rsidRPr="00103110">
        <w:rPr>
          <w:rFonts w:eastAsia="Times New Roman"/>
          <w:smallCaps/>
          <w:szCs w:val="20"/>
        </w:rPr>
        <w:t>Sally Smith</w:t>
      </w:r>
    </w:p>
    <w:p w:rsidR="00103110" w:rsidRPr="00103110" w:rsidRDefault="00103110" w:rsidP="00103110">
      <w:pPr>
        <w:spacing w:after="0"/>
        <w:jc w:val="right"/>
        <w:rPr>
          <w:rFonts w:eastAsia="Times New Roman"/>
          <w:szCs w:val="17"/>
        </w:rPr>
      </w:pPr>
      <w:r w:rsidRPr="00103110">
        <w:rPr>
          <w:rFonts w:eastAsia="Times New Roman"/>
          <w:szCs w:val="17"/>
        </w:rPr>
        <w:t>Executive Director, Planning and Land Use Services,</w:t>
      </w:r>
    </w:p>
    <w:p w:rsidR="00103110" w:rsidRPr="00103110" w:rsidRDefault="00103110" w:rsidP="00103110">
      <w:pPr>
        <w:spacing w:after="0"/>
        <w:jc w:val="right"/>
        <w:rPr>
          <w:rFonts w:eastAsia="Times New Roman"/>
          <w:szCs w:val="17"/>
        </w:rPr>
      </w:pPr>
      <w:r w:rsidRPr="00103110">
        <w:rPr>
          <w:rFonts w:eastAsia="Times New Roman"/>
          <w:szCs w:val="17"/>
        </w:rPr>
        <w:t>Attorney-General’s Department</w:t>
      </w:r>
    </w:p>
    <w:p w:rsidR="004C04CC" w:rsidRDefault="00103110" w:rsidP="00103110">
      <w:pPr>
        <w:spacing w:after="0"/>
        <w:jc w:val="right"/>
        <w:rPr>
          <w:rFonts w:eastAsia="Times New Roman"/>
          <w:szCs w:val="17"/>
        </w:rPr>
      </w:pPr>
      <w:r w:rsidRPr="00103110">
        <w:rPr>
          <w:rFonts w:eastAsia="Times New Roman"/>
          <w:szCs w:val="17"/>
        </w:rPr>
        <w:t>Delegate of Vickie Chapman MP, Minister for Planning and Local Government</w:t>
      </w:r>
    </w:p>
    <w:p w:rsidR="00103110" w:rsidRDefault="00103110" w:rsidP="00103110">
      <w:pPr>
        <w:pBdr>
          <w:bottom w:val="single" w:sz="4" w:space="1" w:color="auto"/>
        </w:pBdr>
        <w:spacing w:after="0" w:line="52" w:lineRule="exact"/>
        <w:jc w:val="center"/>
        <w:rPr>
          <w:lang w:val="en-US"/>
        </w:rPr>
      </w:pPr>
    </w:p>
    <w:p w:rsidR="00103110" w:rsidRDefault="00103110" w:rsidP="00103110">
      <w:pPr>
        <w:pBdr>
          <w:top w:val="single" w:sz="4" w:space="1" w:color="auto"/>
        </w:pBdr>
        <w:spacing w:before="34" w:after="0" w:line="14" w:lineRule="exact"/>
        <w:jc w:val="center"/>
        <w:rPr>
          <w:lang w:val="en-US"/>
        </w:rPr>
      </w:pPr>
    </w:p>
    <w:p w:rsidR="00103110" w:rsidRDefault="00103110" w:rsidP="001031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C20E3E" w:rsidRPr="00C20E3E" w:rsidRDefault="00C20E3E" w:rsidP="00A763B5">
      <w:pPr>
        <w:pStyle w:val="Heading2"/>
      </w:pPr>
      <w:bookmarkStart w:id="44" w:name="_Toc69916976"/>
      <w:r w:rsidRPr="00C20E3E">
        <w:t xml:space="preserve">The </w:t>
      </w:r>
      <w:r w:rsidRPr="00A763B5">
        <w:t>Remuneration Tribunal</w:t>
      </w:r>
      <w:bookmarkEnd w:id="44"/>
    </w:p>
    <w:p w:rsidR="00C20E3E" w:rsidRPr="00C20E3E" w:rsidRDefault="00C20E3E" w:rsidP="0006638A">
      <w:pPr>
        <w:spacing w:after="60"/>
        <w:jc w:val="center"/>
        <w:rPr>
          <w:smallCaps/>
          <w:szCs w:val="17"/>
        </w:rPr>
      </w:pPr>
      <w:r w:rsidRPr="00C20E3E">
        <w:rPr>
          <w:smallCaps/>
          <w:szCs w:val="17"/>
        </w:rPr>
        <w:t>Determination No. 4 of 2021</w:t>
      </w:r>
    </w:p>
    <w:p w:rsidR="00C20E3E" w:rsidRPr="00C20E3E" w:rsidRDefault="00C20E3E" w:rsidP="0006638A">
      <w:pPr>
        <w:spacing w:after="60"/>
        <w:jc w:val="center"/>
        <w:rPr>
          <w:i/>
          <w:szCs w:val="17"/>
        </w:rPr>
      </w:pPr>
      <w:r w:rsidRPr="00C20E3E">
        <w:rPr>
          <w:i/>
          <w:szCs w:val="17"/>
        </w:rPr>
        <w:t xml:space="preserve">Auditor-General, Electoral Commissioner, Deputy Electoral Commissioner, </w:t>
      </w:r>
      <w:r w:rsidRPr="00C20E3E">
        <w:rPr>
          <w:i/>
          <w:szCs w:val="17"/>
        </w:rPr>
        <w:br/>
        <w:t>Health and Community Services Complaints Commissioner</w:t>
      </w:r>
    </w:p>
    <w:p w:rsidR="00C20E3E" w:rsidRPr="00C20E3E" w:rsidRDefault="00C20E3E" w:rsidP="0006638A">
      <w:pPr>
        <w:spacing w:after="60"/>
        <w:rPr>
          <w:rFonts w:eastAsia="Times New Roman"/>
          <w:b/>
          <w:szCs w:val="17"/>
        </w:rPr>
      </w:pPr>
      <w:r w:rsidRPr="00C20E3E">
        <w:rPr>
          <w:rFonts w:eastAsia="Times New Roman"/>
          <w:b/>
          <w:szCs w:val="17"/>
        </w:rPr>
        <w:t>SCOPE OF DETERMINATION</w:t>
      </w:r>
    </w:p>
    <w:p w:rsidR="00C20E3E" w:rsidRPr="00C20E3E" w:rsidRDefault="00C20E3E" w:rsidP="0006638A">
      <w:pPr>
        <w:spacing w:after="60"/>
        <w:ind w:left="567" w:hanging="425"/>
        <w:rPr>
          <w:rFonts w:eastAsia="Times New Roman"/>
          <w:szCs w:val="17"/>
        </w:rPr>
      </w:pPr>
      <w:r w:rsidRPr="00C20E3E">
        <w:rPr>
          <w:rFonts w:eastAsia="Times New Roman"/>
          <w:szCs w:val="17"/>
        </w:rPr>
        <w:t>1.</w:t>
      </w:r>
      <w:r w:rsidRPr="00C20E3E">
        <w:rPr>
          <w:rFonts w:eastAsia="Times New Roman"/>
          <w:szCs w:val="17"/>
        </w:rPr>
        <w:tab/>
        <w:t xml:space="preserve">The Remuneration Tribunal (“the Tribunal”) has jurisdiction under Section 14 of the </w:t>
      </w:r>
      <w:r w:rsidRPr="00C20E3E">
        <w:rPr>
          <w:rFonts w:eastAsia="Times New Roman"/>
          <w:i/>
          <w:szCs w:val="17"/>
        </w:rPr>
        <w:t>Remuneration Act 1990</w:t>
      </w:r>
      <w:r w:rsidRPr="00C20E3E">
        <w:rPr>
          <w:rFonts w:eastAsia="Times New Roman"/>
          <w:szCs w:val="17"/>
        </w:rPr>
        <w:t xml:space="preserve"> (“the Act”) to determine the remuneration, or a specified part of remuneration, of certain statutory office holders, as conferred by other Acts or by proclamation by the Governor.</w:t>
      </w:r>
    </w:p>
    <w:p w:rsidR="00C20E3E" w:rsidRPr="00C20E3E" w:rsidRDefault="00C20E3E" w:rsidP="0006638A">
      <w:pPr>
        <w:spacing w:after="60"/>
        <w:ind w:left="567" w:hanging="425"/>
        <w:rPr>
          <w:rFonts w:eastAsia="Times New Roman"/>
          <w:szCs w:val="17"/>
        </w:rPr>
      </w:pPr>
      <w:r w:rsidRPr="00C20E3E">
        <w:rPr>
          <w:rFonts w:eastAsia="Times New Roman"/>
          <w:szCs w:val="17"/>
        </w:rPr>
        <w:t>2.</w:t>
      </w:r>
      <w:r w:rsidRPr="00C20E3E">
        <w:rPr>
          <w:rFonts w:eastAsia="Times New Roman"/>
          <w:szCs w:val="17"/>
        </w:rPr>
        <w:tab/>
        <w:t>This Determination is applicable to the following statutory office holders:</w:t>
      </w:r>
    </w:p>
    <w:p w:rsidR="00C20E3E" w:rsidRPr="00C20E3E" w:rsidRDefault="00C20E3E" w:rsidP="0006638A">
      <w:pPr>
        <w:spacing w:after="60"/>
        <w:ind w:left="993" w:hanging="426"/>
        <w:rPr>
          <w:rFonts w:eastAsia="Times New Roman"/>
          <w:szCs w:val="17"/>
        </w:rPr>
      </w:pPr>
      <w:r w:rsidRPr="00C20E3E">
        <w:rPr>
          <w:rFonts w:eastAsia="Times New Roman"/>
          <w:szCs w:val="17"/>
        </w:rPr>
        <w:t>2.1.</w:t>
      </w:r>
      <w:r w:rsidRPr="00C20E3E">
        <w:rPr>
          <w:rFonts w:eastAsia="Times New Roman"/>
          <w:szCs w:val="17"/>
        </w:rPr>
        <w:tab/>
        <w:t>the Auditor-General;</w:t>
      </w:r>
    </w:p>
    <w:p w:rsidR="00C20E3E" w:rsidRPr="00C20E3E" w:rsidRDefault="00C20E3E" w:rsidP="0006638A">
      <w:pPr>
        <w:spacing w:after="60"/>
        <w:ind w:left="993" w:hanging="426"/>
        <w:rPr>
          <w:rFonts w:eastAsia="Times New Roman"/>
          <w:szCs w:val="17"/>
        </w:rPr>
      </w:pPr>
      <w:r w:rsidRPr="00C20E3E">
        <w:rPr>
          <w:rFonts w:eastAsia="Times New Roman"/>
          <w:szCs w:val="17"/>
        </w:rPr>
        <w:t>2.2.</w:t>
      </w:r>
      <w:r w:rsidRPr="00C20E3E">
        <w:rPr>
          <w:rFonts w:eastAsia="Times New Roman"/>
          <w:szCs w:val="17"/>
        </w:rPr>
        <w:tab/>
        <w:t>the Electoral Commissioner;</w:t>
      </w:r>
    </w:p>
    <w:p w:rsidR="00C20E3E" w:rsidRPr="00C20E3E" w:rsidRDefault="00C20E3E" w:rsidP="0006638A">
      <w:pPr>
        <w:spacing w:after="60"/>
        <w:ind w:left="993" w:hanging="426"/>
        <w:rPr>
          <w:rFonts w:eastAsia="Times New Roman"/>
          <w:szCs w:val="17"/>
        </w:rPr>
      </w:pPr>
      <w:r w:rsidRPr="00C20E3E">
        <w:rPr>
          <w:rFonts w:eastAsia="Times New Roman"/>
          <w:szCs w:val="17"/>
        </w:rPr>
        <w:t>2.3.</w:t>
      </w:r>
      <w:r w:rsidRPr="00C20E3E">
        <w:rPr>
          <w:rFonts w:eastAsia="Times New Roman"/>
          <w:szCs w:val="17"/>
        </w:rPr>
        <w:tab/>
        <w:t>the Deputy Electoral Commissioner; and</w:t>
      </w:r>
    </w:p>
    <w:p w:rsidR="00C20E3E" w:rsidRPr="00C20E3E" w:rsidRDefault="00C20E3E" w:rsidP="0006638A">
      <w:pPr>
        <w:spacing w:after="60"/>
        <w:ind w:left="993" w:hanging="426"/>
        <w:rPr>
          <w:rFonts w:eastAsia="Times New Roman"/>
          <w:szCs w:val="17"/>
        </w:rPr>
      </w:pPr>
      <w:r w:rsidRPr="00C20E3E">
        <w:rPr>
          <w:rFonts w:eastAsia="Times New Roman"/>
          <w:szCs w:val="17"/>
        </w:rPr>
        <w:t>2.4.</w:t>
      </w:r>
      <w:r w:rsidRPr="00C20E3E">
        <w:rPr>
          <w:rFonts w:eastAsia="Times New Roman"/>
          <w:szCs w:val="17"/>
        </w:rPr>
        <w:tab/>
        <w:t>the Health and Community Services Complaints Commissioner.</w:t>
      </w:r>
    </w:p>
    <w:p w:rsidR="00C20E3E" w:rsidRPr="00C20E3E" w:rsidRDefault="00C20E3E" w:rsidP="0006638A">
      <w:pPr>
        <w:spacing w:after="60"/>
        <w:rPr>
          <w:rFonts w:eastAsia="Times New Roman"/>
          <w:b/>
          <w:szCs w:val="17"/>
        </w:rPr>
      </w:pPr>
      <w:r w:rsidRPr="00C20E3E">
        <w:rPr>
          <w:rFonts w:eastAsia="Times New Roman"/>
          <w:b/>
          <w:szCs w:val="17"/>
        </w:rPr>
        <w:t>SALARY</w:t>
      </w:r>
    </w:p>
    <w:p w:rsidR="00C20E3E" w:rsidRPr="00C20E3E" w:rsidRDefault="00C20E3E" w:rsidP="0006638A">
      <w:pPr>
        <w:spacing w:after="60"/>
        <w:ind w:left="567" w:hanging="425"/>
        <w:rPr>
          <w:rFonts w:eastAsia="Times New Roman"/>
          <w:szCs w:val="17"/>
        </w:rPr>
      </w:pPr>
      <w:r w:rsidRPr="00C20E3E">
        <w:rPr>
          <w:rFonts w:eastAsia="Times New Roman"/>
          <w:szCs w:val="17"/>
        </w:rPr>
        <w:t>3.</w:t>
      </w:r>
      <w:r w:rsidRPr="00C20E3E">
        <w:rPr>
          <w:rFonts w:eastAsia="Times New Roman"/>
          <w:szCs w:val="17"/>
        </w:rPr>
        <w:tab/>
        <w:t>The Tribunal hereby determines the following salaries shall be payable in respect of the following statutory offices:</w:t>
      </w:r>
    </w:p>
    <w:p w:rsidR="00C20E3E" w:rsidRPr="00C20E3E" w:rsidRDefault="00C20E3E" w:rsidP="0006638A">
      <w:pPr>
        <w:spacing w:after="60"/>
        <w:ind w:left="993" w:hanging="426"/>
        <w:rPr>
          <w:rFonts w:eastAsia="Times New Roman"/>
          <w:szCs w:val="17"/>
        </w:rPr>
      </w:pPr>
      <w:r w:rsidRPr="00C20E3E">
        <w:rPr>
          <w:rFonts w:eastAsia="Times New Roman"/>
          <w:szCs w:val="17"/>
        </w:rPr>
        <w:t>3.1.</w:t>
      </w:r>
      <w:r w:rsidRPr="00C20E3E">
        <w:rPr>
          <w:rFonts w:eastAsia="Times New Roman"/>
          <w:szCs w:val="17"/>
        </w:rPr>
        <w:tab/>
        <w:t>Auditor-General</w:t>
      </w:r>
    </w:p>
    <w:p w:rsidR="00C20E3E" w:rsidRPr="00C20E3E" w:rsidRDefault="00C20E3E" w:rsidP="0006638A">
      <w:pPr>
        <w:spacing w:after="60"/>
        <w:ind w:left="993"/>
        <w:rPr>
          <w:rFonts w:eastAsia="Times New Roman"/>
          <w:szCs w:val="17"/>
        </w:rPr>
      </w:pPr>
      <w:r w:rsidRPr="00C20E3E">
        <w:rPr>
          <w:rFonts w:eastAsia="Times New Roman"/>
          <w:szCs w:val="17"/>
        </w:rPr>
        <w:t>The rate of salary applicable to the office of Auditor-General shall be $336,951 per annum.</w:t>
      </w:r>
    </w:p>
    <w:p w:rsidR="00C20E3E" w:rsidRPr="00C20E3E" w:rsidRDefault="00C20E3E" w:rsidP="0006638A">
      <w:pPr>
        <w:spacing w:after="60"/>
        <w:ind w:left="993" w:hanging="426"/>
        <w:rPr>
          <w:rFonts w:eastAsia="Times New Roman"/>
          <w:szCs w:val="17"/>
        </w:rPr>
      </w:pPr>
      <w:r w:rsidRPr="00C20E3E">
        <w:rPr>
          <w:rFonts w:eastAsia="Times New Roman"/>
          <w:szCs w:val="17"/>
        </w:rPr>
        <w:t>3.2.</w:t>
      </w:r>
      <w:r w:rsidRPr="00C20E3E">
        <w:rPr>
          <w:rFonts w:eastAsia="Times New Roman"/>
          <w:szCs w:val="17"/>
        </w:rPr>
        <w:tab/>
        <w:t>Electoral Commissioner</w:t>
      </w:r>
    </w:p>
    <w:p w:rsidR="00C20E3E" w:rsidRPr="00C20E3E" w:rsidRDefault="00C20E3E" w:rsidP="0006638A">
      <w:pPr>
        <w:spacing w:after="60"/>
        <w:ind w:left="993"/>
        <w:rPr>
          <w:rFonts w:eastAsia="Times New Roman"/>
          <w:szCs w:val="17"/>
        </w:rPr>
      </w:pPr>
      <w:r w:rsidRPr="00C20E3E">
        <w:rPr>
          <w:rFonts w:eastAsia="Times New Roman"/>
          <w:szCs w:val="17"/>
        </w:rPr>
        <w:t>The rate of salary applicable to the office of Electoral Commissioner shall be $239,737 per annum.</w:t>
      </w:r>
    </w:p>
    <w:p w:rsidR="00C20E3E" w:rsidRPr="00C20E3E" w:rsidRDefault="00C20E3E" w:rsidP="0006638A">
      <w:pPr>
        <w:spacing w:after="60"/>
        <w:ind w:left="993" w:hanging="426"/>
        <w:rPr>
          <w:rFonts w:eastAsia="Times New Roman"/>
          <w:szCs w:val="17"/>
        </w:rPr>
      </w:pPr>
      <w:r w:rsidRPr="00C20E3E">
        <w:rPr>
          <w:rFonts w:eastAsia="Times New Roman"/>
          <w:szCs w:val="17"/>
        </w:rPr>
        <w:t>3.3.</w:t>
      </w:r>
      <w:r w:rsidRPr="00C20E3E">
        <w:rPr>
          <w:rFonts w:eastAsia="Times New Roman"/>
          <w:szCs w:val="17"/>
        </w:rPr>
        <w:tab/>
        <w:t>Deputy Electoral Commissioner</w:t>
      </w:r>
    </w:p>
    <w:p w:rsidR="00C20E3E" w:rsidRPr="00C20E3E" w:rsidRDefault="00C20E3E" w:rsidP="0006638A">
      <w:pPr>
        <w:spacing w:after="60"/>
        <w:ind w:left="993"/>
        <w:rPr>
          <w:rFonts w:eastAsia="Times New Roman"/>
          <w:szCs w:val="17"/>
        </w:rPr>
      </w:pPr>
      <w:r w:rsidRPr="00C20E3E">
        <w:rPr>
          <w:rFonts w:eastAsia="Times New Roman"/>
          <w:szCs w:val="17"/>
        </w:rPr>
        <w:t>The rate of salary applicable to the office of Deputy Electoral Commissioner shall be $179,539 per annum.</w:t>
      </w:r>
    </w:p>
    <w:p w:rsidR="00C20E3E" w:rsidRPr="00C20E3E" w:rsidRDefault="00C20E3E" w:rsidP="0006638A">
      <w:pPr>
        <w:spacing w:after="60"/>
        <w:ind w:left="993"/>
        <w:rPr>
          <w:rFonts w:eastAsia="Times New Roman"/>
          <w:szCs w:val="17"/>
        </w:rPr>
      </w:pPr>
      <w:r w:rsidRPr="00C20E3E">
        <w:rPr>
          <w:rFonts w:eastAsia="Times New Roman"/>
          <w:szCs w:val="17"/>
        </w:rPr>
        <w:t>When acting as Electoral Commissioner for a continuous period of more than one week, the Deputy Electoral Commissioner shall be paid for the acting period at the rate of salary applicable to the office of Electoral Commissioner.</w:t>
      </w:r>
    </w:p>
    <w:p w:rsidR="00C20E3E" w:rsidRPr="00C20E3E" w:rsidRDefault="00C20E3E" w:rsidP="0006638A">
      <w:pPr>
        <w:spacing w:after="60"/>
        <w:ind w:left="993" w:hanging="426"/>
        <w:rPr>
          <w:rFonts w:eastAsia="Times New Roman"/>
          <w:szCs w:val="17"/>
        </w:rPr>
      </w:pPr>
      <w:r w:rsidRPr="00C20E3E">
        <w:rPr>
          <w:rFonts w:eastAsia="Times New Roman"/>
          <w:szCs w:val="17"/>
        </w:rPr>
        <w:t>3.4.</w:t>
      </w:r>
      <w:r w:rsidRPr="00C20E3E">
        <w:rPr>
          <w:rFonts w:eastAsia="Times New Roman"/>
          <w:szCs w:val="17"/>
        </w:rPr>
        <w:tab/>
        <w:t>Health and Community Services Complaints Commissioner</w:t>
      </w:r>
    </w:p>
    <w:p w:rsidR="00C20E3E" w:rsidRPr="00C20E3E" w:rsidRDefault="00C20E3E" w:rsidP="0006638A">
      <w:pPr>
        <w:spacing w:after="60"/>
        <w:ind w:left="993"/>
        <w:rPr>
          <w:rFonts w:eastAsia="Times New Roman"/>
          <w:szCs w:val="17"/>
        </w:rPr>
      </w:pPr>
      <w:r w:rsidRPr="00C20E3E">
        <w:rPr>
          <w:rFonts w:eastAsia="Times New Roman"/>
          <w:szCs w:val="17"/>
        </w:rPr>
        <w:t>The rate of salary applicable to the office of Health and Community Services Complaints Commissioner shall be $248,313 per annum.</w:t>
      </w:r>
    </w:p>
    <w:p w:rsidR="00C20E3E" w:rsidRPr="00C20E3E" w:rsidRDefault="00C20E3E" w:rsidP="0006638A">
      <w:pPr>
        <w:spacing w:after="60"/>
        <w:ind w:left="567" w:hanging="425"/>
        <w:rPr>
          <w:rFonts w:eastAsia="Times New Roman"/>
          <w:szCs w:val="17"/>
        </w:rPr>
      </w:pPr>
      <w:r w:rsidRPr="00C20E3E">
        <w:rPr>
          <w:rFonts w:eastAsia="Times New Roman"/>
          <w:szCs w:val="17"/>
        </w:rPr>
        <w:t>4.</w:t>
      </w:r>
      <w:r w:rsidRPr="00C20E3E">
        <w:rPr>
          <w:rFonts w:eastAsia="Times New Roman"/>
          <w:szCs w:val="17"/>
        </w:rPr>
        <w:tab/>
        <w:t>Where a statutory office holder listed at Clause 2 of this Determination is appointed on a part-time basis, that person is entitled to be paid the applicable salary as a pro rata amount, based on the hours worked as a proportion of the full-time equivalent.</w:t>
      </w:r>
    </w:p>
    <w:p w:rsidR="00C20E3E" w:rsidRPr="00C20E3E" w:rsidRDefault="00C20E3E" w:rsidP="0006638A">
      <w:pPr>
        <w:spacing w:after="60"/>
        <w:rPr>
          <w:rFonts w:eastAsia="Times New Roman"/>
          <w:b/>
          <w:szCs w:val="17"/>
        </w:rPr>
      </w:pPr>
      <w:r w:rsidRPr="00C20E3E">
        <w:rPr>
          <w:rFonts w:eastAsia="Times New Roman"/>
          <w:b/>
          <w:szCs w:val="17"/>
        </w:rPr>
        <w:t>COMMUNICATION ALLOWANCE</w:t>
      </w:r>
    </w:p>
    <w:p w:rsidR="00C20E3E" w:rsidRPr="00C20E3E" w:rsidRDefault="00C20E3E" w:rsidP="0006638A">
      <w:pPr>
        <w:spacing w:after="60"/>
        <w:ind w:left="567" w:hanging="425"/>
        <w:rPr>
          <w:rFonts w:eastAsia="Times New Roman"/>
          <w:szCs w:val="17"/>
        </w:rPr>
      </w:pPr>
      <w:r w:rsidRPr="00C20E3E">
        <w:rPr>
          <w:rFonts w:eastAsia="Times New Roman"/>
          <w:szCs w:val="17"/>
        </w:rPr>
        <w:t>5.</w:t>
      </w:r>
      <w:r w:rsidRPr="00C20E3E">
        <w:rPr>
          <w:rFonts w:eastAsia="Times New Roman"/>
          <w:szCs w:val="17"/>
        </w:rPr>
        <w:tab/>
        <w:t>Each of the statutory office holders listed at Clause 2 of this Determination shall be entitled to be paid a communication allowance at the rate of $800 per annum, for expenditures for the purpose of mobile telephone, landline telephone and internet usage incurred in relation to the conduct of their official duties.</w:t>
      </w:r>
    </w:p>
    <w:p w:rsidR="00C20E3E" w:rsidRPr="00C20E3E" w:rsidRDefault="00C20E3E" w:rsidP="0006638A">
      <w:pPr>
        <w:spacing w:after="60"/>
        <w:ind w:left="567" w:hanging="425"/>
        <w:rPr>
          <w:rFonts w:eastAsia="Times New Roman"/>
          <w:szCs w:val="17"/>
        </w:rPr>
      </w:pPr>
      <w:r w:rsidRPr="00C20E3E">
        <w:rPr>
          <w:rFonts w:eastAsia="Times New Roman"/>
          <w:szCs w:val="17"/>
        </w:rPr>
        <w:t>6.</w:t>
      </w:r>
      <w:r w:rsidRPr="00C20E3E">
        <w:rPr>
          <w:rFonts w:eastAsia="Times New Roman"/>
          <w:szCs w:val="17"/>
        </w:rPr>
        <w:tab/>
        <w:t>The allowance is payable fortnightly and at a fortnightly rate of the annual amount payable at Clause 5 of this Determination.</w:t>
      </w:r>
    </w:p>
    <w:p w:rsidR="00C20E3E" w:rsidRPr="00C20E3E" w:rsidRDefault="00C20E3E" w:rsidP="0006638A">
      <w:pPr>
        <w:spacing w:after="60"/>
        <w:ind w:left="567" w:hanging="425"/>
        <w:rPr>
          <w:rFonts w:eastAsia="Times New Roman"/>
          <w:szCs w:val="17"/>
        </w:rPr>
      </w:pPr>
      <w:r w:rsidRPr="00C20E3E">
        <w:rPr>
          <w:rFonts w:eastAsia="Times New Roman"/>
          <w:szCs w:val="17"/>
        </w:rPr>
        <w:t>7.</w:t>
      </w:r>
      <w:r w:rsidRPr="00C20E3E">
        <w:rPr>
          <w:rFonts w:eastAsia="Times New Roman"/>
          <w:szCs w:val="17"/>
        </w:rPr>
        <w:tab/>
        <w:t>Where a statutory office holder listed at Clause 2 of this Determination is appointed on a part-time basis, that person is entitled to be paid a communication allowance as a pro rata amount, based on the hours worked as a proportion of the full-time equivalent.</w:t>
      </w:r>
    </w:p>
    <w:p w:rsidR="00C20E3E" w:rsidRPr="00C20E3E" w:rsidRDefault="00C20E3E" w:rsidP="0006638A">
      <w:pPr>
        <w:spacing w:after="60"/>
        <w:rPr>
          <w:rFonts w:eastAsia="Times New Roman"/>
          <w:b/>
          <w:szCs w:val="17"/>
        </w:rPr>
      </w:pPr>
      <w:r w:rsidRPr="00C20E3E">
        <w:rPr>
          <w:rFonts w:eastAsia="Times New Roman"/>
          <w:b/>
          <w:szCs w:val="17"/>
        </w:rPr>
        <w:t>DATE OF OPERATION</w:t>
      </w:r>
    </w:p>
    <w:p w:rsidR="00C20E3E" w:rsidRPr="00C20E3E" w:rsidRDefault="00C20E3E" w:rsidP="0006638A">
      <w:pPr>
        <w:spacing w:after="60"/>
        <w:ind w:left="567" w:hanging="425"/>
        <w:rPr>
          <w:rFonts w:eastAsia="Times New Roman"/>
          <w:szCs w:val="17"/>
        </w:rPr>
      </w:pPr>
      <w:r w:rsidRPr="00C20E3E">
        <w:rPr>
          <w:rFonts w:eastAsia="Times New Roman"/>
          <w:szCs w:val="17"/>
        </w:rPr>
        <w:t>8.</w:t>
      </w:r>
      <w:r w:rsidRPr="00C20E3E">
        <w:rPr>
          <w:rFonts w:eastAsia="Times New Roman"/>
          <w:szCs w:val="17"/>
        </w:rPr>
        <w:tab/>
        <w:t>This Determination is operative on and from 1 January 2021.</w:t>
      </w:r>
    </w:p>
    <w:p w:rsidR="00C20E3E" w:rsidRPr="00C20E3E" w:rsidRDefault="00C20E3E" w:rsidP="00C20E3E">
      <w:pPr>
        <w:spacing w:after="0"/>
        <w:rPr>
          <w:rFonts w:eastAsia="Times New Roman"/>
          <w:szCs w:val="17"/>
        </w:rPr>
      </w:pPr>
      <w:r w:rsidRPr="00C20E3E">
        <w:rPr>
          <w:rFonts w:eastAsia="Times New Roman"/>
          <w:szCs w:val="17"/>
        </w:rPr>
        <w:t>Dated: 20 April 2021</w:t>
      </w:r>
    </w:p>
    <w:p w:rsidR="00C20E3E" w:rsidRPr="00C20E3E" w:rsidRDefault="00C20E3E" w:rsidP="00C20E3E">
      <w:pPr>
        <w:spacing w:after="0"/>
        <w:jc w:val="right"/>
        <w:rPr>
          <w:rFonts w:eastAsia="Times New Roman"/>
          <w:smallCaps/>
          <w:szCs w:val="20"/>
        </w:rPr>
      </w:pPr>
      <w:r w:rsidRPr="00C20E3E">
        <w:rPr>
          <w:rFonts w:eastAsia="Times New Roman"/>
          <w:smallCaps/>
          <w:szCs w:val="20"/>
        </w:rPr>
        <w:t>Matthew O’Callaghan</w:t>
      </w:r>
    </w:p>
    <w:p w:rsidR="00C20E3E" w:rsidRPr="00C20E3E" w:rsidRDefault="00C20E3E" w:rsidP="00C20E3E">
      <w:pPr>
        <w:spacing w:after="40"/>
        <w:jc w:val="right"/>
        <w:rPr>
          <w:rFonts w:eastAsia="Times New Roman"/>
          <w:szCs w:val="17"/>
        </w:rPr>
      </w:pPr>
      <w:r w:rsidRPr="00C20E3E">
        <w:rPr>
          <w:rFonts w:eastAsia="Times New Roman"/>
          <w:szCs w:val="17"/>
        </w:rPr>
        <w:t>President</w:t>
      </w:r>
    </w:p>
    <w:p w:rsidR="00C20E3E" w:rsidRPr="00C20E3E" w:rsidRDefault="00C20E3E" w:rsidP="00C20E3E">
      <w:pPr>
        <w:spacing w:after="0"/>
        <w:jc w:val="right"/>
        <w:rPr>
          <w:rFonts w:eastAsia="Times New Roman"/>
          <w:smallCaps/>
          <w:szCs w:val="20"/>
        </w:rPr>
      </w:pPr>
      <w:r w:rsidRPr="00C20E3E">
        <w:rPr>
          <w:rFonts w:eastAsia="Times New Roman"/>
          <w:smallCaps/>
          <w:szCs w:val="20"/>
        </w:rPr>
        <w:t>Deborah Black</w:t>
      </w:r>
    </w:p>
    <w:p w:rsidR="00C20E3E" w:rsidRPr="00C20E3E" w:rsidRDefault="00C20E3E" w:rsidP="00C20E3E">
      <w:pPr>
        <w:spacing w:after="40"/>
        <w:jc w:val="right"/>
        <w:rPr>
          <w:rFonts w:eastAsia="Times New Roman"/>
          <w:szCs w:val="17"/>
        </w:rPr>
      </w:pPr>
      <w:r w:rsidRPr="00C20E3E">
        <w:rPr>
          <w:rFonts w:eastAsia="Times New Roman"/>
          <w:szCs w:val="17"/>
        </w:rPr>
        <w:t>Member</w:t>
      </w:r>
    </w:p>
    <w:p w:rsidR="00C20E3E" w:rsidRPr="00C20E3E" w:rsidRDefault="00C20E3E" w:rsidP="00C20E3E">
      <w:pPr>
        <w:spacing w:after="0"/>
        <w:jc w:val="right"/>
        <w:rPr>
          <w:rFonts w:eastAsia="Times New Roman"/>
          <w:smallCaps/>
          <w:szCs w:val="20"/>
        </w:rPr>
      </w:pPr>
      <w:r w:rsidRPr="00C20E3E">
        <w:rPr>
          <w:rFonts w:eastAsia="Times New Roman"/>
          <w:smallCaps/>
          <w:szCs w:val="20"/>
        </w:rPr>
        <w:t>Peter de Cure</w:t>
      </w:r>
    </w:p>
    <w:p w:rsidR="00C20E3E" w:rsidRPr="00C20E3E" w:rsidRDefault="00C20E3E" w:rsidP="00C20E3E">
      <w:pPr>
        <w:spacing w:after="0"/>
        <w:jc w:val="right"/>
        <w:rPr>
          <w:rFonts w:eastAsia="Times New Roman"/>
          <w:szCs w:val="17"/>
        </w:rPr>
      </w:pPr>
      <w:r w:rsidRPr="00C20E3E">
        <w:rPr>
          <w:rFonts w:eastAsia="Times New Roman"/>
          <w:szCs w:val="17"/>
        </w:rPr>
        <w:t>Member</w:t>
      </w:r>
    </w:p>
    <w:p w:rsidR="00C20E3E" w:rsidRPr="00C20E3E" w:rsidRDefault="00C20E3E" w:rsidP="00C20E3E">
      <w:pPr>
        <w:pBdr>
          <w:top w:val="single" w:sz="4" w:space="1" w:color="auto"/>
        </w:pBdr>
        <w:spacing w:before="100" w:after="0" w:line="14" w:lineRule="exact"/>
        <w:jc w:val="center"/>
        <w:rPr>
          <w:rFonts w:eastAsia="Times New Roman"/>
          <w:szCs w:val="17"/>
        </w:rPr>
      </w:pPr>
    </w:p>
    <w:p w:rsidR="00C20E3E" w:rsidRPr="00C20E3E" w:rsidRDefault="00C20E3E" w:rsidP="00C20E3E">
      <w:pPr>
        <w:jc w:val="center"/>
        <w:rPr>
          <w:caps/>
          <w:szCs w:val="17"/>
        </w:rPr>
      </w:pPr>
      <w:r w:rsidRPr="00C20E3E">
        <w:rPr>
          <w:caps/>
          <w:szCs w:val="17"/>
        </w:rPr>
        <w:lastRenderedPageBreak/>
        <w:t>The Remuneration Tribunal</w:t>
      </w:r>
    </w:p>
    <w:p w:rsidR="00C20E3E" w:rsidRPr="00C20E3E" w:rsidRDefault="00C20E3E" w:rsidP="00C20E3E">
      <w:pPr>
        <w:jc w:val="center"/>
        <w:rPr>
          <w:smallCaps/>
          <w:szCs w:val="17"/>
        </w:rPr>
      </w:pPr>
      <w:r w:rsidRPr="00C20E3E">
        <w:rPr>
          <w:smallCaps/>
          <w:szCs w:val="17"/>
        </w:rPr>
        <w:t>Report No. 4 of 2021</w:t>
      </w:r>
    </w:p>
    <w:p w:rsidR="00C20E3E" w:rsidRPr="00C20E3E" w:rsidRDefault="00C20E3E" w:rsidP="00C20E3E">
      <w:pPr>
        <w:jc w:val="center"/>
        <w:rPr>
          <w:i/>
          <w:szCs w:val="17"/>
        </w:rPr>
      </w:pPr>
      <w:r w:rsidRPr="00C20E3E">
        <w:rPr>
          <w:i/>
          <w:szCs w:val="17"/>
        </w:rPr>
        <w:t xml:space="preserve">Review of Remuneration for the Auditor-General, Electoral Commissioner, Deputy Electoral Commissioner </w:t>
      </w:r>
      <w:r w:rsidRPr="00C20E3E">
        <w:rPr>
          <w:i/>
          <w:szCs w:val="17"/>
        </w:rPr>
        <w:br/>
        <w:t>and Health and Community Services Complaints Commissioner</w:t>
      </w:r>
    </w:p>
    <w:p w:rsidR="00C20E3E" w:rsidRPr="00C20E3E" w:rsidRDefault="00C20E3E" w:rsidP="00C20E3E">
      <w:pPr>
        <w:rPr>
          <w:rFonts w:eastAsia="Times New Roman"/>
          <w:b/>
          <w:szCs w:val="17"/>
        </w:rPr>
      </w:pPr>
      <w:r w:rsidRPr="00C20E3E">
        <w:rPr>
          <w:rFonts w:eastAsia="Times New Roman"/>
          <w:b/>
          <w:szCs w:val="17"/>
        </w:rPr>
        <w:t>INTRODUCTION</w:t>
      </w:r>
    </w:p>
    <w:p w:rsidR="00C20E3E" w:rsidRPr="00C20E3E" w:rsidRDefault="00C20E3E" w:rsidP="00C20E3E">
      <w:pPr>
        <w:ind w:left="567" w:hanging="425"/>
        <w:rPr>
          <w:rFonts w:eastAsia="Times New Roman"/>
          <w:szCs w:val="17"/>
        </w:rPr>
      </w:pPr>
      <w:r w:rsidRPr="00C20E3E">
        <w:rPr>
          <w:rFonts w:eastAsia="Times New Roman"/>
          <w:szCs w:val="17"/>
        </w:rPr>
        <w:t>1.</w:t>
      </w:r>
      <w:r w:rsidRPr="00C20E3E">
        <w:rPr>
          <w:rFonts w:eastAsia="Times New Roman"/>
          <w:szCs w:val="17"/>
        </w:rPr>
        <w:tab/>
        <w:t xml:space="preserve">The Remuneration Tribunal (“the Tribunal”) has jurisdiction under Section 14 of the </w:t>
      </w:r>
      <w:r w:rsidRPr="00C20E3E">
        <w:rPr>
          <w:rFonts w:eastAsia="Times New Roman"/>
          <w:i/>
          <w:szCs w:val="17"/>
        </w:rPr>
        <w:t>Remuneration Act 1990</w:t>
      </w:r>
      <w:r w:rsidRPr="00C20E3E">
        <w:rPr>
          <w:rFonts w:eastAsia="Times New Roman"/>
          <w:szCs w:val="17"/>
        </w:rPr>
        <w:t xml:space="preserve"> (“the Act”) to determine the remuneration, or a specified part of remuneration, of certain statutory office holders, as conferred by other Acts or by proclamation by the Governor.</w:t>
      </w:r>
    </w:p>
    <w:p w:rsidR="00C20E3E" w:rsidRPr="00C20E3E" w:rsidRDefault="00C20E3E" w:rsidP="00C20E3E">
      <w:pPr>
        <w:ind w:left="567" w:hanging="425"/>
        <w:rPr>
          <w:rFonts w:eastAsia="Times New Roman"/>
          <w:szCs w:val="17"/>
        </w:rPr>
      </w:pPr>
      <w:r w:rsidRPr="00C20E3E">
        <w:rPr>
          <w:rFonts w:eastAsia="Times New Roman"/>
          <w:szCs w:val="17"/>
        </w:rPr>
        <w:t>2.</w:t>
      </w:r>
      <w:r w:rsidRPr="00C20E3E">
        <w:rPr>
          <w:rFonts w:eastAsia="Times New Roman"/>
          <w:szCs w:val="17"/>
        </w:rPr>
        <w:tab/>
        <w:t>This Report concerns the remuneration of the following statutory office holders:</w:t>
      </w:r>
    </w:p>
    <w:p w:rsidR="00C20E3E" w:rsidRPr="00C20E3E" w:rsidRDefault="00C20E3E" w:rsidP="00C20E3E">
      <w:pPr>
        <w:ind w:left="993" w:hanging="426"/>
        <w:rPr>
          <w:rFonts w:eastAsia="Times New Roman"/>
          <w:szCs w:val="17"/>
        </w:rPr>
      </w:pPr>
      <w:r w:rsidRPr="00C20E3E">
        <w:rPr>
          <w:rFonts w:eastAsia="Times New Roman"/>
          <w:szCs w:val="17"/>
        </w:rPr>
        <w:t>2.1.</w:t>
      </w:r>
      <w:r w:rsidRPr="00C20E3E">
        <w:rPr>
          <w:rFonts w:eastAsia="Times New Roman"/>
          <w:szCs w:val="17"/>
        </w:rPr>
        <w:tab/>
        <w:t>the Auditor-General;</w:t>
      </w:r>
    </w:p>
    <w:p w:rsidR="00C20E3E" w:rsidRPr="00C20E3E" w:rsidRDefault="00C20E3E" w:rsidP="00C20E3E">
      <w:pPr>
        <w:ind w:left="993" w:hanging="426"/>
        <w:rPr>
          <w:rFonts w:eastAsia="Times New Roman"/>
          <w:szCs w:val="17"/>
        </w:rPr>
      </w:pPr>
      <w:r w:rsidRPr="00C20E3E">
        <w:rPr>
          <w:rFonts w:eastAsia="Times New Roman"/>
          <w:szCs w:val="17"/>
        </w:rPr>
        <w:t>2.2.</w:t>
      </w:r>
      <w:r w:rsidRPr="00C20E3E">
        <w:rPr>
          <w:rFonts w:eastAsia="Times New Roman"/>
          <w:szCs w:val="17"/>
        </w:rPr>
        <w:tab/>
        <w:t>the Electoral Commissioner;</w:t>
      </w:r>
    </w:p>
    <w:p w:rsidR="00C20E3E" w:rsidRPr="00C20E3E" w:rsidRDefault="00C20E3E" w:rsidP="00C20E3E">
      <w:pPr>
        <w:ind w:left="993" w:hanging="426"/>
        <w:rPr>
          <w:rFonts w:eastAsia="Times New Roman"/>
          <w:szCs w:val="17"/>
        </w:rPr>
      </w:pPr>
      <w:r w:rsidRPr="00C20E3E">
        <w:rPr>
          <w:rFonts w:eastAsia="Times New Roman"/>
          <w:szCs w:val="17"/>
        </w:rPr>
        <w:t>2.3.</w:t>
      </w:r>
      <w:r w:rsidRPr="00C20E3E">
        <w:rPr>
          <w:rFonts w:eastAsia="Times New Roman"/>
          <w:szCs w:val="17"/>
        </w:rPr>
        <w:tab/>
        <w:t>the Deputy Electoral Commissioner; and</w:t>
      </w:r>
    </w:p>
    <w:p w:rsidR="00C20E3E" w:rsidRPr="00C20E3E" w:rsidRDefault="00C20E3E" w:rsidP="00C20E3E">
      <w:pPr>
        <w:ind w:left="993" w:hanging="426"/>
        <w:rPr>
          <w:rFonts w:eastAsia="Times New Roman"/>
          <w:szCs w:val="17"/>
        </w:rPr>
      </w:pPr>
      <w:r w:rsidRPr="00C20E3E">
        <w:rPr>
          <w:rFonts w:eastAsia="Times New Roman"/>
          <w:szCs w:val="17"/>
        </w:rPr>
        <w:t>2.4.</w:t>
      </w:r>
      <w:r w:rsidRPr="00C20E3E">
        <w:rPr>
          <w:rFonts w:eastAsia="Times New Roman"/>
          <w:szCs w:val="17"/>
        </w:rPr>
        <w:tab/>
        <w:t>the Health and Community Services Complaints Commissioner.</w:t>
      </w:r>
    </w:p>
    <w:p w:rsidR="00C20E3E" w:rsidRPr="00C20E3E" w:rsidRDefault="00C20E3E" w:rsidP="00C20E3E">
      <w:pPr>
        <w:rPr>
          <w:rFonts w:eastAsia="Times New Roman"/>
          <w:b/>
          <w:szCs w:val="17"/>
        </w:rPr>
      </w:pPr>
      <w:r w:rsidRPr="00C20E3E">
        <w:rPr>
          <w:rFonts w:eastAsia="Times New Roman"/>
          <w:b/>
          <w:szCs w:val="17"/>
        </w:rPr>
        <w:t>BACKGROUND</w:t>
      </w:r>
    </w:p>
    <w:p w:rsidR="00C20E3E" w:rsidRPr="00C20E3E" w:rsidRDefault="00C20E3E" w:rsidP="00C20E3E">
      <w:pPr>
        <w:ind w:left="567" w:hanging="425"/>
        <w:rPr>
          <w:rFonts w:eastAsia="Times New Roman"/>
          <w:szCs w:val="17"/>
        </w:rPr>
      </w:pPr>
      <w:r w:rsidRPr="00C20E3E">
        <w:rPr>
          <w:rFonts w:eastAsia="Times New Roman"/>
          <w:szCs w:val="17"/>
        </w:rPr>
        <w:t>3.</w:t>
      </w:r>
      <w:r w:rsidRPr="00C20E3E">
        <w:rPr>
          <w:rFonts w:eastAsia="Times New Roman"/>
          <w:szCs w:val="17"/>
        </w:rPr>
        <w:tab/>
        <w:t>The previous review of remuneration for the abovementioned statutory office holders was conducted in 2020, resulting in the Tribunal increasing the salaries of those office holders by 1 per cent, with an operative date of 1 January 2020.</w:t>
      </w:r>
    </w:p>
    <w:p w:rsidR="00C20E3E" w:rsidRPr="00C20E3E" w:rsidRDefault="00C20E3E" w:rsidP="00C20E3E">
      <w:pPr>
        <w:rPr>
          <w:rFonts w:eastAsia="Times New Roman"/>
          <w:b/>
          <w:szCs w:val="17"/>
        </w:rPr>
      </w:pPr>
      <w:r w:rsidRPr="00C20E3E">
        <w:rPr>
          <w:rFonts w:eastAsia="Times New Roman"/>
          <w:b/>
          <w:szCs w:val="17"/>
        </w:rPr>
        <w:t>PROCEDURAL HISTORY</w:t>
      </w:r>
    </w:p>
    <w:p w:rsidR="00C20E3E" w:rsidRPr="00C20E3E" w:rsidRDefault="00C20E3E" w:rsidP="00C20E3E">
      <w:pPr>
        <w:ind w:left="567" w:hanging="425"/>
        <w:rPr>
          <w:rFonts w:eastAsia="Times New Roman"/>
          <w:szCs w:val="17"/>
        </w:rPr>
      </w:pPr>
      <w:r w:rsidRPr="00C20E3E">
        <w:rPr>
          <w:rFonts w:eastAsia="Times New Roman"/>
          <w:szCs w:val="17"/>
        </w:rPr>
        <w:t>4.</w:t>
      </w:r>
      <w:r w:rsidRPr="00C20E3E">
        <w:rPr>
          <w:rFonts w:eastAsia="Times New Roman"/>
          <w:szCs w:val="17"/>
        </w:rPr>
        <w:tab/>
        <w:t>Section 10(2) of the Act provides that prior to the making of a Determination, the Tribunal must allow an affected person, or persons of an affected class, a reasonable opportunity to make submissions orally or in writing to the Tribunal.</w:t>
      </w:r>
    </w:p>
    <w:p w:rsidR="00C20E3E" w:rsidRPr="00C20E3E" w:rsidRDefault="00C20E3E" w:rsidP="00C20E3E">
      <w:pPr>
        <w:ind w:left="567" w:hanging="425"/>
        <w:rPr>
          <w:rFonts w:eastAsia="Times New Roman"/>
          <w:szCs w:val="17"/>
        </w:rPr>
      </w:pPr>
      <w:r w:rsidRPr="00C20E3E">
        <w:rPr>
          <w:rFonts w:eastAsia="Times New Roman"/>
          <w:szCs w:val="17"/>
        </w:rPr>
        <w:t>5.</w:t>
      </w:r>
      <w:r w:rsidRPr="00C20E3E">
        <w:rPr>
          <w:rFonts w:eastAsia="Times New Roman"/>
          <w:szCs w:val="17"/>
        </w:rPr>
        <w:tab/>
        <w:t>Section 10(4) provides that the Minister responsible for the Act may intervene, personally or by counsel or other representative, in proceedings before the Tribunal for the purpose of introducing evidence, or making submissions, on any question relevant to the public interest.</w:t>
      </w:r>
    </w:p>
    <w:p w:rsidR="00C20E3E" w:rsidRPr="00C20E3E" w:rsidRDefault="00C20E3E" w:rsidP="00C20E3E">
      <w:pPr>
        <w:ind w:left="567" w:hanging="425"/>
        <w:rPr>
          <w:rFonts w:eastAsia="Times New Roman"/>
          <w:szCs w:val="17"/>
        </w:rPr>
      </w:pPr>
      <w:r w:rsidRPr="00C20E3E">
        <w:rPr>
          <w:rFonts w:eastAsia="Times New Roman"/>
          <w:szCs w:val="17"/>
        </w:rPr>
        <w:t>6.</w:t>
      </w:r>
      <w:r w:rsidRPr="00C20E3E">
        <w:rPr>
          <w:rFonts w:eastAsia="Times New Roman"/>
          <w:szCs w:val="17"/>
        </w:rPr>
        <w:tab/>
        <w:t>The Tribunal, by letter dated 16 March 2021, invited the statutory office holders to whom its Determination applies to make a submission in relation to this review.</w:t>
      </w:r>
    </w:p>
    <w:p w:rsidR="00C20E3E" w:rsidRPr="00C20E3E" w:rsidRDefault="00C20E3E" w:rsidP="00C20E3E">
      <w:pPr>
        <w:ind w:left="567" w:hanging="425"/>
        <w:rPr>
          <w:rFonts w:eastAsia="Times New Roman"/>
          <w:szCs w:val="17"/>
        </w:rPr>
      </w:pPr>
      <w:r w:rsidRPr="00C20E3E">
        <w:rPr>
          <w:rFonts w:eastAsia="Times New Roman"/>
          <w:szCs w:val="17"/>
        </w:rPr>
        <w:t>7.</w:t>
      </w:r>
      <w:r w:rsidRPr="00C20E3E">
        <w:rPr>
          <w:rFonts w:eastAsia="Times New Roman"/>
          <w:szCs w:val="17"/>
        </w:rPr>
        <w:tab/>
        <w:t>The Tribunal, by letter dated 16 March 2021, invited the Honourable Premier of South Australia (“the Premier”), as the Minister responsible for the Act, to make submissions in the public interest.</w:t>
      </w:r>
    </w:p>
    <w:p w:rsidR="00C20E3E" w:rsidRPr="00C20E3E" w:rsidRDefault="00C20E3E" w:rsidP="00C20E3E">
      <w:pPr>
        <w:ind w:left="567" w:hanging="425"/>
        <w:rPr>
          <w:rFonts w:eastAsia="Times New Roman"/>
          <w:szCs w:val="17"/>
        </w:rPr>
      </w:pPr>
      <w:r w:rsidRPr="00C20E3E">
        <w:rPr>
          <w:rFonts w:eastAsia="Times New Roman"/>
          <w:szCs w:val="17"/>
        </w:rPr>
        <w:t>8.</w:t>
      </w:r>
      <w:r w:rsidRPr="00C20E3E">
        <w:rPr>
          <w:rFonts w:eastAsia="Times New Roman"/>
          <w:szCs w:val="17"/>
        </w:rPr>
        <w:tab/>
        <w:t>In addition, on 16 March 2021, a public notice in relation to this review was placed on the Tribunal’s website.</w:t>
      </w:r>
    </w:p>
    <w:p w:rsidR="00C20E3E" w:rsidRPr="00C20E3E" w:rsidRDefault="00C20E3E" w:rsidP="00C20E3E">
      <w:pPr>
        <w:rPr>
          <w:rFonts w:eastAsia="Times New Roman"/>
          <w:b/>
          <w:szCs w:val="17"/>
        </w:rPr>
      </w:pPr>
      <w:r w:rsidRPr="00C20E3E">
        <w:rPr>
          <w:rFonts w:eastAsia="Times New Roman"/>
          <w:b/>
          <w:szCs w:val="17"/>
        </w:rPr>
        <w:t>SUBMISSIONS</w:t>
      </w:r>
    </w:p>
    <w:p w:rsidR="00C20E3E" w:rsidRPr="00C20E3E" w:rsidRDefault="00C20E3E" w:rsidP="00C20E3E">
      <w:pPr>
        <w:ind w:left="567" w:hanging="425"/>
        <w:rPr>
          <w:rFonts w:eastAsia="Times New Roman"/>
          <w:szCs w:val="17"/>
        </w:rPr>
      </w:pPr>
      <w:r w:rsidRPr="00C20E3E">
        <w:rPr>
          <w:rFonts w:eastAsia="Times New Roman"/>
          <w:szCs w:val="17"/>
        </w:rPr>
        <w:t>9.</w:t>
      </w:r>
      <w:r w:rsidRPr="00C20E3E">
        <w:rPr>
          <w:rFonts w:eastAsia="Times New Roman"/>
          <w:szCs w:val="17"/>
        </w:rPr>
        <w:tab/>
        <w:t>On 1 April 2021, the Tribunal received a submission on behalf of the Premier. That submission is summarised as follows:</w:t>
      </w:r>
    </w:p>
    <w:p w:rsidR="00C20E3E" w:rsidRPr="00C20E3E" w:rsidRDefault="00C20E3E" w:rsidP="00C20E3E">
      <w:pPr>
        <w:ind w:left="993" w:hanging="426"/>
        <w:rPr>
          <w:rFonts w:eastAsia="Times New Roman"/>
          <w:spacing w:val="-2"/>
          <w:szCs w:val="17"/>
        </w:rPr>
      </w:pPr>
      <w:r w:rsidRPr="00C20E3E">
        <w:rPr>
          <w:rFonts w:eastAsia="Times New Roman"/>
          <w:szCs w:val="17"/>
        </w:rPr>
        <w:t>9.1.</w:t>
      </w:r>
      <w:r w:rsidRPr="00C20E3E">
        <w:rPr>
          <w:rFonts w:eastAsia="Times New Roman"/>
          <w:szCs w:val="17"/>
        </w:rPr>
        <w:tab/>
      </w:r>
      <w:r w:rsidRPr="00C20E3E">
        <w:rPr>
          <w:rFonts w:eastAsia="Times New Roman"/>
          <w:spacing w:val="-2"/>
          <w:szCs w:val="17"/>
        </w:rPr>
        <w:t xml:space="preserve">In relation to the 2021 review of remuneration for Statutory Office Holders (specifically the Auditor-General, the Electoral Commissioner, the Deputy Electoral Commissioner and the Health and Community Services Complaints Commissioner) and the Tribunal’s invitation by letter dated 16 March 2021, the Premier as the Minister responsible for the </w:t>
      </w:r>
      <w:r w:rsidRPr="00C20E3E">
        <w:rPr>
          <w:rFonts w:eastAsia="Times New Roman"/>
          <w:i/>
          <w:spacing w:val="-2"/>
          <w:szCs w:val="17"/>
        </w:rPr>
        <w:t>Remuneration Act 1990</w:t>
      </w:r>
      <w:r w:rsidRPr="00C20E3E">
        <w:rPr>
          <w:rFonts w:eastAsia="Times New Roman"/>
          <w:spacing w:val="-2"/>
          <w:szCs w:val="17"/>
        </w:rPr>
        <w:t xml:space="preserve"> submits that the Remuneration Tribunal have regard to the following factors:</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t>the economic indicia outlined in the Premier’s submission; and</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r>
      <w:r w:rsidRPr="00C20E3E">
        <w:rPr>
          <w:rFonts w:eastAsia="Times New Roman"/>
          <w:spacing w:val="-2"/>
          <w:szCs w:val="17"/>
        </w:rPr>
        <w:t>the most recent public sector executive remuneration increase of 2% with operative effect July 2019 (no increase in 2020).</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t>the Tribunal’s previous decision to award statutory office holders a 1% increase from 1 January 2020; and</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t>that an increase of 1% from 1 January 2021 would be consistent with the Tribunal’s past approach of maintaining increases within a reasonable range when compared to public sector executives.</w:t>
      </w:r>
    </w:p>
    <w:p w:rsidR="00C20E3E" w:rsidRPr="00C20E3E" w:rsidRDefault="00C20E3E" w:rsidP="00C20E3E">
      <w:pPr>
        <w:ind w:left="567" w:hanging="425"/>
        <w:rPr>
          <w:rFonts w:eastAsia="Times New Roman"/>
          <w:szCs w:val="17"/>
        </w:rPr>
      </w:pPr>
      <w:r w:rsidRPr="00C20E3E">
        <w:rPr>
          <w:rFonts w:eastAsia="Times New Roman"/>
          <w:szCs w:val="17"/>
        </w:rPr>
        <w:t>10.</w:t>
      </w:r>
      <w:r w:rsidRPr="00C20E3E">
        <w:rPr>
          <w:rFonts w:eastAsia="Times New Roman"/>
          <w:szCs w:val="17"/>
        </w:rPr>
        <w:tab/>
        <w:t>No other submissions were received by the Tribunal in relation to this review.</w:t>
      </w:r>
    </w:p>
    <w:p w:rsidR="00C20E3E" w:rsidRPr="00C20E3E" w:rsidRDefault="00C20E3E" w:rsidP="00C20E3E">
      <w:pPr>
        <w:rPr>
          <w:rFonts w:eastAsia="Times New Roman"/>
          <w:b/>
          <w:szCs w:val="17"/>
        </w:rPr>
      </w:pPr>
      <w:r w:rsidRPr="00C20E3E">
        <w:rPr>
          <w:rFonts w:eastAsia="Times New Roman"/>
          <w:b/>
          <w:szCs w:val="17"/>
        </w:rPr>
        <w:t>ECONOMIC DATA AND INFORMATION</w:t>
      </w:r>
    </w:p>
    <w:p w:rsidR="00C20E3E" w:rsidRPr="00C20E3E" w:rsidRDefault="00C20E3E" w:rsidP="00C20E3E">
      <w:pPr>
        <w:ind w:left="567" w:hanging="425"/>
        <w:rPr>
          <w:rFonts w:eastAsia="Times New Roman"/>
          <w:szCs w:val="17"/>
        </w:rPr>
      </w:pPr>
      <w:r w:rsidRPr="00C20E3E">
        <w:rPr>
          <w:rFonts w:eastAsia="Times New Roman"/>
          <w:szCs w:val="17"/>
        </w:rPr>
        <w:t>11.</w:t>
      </w:r>
      <w:r w:rsidRPr="00C20E3E">
        <w:rPr>
          <w:rFonts w:eastAsia="Times New Roman"/>
          <w:szCs w:val="17"/>
        </w:rPr>
        <w:tab/>
        <w:t>In the course of this Review, the Tribunal has had regard to the following data and information:</w:t>
      </w:r>
    </w:p>
    <w:p w:rsidR="00C20E3E" w:rsidRPr="00C20E3E" w:rsidRDefault="00C20E3E" w:rsidP="00C20E3E">
      <w:pPr>
        <w:ind w:left="567" w:hanging="425"/>
        <w:rPr>
          <w:rFonts w:eastAsia="Times New Roman"/>
          <w:szCs w:val="17"/>
        </w:rPr>
      </w:pPr>
      <w:r w:rsidRPr="00C20E3E">
        <w:rPr>
          <w:rFonts w:eastAsia="Times New Roman"/>
          <w:szCs w:val="17"/>
        </w:rPr>
        <w:t>12.</w:t>
      </w:r>
      <w:r w:rsidRPr="00C20E3E">
        <w:rPr>
          <w:rFonts w:eastAsia="Times New Roman"/>
          <w:szCs w:val="17"/>
        </w:rPr>
        <w:tab/>
        <w:t>The Tribunal identified the following considerations:</w:t>
      </w:r>
    </w:p>
    <w:p w:rsidR="00C20E3E" w:rsidRPr="00C20E3E" w:rsidRDefault="00C20E3E" w:rsidP="00C20E3E">
      <w:pPr>
        <w:ind w:left="993" w:hanging="426"/>
        <w:rPr>
          <w:rFonts w:eastAsia="Times New Roman"/>
          <w:szCs w:val="17"/>
        </w:rPr>
      </w:pPr>
      <w:r w:rsidRPr="00C20E3E">
        <w:rPr>
          <w:rFonts w:eastAsia="Times New Roman"/>
          <w:szCs w:val="17"/>
        </w:rPr>
        <w:t>12.1.</w:t>
      </w:r>
      <w:r w:rsidRPr="00C20E3E">
        <w:rPr>
          <w:rFonts w:eastAsia="Times New Roman"/>
          <w:szCs w:val="17"/>
        </w:rPr>
        <w:tab/>
        <w:t>A movement in the ABS Consumer Price Index for Adelaide of 1.0% for the year ending December 2020;</w:t>
      </w:r>
    </w:p>
    <w:p w:rsidR="00C20E3E" w:rsidRPr="00C20E3E" w:rsidRDefault="00C20E3E" w:rsidP="00C20E3E">
      <w:pPr>
        <w:ind w:left="993" w:hanging="426"/>
        <w:rPr>
          <w:rFonts w:eastAsia="Times New Roman"/>
          <w:spacing w:val="-4"/>
          <w:szCs w:val="17"/>
        </w:rPr>
      </w:pPr>
      <w:r w:rsidRPr="00C20E3E">
        <w:rPr>
          <w:rFonts w:eastAsia="Times New Roman"/>
          <w:szCs w:val="17"/>
        </w:rPr>
        <w:t>12.2.</w:t>
      </w:r>
      <w:r w:rsidRPr="00C20E3E">
        <w:rPr>
          <w:rFonts w:eastAsia="Times New Roman"/>
          <w:szCs w:val="17"/>
        </w:rPr>
        <w:tab/>
      </w:r>
      <w:r w:rsidRPr="00C20E3E">
        <w:rPr>
          <w:rFonts w:eastAsia="Times New Roman"/>
          <w:spacing w:val="-4"/>
          <w:szCs w:val="17"/>
        </w:rPr>
        <w:t>The Wage Price Index for Public Sector in South Australia, as published by the ABS, was 1.5% for the year ending December 2020;</w:t>
      </w:r>
    </w:p>
    <w:p w:rsidR="00C20E3E" w:rsidRPr="00C20E3E" w:rsidRDefault="00C20E3E" w:rsidP="00C20E3E">
      <w:pPr>
        <w:ind w:left="993" w:hanging="426"/>
        <w:rPr>
          <w:rFonts w:eastAsia="Times New Roman"/>
          <w:szCs w:val="17"/>
        </w:rPr>
      </w:pPr>
      <w:r w:rsidRPr="00C20E3E">
        <w:rPr>
          <w:rFonts w:eastAsia="Times New Roman"/>
          <w:szCs w:val="17"/>
        </w:rPr>
        <w:t>12.3.</w:t>
      </w:r>
      <w:r w:rsidRPr="00C20E3E">
        <w:rPr>
          <w:rFonts w:eastAsia="Times New Roman"/>
          <w:szCs w:val="17"/>
        </w:rPr>
        <w:tab/>
        <w:t>Statement on Monetary Policy of the Reserve Bank of Australia dated February 2021, inflation forecasts for the year ending:</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t>June 2021—3.0%</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t>December 2021—1.5%</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t>June 2022—1.5%</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t>December 2022—1.5%</w:t>
      </w:r>
    </w:p>
    <w:p w:rsidR="00C20E3E" w:rsidRPr="00C20E3E" w:rsidRDefault="00C20E3E" w:rsidP="00C20E3E">
      <w:pPr>
        <w:ind w:left="1276" w:hanging="283"/>
        <w:rPr>
          <w:rFonts w:eastAsia="Times New Roman"/>
          <w:szCs w:val="17"/>
        </w:rPr>
      </w:pPr>
      <w:r w:rsidRPr="00C20E3E">
        <w:rPr>
          <w:rFonts w:eastAsia="Times New Roman"/>
          <w:szCs w:val="17"/>
        </w:rPr>
        <w:t>•</w:t>
      </w:r>
      <w:r w:rsidRPr="00C20E3E">
        <w:rPr>
          <w:rFonts w:eastAsia="Times New Roman"/>
          <w:szCs w:val="17"/>
        </w:rPr>
        <w:tab/>
        <w:t>June 2023—1.75%</w:t>
      </w:r>
    </w:p>
    <w:p w:rsidR="00C20E3E" w:rsidRPr="00C20E3E" w:rsidRDefault="00C20E3E" w:rsidP="00C20E3E">
      <w:pPr>
        <w:ind w:left="993" w:hanging="426"/>
        <w:rPr>
          <w:rFonts w:eastAsia="Times New Roman"/>
          <w:szCs w:val="17"/>
        </w:rPr>
      </w:pPr>
      <w:r w:rsidRPr="00C20E3E">
        <w:rPr>
          <w:rFonts w:eastAsia="Times New Roman"/>
          <w:szCs w:val="17"/>
        </w:rPr>
        <w:t>12.4.</w:t>
      </w:r>
      <w:r w:rsidRPr="00C20E3E">
        <w:rPr>
          <w:rFonts w:eastAsia="Times New Roman"/>
          <w:szCs w:val="17"/>
        </w:rPr>
        <w:tab/>
      </w:r>
      <w:r w:rsidRPr="00C20E3E">
        <w:rPr>
          <w:rFonts w:eastAsia="Times New Roman"/>
          <w:spacing w:val="-4"/>
          <w:szCs w:val="17"/>
        </w:rPr>
        <w:t>Monetary Policy decision of the Reserve Bank of Australia, dated 6 April 2021, Statement by Governor Philip Lowe of the RBA:</w:t>
      </w:r>
    </w:p>
    <w:p w:rsidR="00C20E3E" w:rsidRPr="00C20E3E" w:rsidRDefault="00C20E3E" w:rsidP="00C20E3E">
      <w:pPr>
        <w:ind w:left="1134"/>
        <w:rPr>
          <w:rFonts w:eastAsia="Times New Roman"/>
          <w:i/>
          <w:szCs w:val="17"/>
        </w:rPr>
      </w:pPr>
      <w:r w:rsidRPr="00C20E3E">
        <w:rPr>
          <w:rFonts w:eastAsia="Times New Roman"/>
          <w:i/>
          <w:szCs w:val="17"/>
        </w:rPr>
        <w:t>“The economic recovery in Australia is well under way and is stronger than had been expected. The unemployment rate fell to 5.8 per cent in February and the number of people with a job has returned to the pre-pandemic level. GDP increased by a strong 3.1 per cent in the December quarter, boosted by a further lift in household consumption as the health situation improved. The recovery is expected to continue, with above-trend growth this year and next. Household and business balance sheets are in good shape and should continue to support spending.</w:t>
      </w:r>
    </w:p>
    <w:p w:rsidR="00C20E3E" w:rsidRPr="00C20E3E" w:rsidRDefault="00C20E3E" w:rsidP="00C20E3E">
      <w:pPr>
        <w:ind w:left="1134"/>
        <w:rPr>
          <w:rFonts w:eastAsia="Times New Roman"/>
          <w:i/>
          <w:spacing w:val="-2"/>
          <w:szCs w:val="17"/>
        </w:rPr>
      </w:pPr>
      <w:r w:rsidRPr="00C20E3E">
        <w:rPr>
          <w:rFonts w:eastAsia="Times New Roman"/>
          <w:i/>
          <w:spacing w:val="-2"/>
          <w:szCs w:val="17"/>
        </w:rPr>
        <w:t xml:space="preserve">Nevertheless, </w:t>
      </w:r>
      <w:r w:rsidRPr="00C20E3E">
        <w:rPr>
          <w:rFonts w:eastAsia="Times New Roman"/>
          <w:b/>
          <w:i/>
          <w:spacing w:val="-2"/>
          <w:szCs w:val="17"/>
        </w:rPr>
        <w:t>wage and price pressures are subdued and are expected to remain so for some years</w:t>
      </w:r>
      <w:r w:rsidRPr="00C20E3E">
        <w:rPr>
          <w:rFonts w:eastAsia="Times New Roman"/>
          <w:i/>
          <w:spacing w:val="-2"/>
          <w:szCs w:val="17"/>
        </w:rPr>
        <w:t>. The economy is operating with considerable spare capacity and unemployment is still too high. It will take some time to reduce this spare capacity and for the labour market to be tight enough to generate wage increases that are consistent with achieving the inflation target. In the short term, CPI inflation is expected to rise temporarily because of the reversal of some COVID-19-related price reductions. Looking through this, underlying inflation is expected to remain below 2 per cent over the next few years.”</w:t>
      </w:r>
    </w:p>
    <w:p w:rsidR="00C20E3E" w:rsidRPr="00C20E3E" w:rsidRDefault="00C20E3E" w:rsidP="00C20E3E">
      <w:pPr>
        <w:ind w:left="993"/>
        <w:rPr>
          <w:rFonts w:eastAsia="Times New Roman"/>
          <w:szCs w:val="17"/>
        </w:rPr>
      </w:pPr>
      <w:r w:rsidRPr="00C20E3E">
        <w:rPr>
          <w:rFonts w:eastAsia="Times New Roman"/>
          <w:szCs w:val="17"/>
        </w:rPr>
        <w:t>[emphasis added to original]</w:t>
      </w:r>
    </w:p>
    <w:p w:rsidR="00C20E3E" w:rsidRPr="00C20E3E" w:rsidRDefault="00C20E3E" w:rsidP="00C20E3E">
      <w:pPr>
        <w:ind w:left="993" w:hanging="426"/>
        <w:rPr>
          <w:rFonts w:eastAsia="Times New Roman"/>
          <w:szCs w:val="17"/>
        </w:rPr>
      </w:pPr>
      <w:r w:rsidRPr="00C20E3E">
        <w:rPr>
          <w:rFonts w:eastAsia="Times New Roman"/>
          <w:szCs w:val="17"/>
        </w:rPr>
        <w:lastRenderedPageBreak/>
        <w:t>12.5.</w:t>
      </w:r>
      <w:r w:rsidRPr="00C20E3E">
        <w:rPr>
          <w:rFonts w:eastAsia="Times New Roman"/>
          <w:szCs w:val="17"/>
        </w:rPr>
        <w:tab/>
        <w:t>The Tribunal also considered movements in public sector remuneration. The</w:t>
      </w:r>
      <w:r w:rsidRPr="00C20E3E">
        <w:rPr>
          <w:rFonts w:eastAsia="Times New Roman"/>
          <w:i/>
          <w:szCs w:val="17"/>
        </w:rPr>
        <w:t xml:space="preserve"> South Australian Modern Public Sector Enterprise Agreement: Salaried 2017</w:t>
      </w:r>
      <w:r w:rsidRPr="00C20E3E">
        <w:rPr>
          <w:rFonts w:eastAsia="Times New Roman"/>
          <w:szCs w:val="17"/>
        </w:rPr>
        <w:t xml:space="preserve"> provides for weighted average salary increases of 2.3% in 2019. That enterprise agreement is currently the subject of negotiations and increases for 2020 and beyond are unable to be discerned at the time of this review.</w:t>
      </w:r>
    </w:p>
    <w:p w:rsidR="00C20E3E" w:rsidRPr="00C20E3E" w:rsidRDefault="00C20E3E" w:rsidP="00C20E3E">
      <w:pPr>
        <w:ind w:left="993" w:hanging="426"/>
        <w:rPr>
          <w:rFonts w:eastAsia="Times New Roman"/>
          <w:szCs w:val="17"/>
        </w:rPr>
      </w:pPr>
      <w:r w:rsidRPr="00C20E3E">
        <w:rPr>
          <w:rFonts w:eastAsia="Times New Roman"/>
          <w:szCs w:val="17"/>
        </w:rPr>
        <w:t>12.6.</w:t>
      </w:r>
      <w:r w:rsidRPr="00C20E3E">
        <w:rPr>
          <w:rFonts w:eastAsia="Times New Roman"/>
          <w:szCs w:val="17"/>
        </w:rPr>
        <w:tab/>
        <w:t>The following table compares historical increases for the statutory office holders to whom this Report relates with public sector executives:</w:t>
      </w:r>
    </w:p>
    <w:tbl>
      <w:tblPr>
        <w:tblStyle w:val="TableGrid3"/>
        <w:tblW w:w="8368"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2676"/>
        <w:gridCol w:w="3686"/>
      </w:tblGrid>
      <w:tr w:rsidR="00C20E3E" w:rsidRPr="00C20E3E" w:rsidTr="00A354F7">
        <w:trPr>
          <w:trHeight w:val="20"/>
          <w:tblHeader/>
        </w:trPr>
        <w:tc>
          <w:tcPr>
            <w:tcW w:w="2006" w:type="dxa"/>
            <w:tcBorders>
              <w:top w:val="single" w:sz="4" w:space="0" w:color="auto"/>
              <w:bottom w:val="single" w:sz="4" w:space="0" w:color="auto"/>
            </w:tcBorders>
            <w:shd w:val="clear" w:color="auto" w:fill="auto"/>
            <w:noWrap/>
            <w:vAlign w:val="center"/>
            <w:hideMark/>
          </w:tcPr>
          <w:p w:rsidR="00C20E3E" w:rsidRPr="00C20E3E" w:rsidRDefault="00C20E3E" w:rsidP="00C20E3E">
            <w:pPr>
              <w:spacing w:before="40" w:after="40"/>
              <w:jc w:val="center"/>
              <w:rPr>
                <w:b/>
                <w:bCs/>
                <w:szCs w:val="17"/>
                <w:lang w:eastAsia="en-AU"/>
              </w:rPr>
            </w:pPr>
            <w:r w:rsidRPr="00C20E3E">
              <w:rPr>
                <w:b/>
                <w:bCs/>
                <w:szCs w:val="17"/>
                <w:lang w:eastAsia="en-AU"/>
              </w:rPr>
              <w:t>Year</w:t>
            </w:r>
          </w:p>
        </w:tc>
        <w:tc>
          <w:tcPr>
            <w:tcW w:w="2676" w:type="dxa"/>
            <w:tcBorders>
              <w:top w:val="single" w:sz="4" w:space="0" w:color="auto"/>
              <w:bottom w:val="single" w:sz="4" w:space="0" w:color="auto"/>
            </w:tcBorders>
            <w:shd w:val="clear" w:color="auto" w:fill="auto"/>
            <w:vAlign w:val="center"/>
            <w:hideMark/>
          </w:tcPr>
          <w:p w:rsidR="00C20E3E" w:rsidRPr="00C20E3E" w:rsidRDefault="00C20E3E" w:rsidP="00C20E3E">
            <w:pPr>
              <w:spacing w:before="40" w:after="40"/>
              <w:jc w:val="center"/>
              <w:rPr>
                <w:b/>
                <w:bCs/>
                <w:szCs w:val="17"/>
                <w:lang w:eastAsia="en-AU"/>
              </w:rPr>
            </w:pPr>
            <w:r w:rsidRPr="00C20E3E">
              <w:rPr>
                <w:b/>
                <w:bCs/>
                <w:szCs w:val="17"/>
                <w:lang w:val="en-US"/>
              </w:rPr>
              <w:t>Increases in Salary for Statutory Office Holders (Remuneration Tribunal Determinations)</w:t>
            </w:r>
          </w:p>
        </w:tc>
        <w:tc>
          <w:tcPr>
            <w:tcW w:w="3686" w:type="dxa"/>
            <w:tcBorders>
              <w:top w:val="single" w:sz="4" w:space="0" w:color="auto"/>
              <w:bottom w:val="single" w:sz="4" w:space="0" w:color="auto"/>
            </w:tcBorders>
            <w:shd w:val="clear" w:color="auto" w:fill="auto"/>
            <w:vAlign w:val="center"/>
          </w:tcPr>
          <w:p w:rsidR="00C20E3E" w:rsidRPr="00C20E3E" w:rsidRDefault="00C20E3E" w:rsidP="00C20E3E">
            <w:pPr>
              <w:spacing w:before="40" w:after="40"/>
              <w:jc w:val="center"/>
              <w:rPr>
                <w:b/>
                <w:bCs/>
                <w:i/>
                <w:iCs/>
                <w:szCs w:val="17"/>
                <w:lang w:eastAsia="en-AU"/>
              </w:rPr>
            </w:pPr>
            <w:r w:rsidRPr="00C20E3E">
              <w:rPr>
                <w:b/>
                <w:bCs/>
                <w:szCs w:val="17"/>
                <w:lang w:eastAsia="en-AU"/>
              </w:rPr>
              <w:t>Increases in Salary for Public Sector Executives</w:t>
            </w:r>
          </w:p>
        </w:tc>
      </w:tr>
      <w:tr w:rsidR="00C20E3E" w:rsidRPr="00C20E3E" w:rsidTr="00A354F7">
        <w:trPr>
          <w:trHeight w:val="20"/>
          <w:tblHeader/>
        </w:trPr>
        <w:tc>
          <w:tcPr>
            <w:tcW w:w="2006" w:type="dxa"/>
            <w:tcBorders>
              <w:top w:val="single" w:sz="4" w:space="0" w:color="auto"/>
            </w:tcBorders>
            <w:shd w:val="clear" w:color="auto" w:fill="auto"/>
            <w:noWrap/>
            <w:vAlign w:val="center"/>
          </w:tcPr>
          <w:p w:rsidR="00C20E3E" w:rsidRPr="00C20E3E" w:rsidRDefault="00C20E3E" w:rsidP="00C20E3E">
            <w:pPr>
              <w:spacing w:after="0" w:line="80" w:lineRule="exact"/>
              <w:jc w:val="center"/>
              <w:rPr>
                <w:b/>
                <w:bCs/>
                <w:szCs w:val="17"/>
                <w:lang w:eastAsia="en-AU"/>
              </w:rPr>
            </w:pPr>
          </w:p>
        </w:tc>
        <w:tc>
          <w:tcPr>
            <w:tcW w:w="2676" w:type="dxa"/>
            <w:tcBorders>
              <w:top w:val="single" w:sz="4" w:space="0" w:color="auto"/>
            </w:tcBorders>
            <w:shd w:val="clear" w:color="auto" w:fill="auto"/>
            <w:vAlign w:val="center"/>
          </w:tcPr>
          <w:p w:rsidR="00C20E3E" w:rsidRPr="00C20E3E" w:rsidRDefault="00C20E3E" w:rsidP="00C20E3E">
            <w:pPr>
              <w:spacing w:after="0" w:line="80" w:lineRule="exact"/>
              <w:jc w:val="center"/>
              <w:rPr>
                <w:b/>
                <w:bCs/>
                <w:szCs w:val="17"/>
                <w:lang w:val="en-US"/>
              </w:rPr>
            </w:pPr>
          </w:p>
        </w:tc>
        <w:tc>
          <w:tcPr>
            <w:tcW w:w="3686" w:type="dxa"/>
            <w:tcBorders>
              <w:top w:val="single" w:sz="4" w:space="0" w:color="auto"/>
            </w:tcBorders>
            <w:shd w:val="clear" w:color="auto" w:fill="auto"/>
            <w:vAlign w:val="center"/>
          </w:tcPr>
          <w:p w:rsidR="00C20E3E" w:rsidRPr="00C20E3E" w:rsidRDefault="00C20E3E" w:rsidP="00C20E3E">
            <w:pPr>
              <w:spacing w:after="0" w:line="80" w:lineRule="exact"/>
              <w:jc w:val="center"/>
              <w:rPr>
                <w:b/>
                <w:bCs/>
                <w:szCs w:val="17"/>
                <w:lang w:eastAsia="en-AU"/>
              </w:rPr>
            </w:pPr>
          </w:p>
        </w:tc>
      </w:tr>
      <w:tr w:rsidR="00C20E3E" w:rsidRPr="00C20E3E" w:rsidTr="00A354F7">
        <w:trPr>
          <w:trHeight w:val="20"/>
        </w:trPr>
        <w:tc>
          <w:tcPr>
            <w:tcW w:w="200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2010</w:t>
            </w:r>
          </w:p>
        </w:tc>
        <w:tc>
          <w:tcPr>
            <w:tcW w:w="267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2.5%</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2.5%</w:t>
            </w:r>
          </w:p>
        </w:tc>
      </w:tr>
      <w:tr w:rsidR="00C20E3E" w:rsidRPr="00C20E3E" w:rsidTr="00A354F7">
        <w:trPr>
          <w:trHeight w:val="20"/>
        </w:trPr>
        <w:tc>
          <w:tcPr>
            <w:tcW w:w="200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2011</w:t>
            </w:r>
          </w:p>
        </w:tc>
        <w:tc>
          <w:tcPr>
            <w:tcW w:w="267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2.5%</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2.5%</w:t>
            </w:r>
          </w:p>
        </w:tc>
      </w:tr>
      <w:tr w:rsidR="00C20E3E" w:rsidRPr="00C20E3E" w:rsidTr="00A354F7">
        <w:trPr>
          <w:trHeight w:val="20"/>
        </w:trPr>
        <w:tc>
          <w:tcPr>
            <w:tcW w:w="200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2012</w:t>
            </w:r>
          </w:p>
        </w:tc>
        <w:tc>
          <w:tcPr>
            <w:tcW w:w="267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3.0%</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3.0%</w:t>
            </w:r>
          </w:p>
        </w:tc>
      </w:tr>
      <w:tr w:rsidR="00C20E3E" w:rsidRPr="00C20E3E" w:rsidTr="00A354F7">
        <w:trPr>
          <w:trHeight w:val="20"/>
        </w:trPr>
        <w:tc>
          <w:tcPr>
            <w:tcW w:w="200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2013</w:t>
            </w:r>
          </w:p>
        </w:tc>
        <w:tc>
          <w:tcPr>
            <w:tcW w:w="267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0.0%</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2.5%</w:t>
            </w:r>
          </w:p>
        </w:tc>
      </w:tr>
      <w:tr w:rsidR="00C20E3E" w:rsidRPr="00C20E3E" w:rsidTr="00A354F7">
        <w:trPr>
          <w:trHeight w:val="20"/>
        </w:trPr>
        <w:tc>
          <w:tcPr>
            <w:tcW w:w="200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2014</w:t>
            </w:r>
          </w:p>
        </w:tc>
        <w:tc>
          <w:tcPr>
            <w:tcW w:w="267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2.5%</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0.0%</w:t>
            </w:r>
          </w:p>
        </w:tc>
      </w:tr>
      <w:tr w:rsidR="00C20E3E" w:rsidRPr="00C20E3E" w:rsidTr="00A354F7">
        <w:trPr>
          <w:trHeight w:val="20"/>
        </w:trPr>
        <w:tc>
          <w:tcPr>
            <w:tcW w:w="2006" w:type="dxa"/>
            <w:shd w:val="clear" w:color="auto" w:fill="auto"/>
            <w:noWrap/>
            <w:hideMark/>
          </w:tcPr>
          <w:p w:rsidR="00C20E3E" w:rsidRPr="00C20E3E" w:rsidRDefault="00C20E3E" w:rsidP="00C20E3E">
            <w:pPr>
              <w:spacing w:after="0"/>
              <w:jc w:val="center"/>
              <w:rPr>
                <w:szCs w:val="17"/>
                <w:lang w:eastAsia="en-AU"/>
              </w:rPr>
            </w:pPr>
            <w:r w:rsidRPr="00C20E3E">
              <w:rPr>
                <w:szCs w:val="17"/>
                <w:lang w:eastAsia="en-AU"/>
              </w:rPr>
              <w:t>2015</w:t>
            </w:r>
          </w:p>
        </w:tc>
        <w:tc>
          <w:tcPr>
            <w:tcW w:w="2676" w:type="dxa"/>
            <w:shd w:val="clear" w:color="auto" w:fill="auto"/>
            <w:noWrap/>
            <w:hideMark/>
          </w:tcPr>
          <w:p w:rsidR="00C20E3E" w:rsidRPr="00C20E3E" w:rsidRDefault="00C20E3E" w:rsidP="00C20E3E">
            <w:pPr>
              <w:spacing w:after="0"/>
              <w:jc w:val="center"/>
              <w:rPr>
                <w:szCs w:val="17"/>
                <w:lang w:eastAsia="en-AU"/>
              </w:rPr>
            </w:pPr>
            <w:r w:rsidRPr="00C20E3E">
              <w:rPr>
                <w:szCs w:val="17"/>
                <w:lang w:val="en-US"/>
              </w:rPr>
              <w:t>0.0%</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2.5%</w:t>
            </w:r>
          </w:p>
        </w:tc>
      </w:tr>
      <w:tr w:rsidR="00C20E3E" w:rsidRPr="00C20E3E" w:rsidTr="00A354F7">
        <w:trPr>
          <w:trHeight w:val="20"/>
        </w:trPr>
        <w:tc>
          <w:tcPr>
            <w:tcW w:w="2006" w:type="dxa"/>
            <w:shd w:val="clear" w:color="auto" w:fill="auto"/>
            <w:noWrap/>
            <w:hideMark/>
          </w:tcPr>
          <w:p w:rsidR="00C20E3E" w:rsidRPr="00C20E3E" w:rsidRDefault="00C20E3E" w:rsidP="00C20E3E">
            <w:pPr>
              <w:spacing w:after="0"/>
              <w:jc w:val="center"/>
              <w:rPr>
                <w:szCs w:val="17"/>
                <w:lang w:eastAsia="en-AU"/>
              </w:rPr>
            </w:pPr>
            <w:r w:rsidRPr="00C20E3E">
              <w:rPr>
                <w:szCs w:val="17"/>
                <w:lang w:eastAsia="en-AU"/>
              </w:rPr>
              <w:t>2016</w:t>
            </w:r>
          </w:p>
        </w:tc>
        <w:tc>
          <w:tcPr>
            <w:tcW w:w="2676" w:type="dxa"/>
            <w:shd w:val="clear" w:color="auto" w:fill="auto"/>
            <w:noWrap/>
            <w:hideMark/>
          </w:tcPr>
          <w:p w:rsidR="00C20E3E" w:rsidRPr="00C20E3E" w:rsidRDefault="00C20E3E" w:rsidP="00C20E3E">
            <w:pPr>
              <w:spacing w:after="0"/>
              <w:jc w:val="center"/>
              <w:rPr>
                <w:szCs w:val="17"/>
                <w:lang w:eastAsia="en-AU"/>
              </w:rPr>
            </w:pPr>
            <w:r w:rsidRPr="00C20E3E">
              <w:rPr>
                <w:szCs w:val="17"/>
                <w:lang w:val="en-US"/>
              </w:rPr>
              <w:t>2.5%</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1.5%</w:t>
            </w:r>
          </w:p>
        </w:tc>
      </w:tr>
      <w:tr w:rsidR="00C20E3E" w:rsidRPr="00C20E3E" w:rsidTr="00A354F7">
        <w:trPr>
          <w:trHeight w:val="20"/>
        </w:trPr>
        <w:tc>
          <w:tcPr>
            <w:tcW w:w="2006" w:type="dxa"/>
            <w:shd w:val="clear" w:color="auto" w:fill="auto"/>
            <w:noWrap/>
            <w:hideMark/>
          </w:tcPr>
          <w:p w:rsidR="00C20E3E" w:rsidRPr="00C20E3E" w:rsidRDefault="00C20E3E" w:rsidP="00C20E3E">
            <w:pPr>
              <w:spacing w:after="0"/>
              <w:jc w:val="center"/>
              <w:rPr>
                <w:szCs w:val="17"/>
                <w:lang w:eastAsia="en-AU"/>
              </w:rPr>
            </w:pPr>
            <w:r w:rsidRPr="00C20E3E">
              <w:rPr>
                <w:szCs w:val="17"/>
                <w:lang w:eastAsia="en-AU"/>
              </w:rPr>
              <w:t>2017</w:t>
            </w:r>
          </w:p>
        </w:tc>
        <w:tc>
          <w:tcPr>
            <w:tcW w:w="2676" w:type="dxa"/>
            <w:shd w:val="clear" w:color="auto" w:fill="auto"/>
            <w:noWrap/>
            <w:hideMark/>
          </w:tcPr>
          <w:p w:rsidR="00C20E3E" w:rsidRPr="00C20E3E" w:rsidRDefault="00C20E3E" w:rsidP="00C20E3E">
            <w:pPr>
              <w:spacing w:after="0"/>
              <w:jc w:val="center"/>
              <w:rPr>
                <w:szCs w:val="17"/>
                <w:lang w:eastAsia="en-AU"/>
              </w:rPr>
            </w:pPr>
            <w:r w:rsidRPr="00C20E3E">
              <w:rPr>
                <w:szCs w:val="17"/>
                <w:lang w:val="en-US"/>
              </w:rPr>
              <w:t>2.4%</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1.5%</w:t>
            </w:r>
          </w:p>
        </w:tc>
      </w:tr>
      <w:tr w:rsidR="00C20E3E" w:rsidRPr="00C20E3E" w:rsidTr="00A354F7">
        <w:trPr>
          <w:trHeight w:val="20"/>
        </w:trPr>
        <w:tc>
          <w:tcPr>
            <w:tcW w:w="2006" w:type="dxa"/>
            <w:shd w:val="clear" w:color="auto" w:fill="auto"/>
            <w:noWrap/>
            <w:hideMark/>
          </w:tcPr>
          <w:p w:rsidR="00C20E3E" w:rsidRPr="00C20E3E" w:rsidRDefault="00C20E3E" w:rsidP="00C20E3E">
            <w:pPr>
              <w:spacing w:after="0"/>
              <w:jc w:val="center"/>
              <w:rPr>
                <w:szCs w:val="17"/>
                <w:lang w:eastAsia="en-AU"/>
              </w:rPr>
            </w:pPr>
            <w:r w:rsidRPr="00C20E3E">
              <w:rPr>
                <w:szCs w:val="17"/>
                <w:lang w:eastAsia="en-AU"/>
              </w:rPr>
              <w:t>2018</w:t>
            </w:r>
          </w:p>
        </w:tc>
        <w:tc>
          <w:tcPr>
            <w:tcW w:w="2676" w:type="dxa"/>
            <w:shd w:val="clear" w:color="auto" w:fill="auto"/>
            <w:noWrap/>
            <w:hideMark/>
          </w:tcPr>
          <w:p w:rsidR="00C20E3E" w:rsidRPr="00C20E3E" w:rsidRDefault="00C20E3E" w:rsidP="00C20E3E">
            <w:pPr>
              <w:spacing w:after="0"/>
              <w:jc w:val="center"/>
              <w:rPr>
                <w:szCs w:val="17"/>
                <w:lang w:eastAsia="en-AU"/>
              </w:rPr>
            </w:pPr>
            <w:r w:rsidRPr="00C20E3E">
              <w:rPr>
                <w:szCs w:val="17"/>
                <w:lang w:val="en-US"/>
              </w:rPr>
              <w:t>1.5%</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1.5%</w:t>
            </w:r>
          </w:p>
        </w:tc>
      </w:tr>
      <w:tr w:rsidR="00C20E3E" w:rsidRPr="00C20E3E" w:rsidTr="00A354F7">
        <w:trPr>
          <w:trHeight w:val="20"/>
        </w:trPr>
        <w:tc>
          <w:tcPr>
            <w:tcW w:w="2006" w:type="dxa"/>
            <w:shd w:val="clear" w:color="auto" w:fill="auto"/>
            <w:noWrap/>
          </w:tcPr>
          <w:p w:rsidR="00C20E3E" w:rsidRPr="00C20E3E" w:rsidRDefault="00C20E3E" w:rsidP="00C20E3E">
            <w:pPr>
              <w:spacing w:after="0"/>
              <w:jc w:val="center"/>
              <w:rPr>
                <w:szCs w:val="17"/>
                <w:lang w:eastAsia="en-AU"/>
              </w:rPr>
            </w:pPr>
            <w:r w:rsidRPr="00C20E3E">
              <w:rPr>
                <w:szCs w:val="17"/>
                <w:lang w:eastAsia="en-AU"/>
              </w:rPr>
              <w:t>2019</w:t>
            </w:r>
          </w:p>
        </w:tc>
        <w:tc>
          <w:tcPr>
            <w:tcW w:w="2676" w:type="dxa"/>
            <w:shd w:val="clear" w:color="auto" w:fill="auto"/>
            <w:noWrap/>
          </w:tcPr>
          <w:p w:rsidR="00C20E3E" w:rsidRPr="00C20E3E" w:rsidRDefault="00C20E3E" w:rsidP="00C20E3E">
            <w:pPr>
              <w:spacing w:after="0"/>
              <w:jc w:val="center"/>
              <w:rPr>
                <w:szCs w:val="17"/>
                <w:lang w:eastAsia="en-AU"/>
              </w:rPr>
            </w:pPr>
            <w:r w:rsidRPr="00C20E3E">
              <w:rPr>
                <w:szCs w:val="17"/>
                <w:lang w:val="en-US"/>
              </w:rPr>
              <w:t>2.0%</w:t>
            </w:r>
          </w:p>
        </w:tc>
        <w:tc>
          <w:tcPr>
            <w:tcW w:w="3686" w:type="dxa"/>
            <w:shd w:val="clear" w:color="auto" w:fill="auto"/>
          </w:tcPr>
          <w:p w:rsidR="00C20E3E" w:rsidRPr="00C20E3E" w:rsidRDefault="00C20E3E" w:rsidP="00C20E3E">
            <w:pPr>
              <w:spacing w:after="0"/>
              <w:jc w:val="center"/>
              <w:rPr>
                <w:szCs w:val="17"/>
                <w:lang w:eastAsia="en-AU"/>
              </w:rPr>
            </w:pPr>
            <w:r w:rsidRPr="00C20E3E">
              <w:rPr>
                <w:szCs w:val="17"/>
                <w:lang w:eastAsia="en-AU"/>
              </w:rPr>
              <w:t>2.0%</w:t>
            </w:r>
          </w:p>
        </w:tc>
      </w:tr>
      <w:tr w:rsidR="00C20E3E" w:rsidRPr="00C20E3E" w:rsidTr="00A354F7">
        <w:trPr>
          <w:trHeight w:val="20"/>
        </w:trPr>
        <w:tc>
          <w:tcPr>
            <w:tcW w:w="2006" w:type="dxa"/>
            <w:tcBorders>
              <w:bottom w:val="single" w:sz="4" w:space="0" w:color="auto"/>
            </w:tcBorders>
            <w:shd w:val="clear" w:color="auto" w:fill="auto"/>
            <w:noWrap/>
          </w:tcPr>
          <w:p w:rsidR="00C20E3E" w:rsidRPr="00C20E3E" w:rsidRDefault="00C20E3E" w:rsidP="00C20E3E">
            <w:pPr>
              <w:jc w:val="center"/>
              <w:rPr>
                <w:szCs w:val="17"/>
                <w:lang w:eastAsia="en-AU"/>
              </w:rPr>
            </w:pPr>
            <w:r w:rsidRPr="00C20E3E">
              <w:rPr>
                <w:szCs w:val="17"/>
                <w:lang w:eastAsia="en-AU"/>
              </w:rPr>
              <w:t>2020</w:t>
            </w:r>
          </w:p>
        </w:tc>
        <w:tc>
          <w:tcPr>
            <w:tcW w:w="2676" w:type="dxa"/>
            <w:tcBorders>
              <w:bottom w:val="single" w:sz="4" w:space="0" w:color="auto"/>
            </w:tcBorders>
            <w:shd w:val="clear" w:color="auto" w:fill="auto"/>
            <w:noWrap/>
          </w:tcPr>
          <w:p w:rsidR="00C20E3E" w:rsidRPr="00C20E3E" w:rsidRDefault="00C20E3E" w:rsidP="00C20E3E">
            <w:pPr>
              <w:jc w:val="center"/>
              <w:rPr>
                <w:szCs w:val="17"/>
                <w:lang w:eastAsia="en-AU"/>
              </w:rPr>
            </w:pPr>
            <w:r w:rsidRPr="00C20E3E">
              <w:rPr>
                <w:szCs w:val="17"/>
                <w:lang w:eastAsia="en-AU"/>
              </w:rPr>
              <w:t>1.0%</w:t>
            </w:r>
          </w:p>
        </w:tc>
        <w:tc>
          <w:tcPr>
            <w:tcW w:w="3686" w:type="dxa"/>
            <w:tcBorders>
              <w:bottom w:val="single" w:sz="4" w:space="0" w:color="auto"/>
            </w:tcBorders>
            <w:shd w:val="clear" w:color="auto" w:fill="auto"/>
          </w:tcPr>
          <w:p w:rsidR="00C20E3E" w:rsidRPr="00C20E3E" w:rsidRDefault="00C20E3E" w:rsidP="00C20E3E">
            <w:pPr>
              <w:jc w:val="center"/>
              <w:rPr>
                <w:szCs w:val="17"/>
                <w:lang w:eastAsia="en-AU"/>
              </w:rPr>
            </w:pPr>
            <w:r w:rsidRPr="00C20E3E">
              <w:rPr>
                <w:szCs w:val="17"/>
                <w:lang w:eastAsia="en-AU"/>
              </w:rPr>
              <w:t>0.0%</w:t>
            </w:r>
          </w:p>
        </w:tc>
      </w:tr>
      <w:tr w:rsidR="00C20E3E" w:rsidRPr="00C20E3E" w:rsidTr="00A354F7">
        <w:trPr>
          <w:trHeight w:val="20"/>
        </w:trPr>
        <w:tc>
          <w:tcPr>
            <w:tcW w:w="2006" w:type="dxa"/>
            <w:tcBorders>
              <w:top w:val="single" w:sz="4" w:space="0" w:color="auto"/>
              <w:bottom w:val="single" w:sz="4" w:space="0" w:color="auto"/>
            </w:tcBorders>
            <w:shd w:val="clear" w:color="auto" w:fill="auto"/>
            <w:vAlign w:val="center"/>
            <w:hideMark/>
          </w:tcPr>
          <w:p w:rsidR="00C20E3E" w:rsidRPr="00C20E3E" w:rsidRDefault="00C20E3E" w:rsidP="00C20E3E">
            <w:pPr>
              <w:spacing w:before="40" w:after="40"/>
              <w:jc w:val="center"/>
              <w:rPr>
                <w:b/>
                <w:bCs/>
                <w:szCs w:val="17"/>
                <w:lang w:eastAsia="en-AU"/>
              </w:rPr>
            </w:pPr>
            <w:r w:rsidRPr="00C20E3E">
              <w:rPr>
                <w:b/>
                <w:bCs/>
                <w:szCs w:val="17"/>
                <w:lang w:eastAsia="en-AU"/>
              </w:rPr>
              <w:t>Cumulative percentage increase, 2010-2020</w:t>
            </w:r>
          </w:p>
        </w:tc>
        <w:tc>
          <w:tcPr>
            <w:tcW w:w="2676" w:type="dxa"/>
            <w:tcBorders>
              <w:top w:val="single" w:sz="4" w:space="0" w:color="auto"/>
              <w:bottom w:val="single" w:sz="4" w:space="0" w:color="auto"/>
            </w:tcBorders>
            <w:shd w:val="clear" w:color="auto" w:fill="auto"/>
            <w:noWrap/>
            <w:vAlign w:val="center"/>
            <w:hideMark/>
          </w:tcPr>
          <w:p w:rsidR="00C20E3E" w:rsidRPr="00C20E3E" w:rsidRDefault="00C20E3E" w:rsidP="00C20E3E">
            <w:pPr>
              <w:spacing w:before="40" w:after="40"/>
              <w:jc w:val="center"/>
              <w:rPr>
                <w:b/>
                <w:bCs/>
                <w:szCs w:val="17"/>
                <w:lang w:eastAsia="en-AU"/>
              </w:rPr>
            </w:pPr>
            <w:r w:rsidRPr="00C20E3E">
              <w:rPr>
                <w:b/>
                <w:bCs/>
                <w:szCs w:val="17"/>
                <w:lang w:eastAsia="en-AU"/>
              </w:rPr>
              <w:t>21.74%</w:t>
            </w:r>
          </w:p>
        </w:tc>
        <w:tc>
          <w:tcPr>
            <w:tcW w:w="3686" w:type="dxa"/>
            <w:tcBorders>
              <w:top w:val="single" w:sz="4" w:space="0" w:color="auto"/>
              <w:bottom w:val="single" w:sz="4" w:space="0" w:color="auto"/>
            </w:tcBorders>
            <w:shd w:val="clear" w:color="auto" w:fill="auto"/>
            <w:vAlign w:val="center"/>
          </w:tcPr>
          <w:p w:rsidR="00C20E3E" w:rsidRPr="00C20E3E" w:rsidRDefault="00C20E3E" w:rsidP="00C20E3E">
            <w:pPr>
              <w:spacing w:before="40" w:after="40"/>
              <w:jc w:val="center"/>
              <w:rPr>
                <w:b/>
                <w:bCs/>
                <w:szCs w:val="17"/>
                <w:lang w:eastAsia="en-AU"/>
              </w:rPr>
            </w:pPr>
            <w:r w:rsidRPr="00C20E3E">
              <w:rPr>
                <w:b/>
                <w:bCs/>
                <w:szCs w:val="17"/>
                <w:lang w:eastAsia="en-AU"/>
              </w:rPr>
              <w:t>21.26%</w:t>
            </w:r>
          </w:p>
        </w:tc>
      </w:tr>
    </w:tbl>
    <w:p w:rsidR="00C20E3E" w:rsidRPr="00C20E3E" w:rsidRDefault="00C20E3E" w:rsidP="00C20E3E">
      <w:pPr>
        <w:spacing w:before="120"/>
        <w:ind w:left="992" w:hanging="425"/>
        <w:rPr>
          <w:rFonts w:eastAsia="Times New Roman"/>
          <w:szCs w:val="17"/>
        </w:rPr>
      </w:pPr>
      <w:r w:rsidRPr="00C20E3E">
        <w:rPr>
          <w:rFonts w:eastAsia="Times New Roman"/>
          <w:szCs w:val="17"/>
        </w:rPr>
        <w:t>12.7.</w:t>
      </w:r>
      <w:r w:rsidRPr="00C20E3E">
        <w:rPr>
          <w:rFonts w:eastAsia="Times New Roman"/>
          <w:szCs w:val="17"/>
        </w:rPr>
        <w:tab/>
        <w:t xml:space="preserve">The following table compares historical increases for the statutory office holders to whom this Report relates with those employees covered by the </w:t>
      </w:r>
      <w:r w:rsidRPr="00C20E3E">
        <w:rPr>
          <w:rFonts w:eastAsia="Times New Roman"/>
          <w:i/>
          <w:szCs w:val="17"/>
        </w:rPr>
        <w:t>South Australian Modern Public Sector Enterprise Agreement: Salaried 2017</w:t>
      </w:r>
      <w:r w:rsidRPr="00C20E3E">
        <w:rPr>
          <w:rFonts w:eastAsia="Times New Roman"/>
          <w:szCs w:val="17"/>
        </w:rPr>
        <w:t>:</w:t>
      </w:r>
    </w:p>
    <w:tbl>
      <w:tblPr>
        <w:tblStyle w:val="GridTable41"/>
        <w:tblW w:w="8368"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6"/>
        <w:gridCol w:w="2535"/>
        <w:gridCol w:w="3827"/>
      </w:tblGrid>
      <w:tr w:rsidR="00C20E3E" w:rsidRPr="00C20E3E" w:rsidTr="00A354F7">
        <w:trPr>
          <w:cnfStyle w:val="100000000000" w:firstRow="1" w:lastRow="0" w:firstColumn="0" w:lastColumn="0" w:oddVBand="0" w:evenVBand="0" w:oddHBand="0" w:evenHBand="0" w:firstRowFirstColumn="0" w:firstRowLastColumn="0" w:lastRowFirstColumn="0" w:lastRowLastColumn="0"/>
          <w:trHeight w:val="485"/>
          <w:tblHeader/>
        </w:trPr>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auto"/>
              <w:left w:val="none" w:sz="0" w:space="0" w:color="auto"/>
              <w:bottom w:val="single" w:sz="4" w:space="0" w:color="auto"/>
              <w:right w:val="none" w:sz="0" w:space="0" w:color="auto"/>
            </w:tcBorders>
            <w:shd w:val="clear" w:color="auto" w:fill="auto"/>
            <w:noWrap/>
            <w:vAlign w:val="center"/>
            <w:hideMark/>
          </w:tcPr>
          <w:p w:rsidR="00C20E3E" w:rsidRPr="00C20E3E" w:rsidRDefault="00C20E3E" w:rsidP="00C20E3E">
            <w:pPr>
              <w:spacing w:before="40" w:after="40"/>
              <w:jc w:val="center"/>
              <w:rPr>
                <w:color w:val="000000" w:themeColor="text1"/>
                <w:szCs w:val="17"/>
                <w:lang w:eastAsia="en-AU"/>
              </w:rPr>
            </w:pPr>
            <w:r w:rsidRPr="00C20E3E">
              <w:rPr>
                <w:color w:val="000000" w:themeColor="text1"/>
                <w:szCs w:val="17"/>
                <w:lang w:eastAsia="en-AU"/>
              </w:rPr>
              <w:t>Year</w:t>
            </w:r>
          </w:p>
        </w:tc>
        <w:tc>
          <w:tcPr>
            <w:tcW w:w="2535" w:type="dxa"/>
            <w:tcBorders>
              <w:top w:val="single" w:sz="4" w:space="0" w:color="auto"/>
              <w:left w:val="none" w:sz="0" w:space="0" w:color="auto"/>
              <w:bottom w:val="single" w:sz="4" w:space="0" w:color="auto"/>
              <w:right w:val="none" w:sz="0" w:space="0" w:color="auto"/>
            </w:tcBorders>
            <w:shd w:val="clear" w:color="auto" w:fill="auto"/>
            <w:vAlign w:val="center"/>
            <w:hideMark/>
          </w:tcPr>
          <w:p w:rsidR="00C20E3E" w:rsidRPr="00C20E3E" w:rsidRDefault="00C20E3E" w:rsidP="00C20E3E">
            <w:pPr>
              <w:spacing w:before="40" w:after="40"/>
              <w:jc w:val="center"/>
              <w:cnfStyle w:val="100000000000" w:firstRow="1" w:lastRow="0" w:firstColumn="0" w:lastColumn="0" w:oddVBand="0" w:evenVBand="0" w:oddHBand="0" w:evenHBand="0" w:firstRowFirstColumn="0" w:firstRowLastColumn="0" w:lastRowFirstColumn="0" w:lastRowLastColumn="0"/>
              <w:rPr>
                <w:color w:val="000000" w:themeColor="text1"/>
                <w:szCs w:val="17"/>
                <w:lang w:eastAsia="en-AU"/>
              </w:rPr>
            </w:pPr>
            <w:r w:rsidRPr="00C20E3E">
              <w:rPr>
                <w:color w:val="000000" w:themeColor="text1"/>
                <w:szCs w:val="17"/>
                <w:lang w:eastAsia="en-AU"/>
              </w:rPr>
              <w:t xml:space="preserve">Increases in Salary for </w:t>
            </w:r>
            <w:r w:rsidRPr="00C20E3E">
              <w:rPr>
                <w:color w:val="000000" w:themeColor="text1"/>
                <w:szCs w:val="17"/>
                <w:lang w:eastAsia="en-AU"/>
              </w:rPr>
              <w:br/>
              <w:t>Public Sector Executives</w:t>
            </w:r>
          </w:p>
        </w:tc>
        <w:tc>
          <w:tcPr>
            <w:tcW w:w="3827" w:type="dxa"/>
            <w:tcBorders>
              <w:top w:val="single" w:sz="4" w:space="0" w:color="auto"/>
              <w:left w:val="none" w:sz="0" w:space="0" w:color="auto"/>
              <w:bottom w:val="single" w:sz="4" w:space="0" w:color="auto"/>
              <w:right w:val="none" w:sz="0" w:space="0" w:color="auto"/>
            </w:tcBorders>
            <w:shd w:val="clear" w:color="auto" w:fill="auto"/>
            <w:vAlign w:val="center"/>
            <w:hideMark/>
          </w:tcPr>
          <w:p w:rsidR="00C20E3E" w:rsidRPr="00C20E3E" w:rsidRDefault="00C20E3E" w:rsidP="00C20E3E">
            <w:pPr>
              <w:spacing w:before="40" w:after="40"/>
              <w:jc w:val="center"/>
              <w:cnfStyle w:val="100000000000" w:firstRow="1" w:lastRow="0" w:firstColumn="0" w:lastColumn="0" w:oddVBand="0" w:evenVBand="0" w:oddHBand="0" w:evenHBand="0" w:firstRowFirstColumn="0" w:firstRowLastColumn="0" w:lastRowFirstColumn="0" w:lastRowLastColumn="0"/>
              <w:rPr>
                <w:i/>
                <w:iCs/>
                <w:color w:val="000000" w:themeColor="text1"/>
                <w:szCs w:val="17"/>
                <w:lang w:eastAsia="en-AU"/>
              </w:rPr>
            </w:pPr>
            <w:r w:rsidRPr="00C20E3E">
              <w:rPr>
                <w:color w:val="000000" w:themeColor="text1"/>
                <w:szCs w:val="17"/>
                <w:lang w:eastAsia="en-AU"/>
              </w:rPr>
              <w:t>Weighted Average Increase for</w:t>
            </w:r>
            <w:r w:rsidRPr="00C20E3E">
              <w:rPr>
                <w:i/>
                <w:iCs/>
                <w:color w:val="000000" w:themeColor="text1"/>
                <w:szCs w:val="17"/>
                <w:lang w:eastAsia="en-AU"/>
              </w:rPr>
              <w:t xml:space="preserve"> South Australian Modern Public Sector Enterprise Agreement: Salaried 2017 (or its predecessor)</w:t>
            </w:r>
          </w:p>
        </w:tc>
      </w:tr>
      <w:tr w:rsidR="00C20E3E" w:rsidRPr="00C20E3E" w:rsidTr="00A354F7">
        <w:trPr>
          <w:cnfStyle w:val="100000000000" w:firstRow="1" w:lastRow="0" w:firstColumn="0" w:lastColumn="0" w:oddVBand="0" w:evenVBand="0" w:oddHBand="0" w:evenHBand="0" w:firstRowFirstColumn="0" w:firstRowLastColumn="0" w:lastRowFirstColumn="0" w:lastRowLastColumn="0"/>
          <w:trHeight w:val="43"/>
          <w:tblHeader/>
        </w:trPr>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auto"/>
              <w:bottom w:val="none" w:sz="0" w:space="0" w:color="auto"/>
            </w:tcBorders>
            <w:shd w:val="clear" w:color="auto" w:fill="auto"/>
            <w:noWrap/>
            <w:vAlign w:val="center"/>
          </w:tcPr>
          <w:p w:rsidR="00C20E3E" w:rsidRPr="00C20E3E" w:rsidRDefault="00C20E3E" w:rsidP="00C20E3E">
            <w:pPr>
              <w:spacing w:after="0" w:line="80" w:lineRule="exact"/>
              <w:jc w:val="center"/>
              <w:rPr>
                <w:rFonts w:ascii="Helvetica" w:hAnsi="Helvetica"/>
                <w:szCs w:val="17"/>
                <w:lang w:eastAsia="en-AU"/>
              </w:rPr>
            </w:pPr>
          </w:p>
        </w:tc>
        <w:tc>
          <w:tcPr>
            <w:tcW w:w="2535" w:type="dxa"/>
            <w:tcBorders>
              <w:top w:val="single" w:sz="4" w:space="0" w:color="auto"/>
              <w:bottom w:val="none" w:sz="0" w:space="0" w:color="auto"/>
            </w:tcBorders>
            <w:shd w:val="clear" w:color="auto" w:fill="auto"/>
            <w:vAlign w:val="center"/>
          </w:tcPr>
          <w:p w:rsidR="00C20E3E" w:rsidRPr="00C20E3E" w:rsidRDefault="00C20E3E" w:rsidP="00C20E3E">
            <w:pPr>
              <w:spacing w:after="0" w:line="80" w:lineRule="exact"/>
              <w:jc w:val="center"/>
              <w:cnfStyle w:val="100000000000" w:firstRow="1" w:lastRow="0" w:firstColumn="0" w:lastColumn="0" w:oddVBand="0" w:evenVBand="0" w:oddHBand="0" w:evenHBand="0" w:firstRowFirstColumn="0" w:firstRowLastColumn="0" w:lastRowFirstColumn="0" w:lastRowLastColumn="0"/>
              <w:rPr>
                <w:rFonts w:ascii="Helvetica" w:hAnsi="Helvetica"/>
                <w:szCs w:val="17"/>
                <w:lang w:eastAsia="en-AU"/>
              </w:rPr>
            </w:pPr>
          </w:p>
        </w:tc>
        <w:tc>
          <w:tcPr>
            <w:tcW w:w="3827" w:type="dxa"/>
            <w:tcBorders>
              <w:top w:val="single" w:sz="4" w:space="0" w:color="auto"/>
              <w:bottom w:val="none" w:sz="0" w:space="0" w:color="auto"/>
            </w:tcBorders>
            <w:shd w:val="clear" w:color="auto" w:fill="auto"/>
            <w:vAlign w:val="center"/>
          </w:tcPr>
          <w:p w:rsidR="00C20E3E" w:rsidRPr="00C20E3E" w:rsidRDefault="00C20E3E" w:rsidP="00C20E3E">
            <w:pPr>
              <w:spacing w:after="0" w:line="80" w:lineRule="exact"/>
              <w:jc w:val="center"/>
              <w:cnfStyle w:val="100000000000" w:firstRow="1" w:lastRow="0" w:firstColumn="0" w:lastColumn="0" w:oddVBand="0" w:evenVBand="0" w:oddHBand="0" w:evenHBand="0" w:firstRowFirstColumn="0" w:firstRowLastColumn="0" w:lastRowFirstColumn="0" w:lastRowLastColumn="0"/>
              <w:rPr>
                <w:rFonts w:ascii="Helvetica" w:hAnsi="Helvetica"/>
                <w:szCs w:val="17"/>
                <w:lang w:eastAsia="en-AU"/>
              </w:rPr>
            </w:pPr>
          </w:p>
        </w:tc>
      </w:tr>
      <w:tr w:rsidR="00C20E3E" w:rsidRPr="00C20E3E" w:rsidTr="00A354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2010</w:t>
            </w:r>
          </w:p>
        </w:tc>
        <w:tc>
          <w:tcPr>
            <w:tcW w:w="2535" w:type="dxa"/>
            <w:shd w:val="clear" w:color="auto" w:fill="auto"/>
            <w:noWrap/>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2.5%</w:t>
            </w:r>
          </w:p>
        </w:tc>
        <w:tc>
          <w:tcPr>
            <w:tcW w:w="3827" w:type="dxa"/>
            <w:shd w:val="clear" w:color="auto" w:fill="auto"/>
            <w:noWrap/>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2.5%</w:t>
            </w:r>
          </w:p>
        </w:tc>
      </w:tr>
      <w:tr w:rsidR="00C20E3E" w:rsidRPr="00C20E3E" w:rsidTr="00A354F7">
        <w:trPr>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2011</w:t>
            </w:r>
          </w:p>
        </w:tc>
        <w:tc>
          <w:tcPr>
            <w:tcW w:w="2535" w:type="dxa"/>
            <w:shd w:val="clear" w:color="auto" w:fill="auto"/>
            <w:noWrap/>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eastAsia="en-AU"/>
              </w:rPr>
              <w:t>2.5%</w:t>
            </w:r>
          </w:p>
        </w:tc>
        <w:tc>
          <w:tcPr>
            <w:tcW w:w="3827" w:type="dxa"/>
            <w:shd w:val="clear" w:color="auto" w:fill="auto"/>
            <w:noWrap/>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eastAsia="en-AU"/>
              </w:rPr>
              <w:t>2.5%</w:t>
            </w:r>
          </w:p>
        </w:tc>
      </w:tr>
      <w:tr w:rsidR="00C20E3E" w:rsidRPr="00C20E3E" w:rsidTr="00A354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2012</w:t>
            </w:r>
          </w:p>
        </w:tc>
        <w:tc>
          <w:tcPr>
            <w:tcW w:w="2535" w:type="dxa"/>
            <w:shd w:val="clear" w:color="auto" w:fill="auto"/>
            <w:noWrap/>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3.0%</w:t>
            </w:r>
          </w:p>
        </w:tc>
        <w:tc>
          <w:tcPr>
            <w:tcW w:w="3827" w:type="dxa"/>
            <w:shd w:val="clear" w:color="auto" w:fill="auto"/>
            <w:noWrap/>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3.0%</w:t>
            </w:r>
          </w:p>
        </w:tc>
      </w:tr>
      <w:tr w:rsidR="00C20E3E" w:rsidRPr="00C20E3E" w:rsidTr="00A354F7">
        <w:trPr>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2013</w:t>
            </w:r>
          </w:p>
        </w:tc>
        <w:tc>
          <w:tcPr>
            <w:tcW w:w="2535" w:type="dxa"/>
            <w:shd w:val="clear" w:color="auto" w:fill="auto"/>
            <w:noWrap/>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eastAsia="en-AU"/>
              </w:rPr>
              <w:t>0.0%</w:t>
            </w:r>
          </w:p>
        </w:tc>
        <w:tc>
          <w:tcPr>
            <w:tcW w:w="3827" w:type="dxa"/>
            <w:shd w:val="clear" w:color="auto" w:fill="auto"/>
            <w:noWrap/>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eastAsia="en-AU"/>
              </w:rPr>
              <w:t>3.0%</w:t>
            </w:r>
          </w:p>
        </w:tc>
      </w:tr>
      <w:tr w:rsidR="00C20E3E" w:rsidRPr="00C20E3E" w:rsidTr="00A354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2014</w:t>
            </w:r>
          </w:p>
        </w:tc>
        <w:tc>
          <w:tcPr>
            <w:tcW w:w="2535" w:type="dxa"/>
            <w:shd w:val="clear" w:color="auto" w:fill="auto"/>
            <w:noWrap/>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2.5%</w:t>
            </w:r>
          </w:p>
        </w:tc>
        <w:tc>
          <w:tcPr>
            <w:tcW w:w="3827" w:type="dxa"/>
            <w:shd w:val="clear" w:color="auto" w:fill="auto"/>
            <w:noWrap/>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2.5%</w:t>
            </w:r>
          </w:p>
        </w:tc>
      </w:tr>
      <w:tr w:rsidR="00C20E3E" w:rsidRPr="00C20E3E" w:rsidTr="00A354F7">
        <w:trPr>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hideMark/>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2015</w:t>
            </w:r>
          </w:p>
        </w:tc>
        <w:tc>
          <w:tcPr>
            <w:tcW w:w="2535" w:type="dxa"/>
            <w:shd w:val="clear" w:color="auto" w:fill="auto"/>
            <w:noWrap/>
            <w:hideMark/>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val="en-US"/>
              </w:rPr>
              <w:t>0.0%</w:t>
            </w:r>
          </w:p>
        </w:tc>
        <w:tc>
          <w:tcPr>
            <w:tcW w:w="3827" w:type="dxa"/>
            <w:shd w:val="clear" w:color="auto" w:fill="auto"/>
            <w:noWrap/>
            <w:hideMark/>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eastAsia="en-AU"/>
              </w:rPr>
              <w:t>2.5%</w:t>
            </w:r>
          </w:p>
        </w:tc>
      </w:tr>
      <w:tr w:rsidR="00C20E3E" w:rsidRPr="00C20E3E" w:rsidTr="00A354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hideMark/>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2016</w:t>
            </w:r>
          </w:p>
        </w:tc>
        <w:tc>
          <w:tcPr>
            <w:tcW w:w="2535" w:type="dxa"/>
            <w:shd w:val="clear" w:color="auto" w:fill="auto"/>
            <w:noWrap/>
            <w:hideMark/>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val="en-US"/>
              </w:rPr>
              <w:t>2.5%</w:t>
            </w:r>
          </w:p>
        </w:tc>
        <w:tc>
          <w:tcPr>
            <w:tcW w:w="3827" w:type="dxa"/>
            <w:shd w:val="clear" w:color="auto" w:fill="auto"/>
            <w:noWrap/>
            <w:hideMark/>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2.5%</w:t>
            </w:r>
          </w:p>
        </w:tc>
      </w:tr>
      <w:tr w:rsidR="00C20E3E" w:rsidRPr="00C20E3E" w:rsidTr="00A354F7">
        <w:trPr>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hideMark/>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2017</w:t>
            </w:r>
          </w:p>
        </w:tc>
        <w:tc>
          <w:tcPr>
            <w:tcW w:w="2535" w:type="dxa"/>
            <w:shd w:val="clear" w:color="auto" w:fill="auto"/>
            <w:noWrap/>
            <w:hideMark/>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val="en-US"/>
              </w:rPr>
              <w:t>2.4%</w:t>
            </w:r>
          </w:p>
        </w:tc>
        <w:tc>
          <w:tcPr>
            <w:tcW w:w="3827" w:type="dxa"/>
            <w:shd w:val="clear" w:color="auto" w:fill="auto"/>
            <w:noWrap/>
            <w:hideMark/>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eastAsia="en-AU"/>
              </w:rPr>
              <w:t>2.3%</w:t>
            </w:r>
          </w:p>
        </w:tc>
      </w:tr>
      <w:tr w:rsidR="00C20E3E" w:rsidRPr="00C20E3E" w:rsidTr="00A354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hideMark/>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2018</w:t>
            </w:r>
          </w:p>
        </w:tc>
        <w:tc>
          <w:tcPr>
            <w:tcW w:w="2535" w:type="dxa"/>
            <w:shd w:val="clear" w:color="auto" w:fill="auto"/>
            <w:noWrap/>
            <w:hideMark/>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val="en-US"/>
              </w:rPr>
              <w:t>1.5%</w:t>
            </w:r>
          </w:p>
        </w:tc>
        <w:tc>
          <w:tcPr>
            <w:tcW w:w="3827" w:type="dxa"/>
            <w:shd w:val="clear" w:color="auto" w:fill="auto"/>
            <w:noWrap/>
            <w:hideMark/>
          </w:tcPr>
          <w:p w:rsidR="00C20E3E" w:rsidRPr="00C20E3E" w:rsidRDefault="00C20E3E" w:rsidP="00C20E3E">
            <w:pPr>
              <w:spacing w:after="0"/>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2.3%</w:t>
            </w:r>
          </w:p>
        </w:tc>
      </w:tr>
      <w:tr w:rsidR="00C20E3E" w:rsidRPr="00C20E3E" w:rsidTr="00A354F7">
        <w:trPr>
          <w:trHeight w:val="20"/>
        </w:trPr>
        <w:tc>
          <w:tcPr>
            <w:cnfStyle w:val="001000000000" w:firstRow="0" w:lastRow="0" w:firstColumn="1" w:lastColumn="0" w:oddVBand="0" w:evenVBand="0" w:oddHBand="0" w:evenHBand="0" w:firstRowFirstColumn="0" w:firstRowLastColumn="0" w:lastRowFirstColumn="0" w:lastRowLastColumn="0"/>
            <w:tcW w:w="2006" w:type="dxa"/>
            <w:shd w:val="clear" w:color="auto" w:fill="auto"/>
            <w:noWrap/>
          </w:tcPr>
          <w:p w:rsidR="00C20E3E" w:rsidRPr="00C20E3E" w:rsidRDefault="00C20E3E" w:rsidP="00C20E3E">
            <w:pPr>
              <w:spacing w:after="0"/>
              <w:jc w:val="center"/>
              <w:rPr>
                <w:b w:val="0"/>
                <w:color w:val="000000"/>
                <w:szCs w:val="17"/>
                <w:lang w:eastAsia="en-AU"/>
              </w:rPr>
            </w:pPr>
            <w:r w:rsidRPr="00C20E3E">
              <w:rPr>
                <w:b w:val="0"/>
                <w:color w:val="000000"/>
                <w:szCs w:val="17"/>
                <w:lang w:eastAsia="en-AU"/>
              </w:rPr>
              <w:t>2019</w:t>
            </w:r>
          </w:p>
        </w:tc>
        <w:tc>
          <w:tcPr>
            <w:tcW w:w="2535" w:type="dxa"/>
            <w:shd w:val="clear" w:color="auto" w:fill="auto"/>
            <w:noWrap/>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val="en-US"/>
              </w:rPr>
              <w:t>2.0%</w:t>
            </w:r>
          </w:p>
        </w:tc>
        <w:tc>
          <w:tcPr>
            <w:tcW w:w="3827" w:type="dxa"/>
            <w:shd w:val="clear" w:color="auto" w:fill="auto"/>
            <w:noWrap/>
          </w:tcPr>
          <w:p w:rsidR="00C20E3E" w:rsidRPr="00C20E3E" w:rsidRDefault="00C20E3E" w:rsidP="00C20E3E">
            <w:pPr>
              <w:spacing w:after="0"/>
              <w:jc w:val="center"/>
              <w:cnfStyle w:val="000000000000" w:firstRow="0" w:lastRow="0" w:firstColumn="0" w:lastColumn="0" w:oddVBand="0" w:evenVBand="0" w:oddHBand="0" w:evenHBand="0" w:firstRowFirstColumn="0" w:firstRowLastColumn="0" w:lastRowFirstColumn="0" w:lastRowLastColumn="0"/>
              <w:rPr>
                <w:color w:val="000000"/>
                <w:szCs w:val="17"/>
                <w:lang w:eastAsia="en-AU"/>
              </w:rPr>
            </w:pPr>
            <w:r w:rsidRPr="00C20E3E">
              <w:rPr>
                <w:color w:val="000000"/>
                <w:szCs w:val="17"/>
                <w:lang w:eastAsia="en-AU"/>
              </w:rPr>
              <w:t>2.3%</w:t>
            </w:r>
          </w:p>
        </w:tc>
      </w:tr>
      <w:tr w:rsidR="00C20E3E" w:rsidRPr="00C20E3E" w:rsidTr="00A354F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6" w:type="dxa"/>
            <w:tcBorders>
              <w:bottom w:val="single" w:sz="4" w:space="0" w:color="auto"/>
            </w:tcBorders>
            <w:shd w:val="clear" w:color="auto" w:fill="auto"/>
            <w:noWrap/>
          </w:tcPr>
          <w:p w:rsidR="00C20E3E" w:rsidRPr="00C20E3E" w:rsidRDefault="00C20E3E" w:rsidP="00C20E3E">
            <w:pPr>
              <w:jc w:val="center"/>
              <w:rPr>
                <w:b w:val="0"/>
                <w:color w:val="000000"/>
                <w:szCs w:val="17"/>
                <w:lang w:eastAsia="en-AU"/>
              </w:rPr>
            </w:pPr>
            <w:r w:rsidRPr="00C20E3E">
              <w:rPr>
                <w:b w:val="0"/>
                <w:color w:val="000000"/>
                <w:szCs w:val="17"/>
                <w:lang w:eastAsia="en-AU"/>
              </w:rPr>
              <w:t>2020</w:t>
            </w:r>
          </w:p>
        </w:tc>
        <w:tc>
          <w:tcPr>
            <w:tcW w:w="2535" w:type="dxa"/>
            <w:tcBorders>
              <w:bottom w:val="single" w:sz="4" w:space="0" w:color="auto"/>
            </w:tcBorders>
            <w:shd w:val="clear" w:color="auto" w:fill="auto"/>
            <w:noWrap/>
          </w:tcPr>
          <w:p w:rsidR="00C20E3E" w:rsidRPr="00C20E3E" w:rsidRDefault="00C20E3E" w:rsidP="00C20E3E">
            <w:pPr>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1.0%</w:t>
            </w:r>
          </w:p>
        </w:tc>
        <w:tc>
          <w:tcPr>
            <w:tcW w:w="3827" w:type="dxa"/>
            <w:tcBorders>
              <w:bottom w:val="single" w:sz="4" w:space="0" w:color="auto"/>
            </w:tcBorders>
            <w:shd w:val="clear" w:color="auto" w:fill="auto"/>
            <w:noWrap/>
          </w:tcPr>
          <w:p w:rsidR="00C20E3E" w:rsidRPr="00C20E3E" w:rsidRDefault="00C20E3E" w:rsidP="00C20E3E">
            <w:pPr>
              <w:jc w:val="center"/>
              <w:cnfStyle w:val="000000100000" w:firstRow="0" w:lastRow="0" w:firstColumn="0" w:lastColumn="0" w:oddVBand="0" w:evenVBand="0" w:oddHBand="1" w:evenHBand="0" w:firstRowFirstColumn="0" w:firstRowLastColumn="0" w:lastRowFirstColumn="0" w:lastRowLastColumn="0"/>
              <w:rPr>
                <w:color w:val="000000"/>
                <w:szCs w:val="17"/>
                <w:lang w:eastAsia="en-AU"/>
              </w:rPr>
            </w:pPr>
            <w:r w:rsidRPr="00C20E3E">
              <w:rPr>
                <w:color w:val="000000"/>
                <w:szCs w:val="17"/>
                <w:lang w:eastAsia="en-AU"/>
              </w:rPr>
              <w:t>(subject to current industrial negotiations)</w:t>
            </w:r>
          </w:p>
        </w:tc>
      </w:tr>
      <w:tr w:rsidR="00C20E3E" w:rsidRPr="00C20E3E" w:rsidTr="00A354F7">
        <w:trPr>
          <w:trHeight w:val="20"/>
        </w:trPr>
        <w:tc>
          <w:tcPr>
            <w:cnfStyle w:val="001000000000" w:firstRow="0" w:lastRow="0" w:firstColumn="1" w:lastColumn="0" w:oddVBand="0" w:evenVBand="0" w:oddHBand="0" w:evenHBand="0" w:firstRowFirstColumn="0" w:firstRowLastColumn="0" w:lastRowFirstColumn="0" w:lastRowLastColumn="0"/>
            <w:tcW w:w="2006" w:type="dxa"/>
            <w:tcBorders>
              <w:top w:val="single" w:sz="4" w:space="0" w:color="auto"/>
              <w:bottom w:val="single" w:sz="4" w:space="0" w:color="auto"/>
            </w:tcBorders>
            <w:shd w:val="clear" w:color="auto" w:fill="auto"/>
            <w:vAlign w:val="center"/>
            <w:hideMark/>
          </w:tcPr>
          <w:p w:rsidR="00C20E3E" w:rsidRPr="00C20E3E" w:rsidRDefault="00C20E3E" w:rsidP="00C20E3E">
            <w:pPr>
              <w:spacing w:before="40" w:after="40"/>
              <w:jc w:val="center"/>
              <w:rPr>
                <w:color w:val="000000"/>
                <w:szCs w:val="17"/>
                <w:lang w:eastAsia="en-AU"/>
              </w:rPr>
            </w:pPr>
            <w:r w:rsidRPr="00C20E3E">
              <w:rPr>
                <w:color w:val="000000"/>
                <w:szCs w:val="17"/>
                <w:lang w:eastAsia="en-AU"/>
              </w:rPr>
              <w:t>Cumulative percentage increase, 2010-2020</w:t>
            </w:r>
          </w:p>
        </w:tc>
        <w:tc>
          <w:tcPr>
            <w:tcW w:w="2535" w:type="dxa"/>
            <w:tcBorders>
              <w:top w:val="single" w:sz="4" w:space="0" w:color="auto"/>
              <w:bottom w:val="single" w:sz="4" w:space="0" w:color="auto"/>
            </w:tcBorders>
            <w:shd w:val="clear" w:color="auto" w:fill="auto"/>
            <w:noWrap/>
            <w:vAlign w:val="center"/>
            <w:hideMark/>
          </w:tcPr>
          <w:p w:rsidR="00C20E3E" w:rsidRPr="00C20E3E" w:rsidRDefault="00C20E3E" w:rsidP="00C20E3E">
            <w:pPr>
              <w:spacing w:before="40" w:after="40"/>
              <w:jc w:val="center"/>
              <w:cnfStyle w:val="000000000000" w:firstRow="0" w:lastRow="0" w:firstColumn="0" w:lastColumn="0" w:oddVBand="0" w:evenVBand="0" w:oddHBand="0" w:evenHBand="0" w:firstRowFirstColumn="0" w:firstRowLastColumn="0" w:lastRowFirstColumn="0" w:lastRowLastColumn="0"/>
              <w:rPr>
                <w:b/>
                <w:bCs/>
                <w:color w:val="000000"/>
                <w:szCs w:val="17"/>
                <w:lang w:eastAsia="en-AU"/>
              </w:rPr>
            </w:pPr>
            <w:r w:rsidRPr="00C20E3E">
              <w:rPr>
                <w:b/>
                <w:bCs/>
                <w:color w:val="000000"/>
                <w:szCs w:val="17"/>
                <w:lang w:eastAsia="en-AU"/>
              </w:rPr>
              <w:t>21.74%</w:t>
            </w:r>
          </w:p>
        </w:tc>
        <w:tc>
          <w:tcPr>
            <w:tcW w:w="3827" w:type="dxa"/>
            <w:tcBorders>
              <w:top w:val="single" w:sz="4" w:space="0" w:color="auto"/>
              <w:bottom w:val="single" w:sz="4" w:space="0" w:color="auto"/>
            </w:tcBorders>
            <w:shd w:val="clear" w:color="auto" w:fill="auto"/>
            <w:noWrap/>
            <w:vAlign w:val="center"/>
            <w:hideMark/>
          </w:tcPr>
          <w:p w:rsidR="00C20E3E" w:rsidRPr="00C20E3E" w:rsidRDefault="00C20E3E" w:rsidP="00C20E3E">
            <w:pPr>
              <w:spacing w:before="40" w:after="40"/>
              <w:jc w:val="center"/>
              <w:cnfStyle w:val="000000000000" w:firstRow="0" w:lastRow="0" w:firstColumn="0" w:lastColumn="0" w:oddVBand="0" w:evenVBand="0" w:oddHBand="0" w:evenHBand="0" w:firstRowFirstColumn="0" w:firstRowLastColumn="0" w:lastRowFirstColumn="0" w:lastRowLastColumn="0"/>
              <w:rPr>
                <w:b/>
                <w:bCs/>
                <w:color w:val="000000"/>
                <w:szCs w:val="17"/>
                <w:lang w:eastAsia="en-AU"/>
              </w:rPr>
            </w:pPr>
            <w:r w:rsidRPr="00C20E3E">
              <w:rPr>
                <w:b/>
                <w:bCs/>
                <w:color w:val="000000"/>
                <w:szCs w:val="17"/>
                <w:lang w:eastAsia="en-AU"/>
              </w:rPr>
              <w:t>28.51%</w:t>
            </w:r>
          </w:p>
        </w:tc>
      </w:tr>
    </w:tbl>
    <w:p w:rsidR="00C20E3E" w:rsidRPr="00C20E3E" w:rsidRDefault="00C20E3E" w:rsidP="00C20E3E">
      <w:pPr>
        <w:spacing w:before="120"/>
        <w:rPr>
          <w:rFonts w:eastAsia="Times New Roman"/>
          <w:b/>
          <w:szCs w:val="17"/>
        </w:rPr>
      </w:pPr>
      <w:r w:rsidRPr="00C20E3E">
        <w:rPr>
          <w:rFonts w:eastAsia="Times New Roman"/>
          <w:b/>
          <w:szCs w:val="17"/>
        </w:rPr>
        <w:t>COMPARABLE OFFICES IN OTHER JURISDICTIONS</w:t>
      </w:r>
    </w:p>
    <w:p w:rsidR="00C20E3E" w:rsidRPr="00C20E3E" w:rsidRDefault="00C20E3E" w:rsidP="00C20E3E">
      <w:pPr>
        <w:ind w:left="567" w:hanging="425"/>
        <w:rPr>
          <w:rFonts w:eastAsia="Times New Roman"/>
          <w:szCs w:val="17"/>
        </w:rPr>
      </w:pPr>
      <w:r w:rsidRPr="00C20E3E">
        <w:rPr>
          <w:rFonts w:eastAsia="Times New Roman"/>
          <w:szCs w:val="17"/>
        </w:rPr>
        <w:t>13.</w:t>
      </w:r>
      <w:r w:rsidRPr="00C20E3E">
        <w:rPr>
          <w:rFonts w:eastAsia="Times New Roman"/>
          <w:szCs w:val="17"/>
        </w:rPr>
        <w:tab/>
        <w:t>The Tribunal notes the significance of these roles and has examined levels of salary applicable to comparable offices in other jurisdictions, based on the limited data that was available. The Tribunal broadly observes that salaries of comparable offices interstate are remunerated at substantially higher levels when compared to the corresponding offices in South Australia.</w:t>
      </w:r>
    </w:p>
    <w:p w:rsidR="00C20E3E" w:rsidRPr="00C20E3E" w:rsidRDefault="00C20E3E" w:rsidP="00C20E3E">
      <w:pPr>
        <w:ind w:left="567" w:hanging="425"/>
        <w:rPr>
          <w:rFonts w:eastAsia="Times New Roman"/>
          <w:szCs w:val="17"/>
        </w:rPr>
      </w:pPr>
      <w:r w:rsidRPr="00C20E3E">
        <w:rPr>
          <w:rFonts w:eastAsia="Times New Roman"/>
          <w:szCs w:val="17"/>
        </w:rPr>
        <w:t>14.</w:t>
      </w:r>
      <w:r w:rsidRPr="00C20E3E">
        <w:rPr>
          <w:rFonts w:eastAsia="Times New Roman"/>
          <w:szCs w:val="17"/>
        </w:rPr>
        <w:tab/>
        <w:t>Those discrepancies have yet to be explored in substantial detail and do not, of themselves form a sustainable basis for changing the current remuneration approach. However, the Tribunal is unable to establish that a comprehensive work value based assessment of any of these positions has been undertaken in recent years and considers that, given the significance of these roles, such an assessment should at least be considered. Depending on that type of consideration, comparable salary levels may become relevant.</w:t>
      </w:r>
    </w:p>
    <w:p w:rsidR="00C20E3E" w:rsidRPr="00C20E3E" w:rsidRDefault="00C20E3E" w:rsidP="00C20E3E">
      <w:pPr>
        <w:ind w:left="567" w:hanging="425"/>
        <w:rPr>
          <w:rFonts w:eastAsia="Times New Roman"/>
          <w:szCs w:val="17"/>
        </w:rPr>
      </w:pPr>
      <w:r w:rsidRPr="00C20E3E">
        <w:rPr>
          <w:rFonts w:eastAsia="Times New Roman"/>
          <w:szCs w:val="17"/>
        </w:rPr>
        <w:t>15.</w:t>
      </w:r>
      <w:r w:rsidRPr="00C20E3E">
        <w:rPr>
          <w:rFonts w:eastAsia="Times New Roman"/>
          <w:szCs w:val="17"/>
        </w:rPr>
        <w:tab/>
        <w:t xml:space="preserve">The Tribunal is also conscious of its obligations under Section 101 of the </w:t>
      </w:r>
      <w:r w:rsidRPr="00C20E3E">
        <w:rPr>
          <w:rFonts w:eastAsia="Times New Roman"/>
          <w:i/>
          <w:szCs w:val="17"/>
        </w:rPr>
        <w:t>Fair Work Act 1994</w:t>
      </w:r>
      <w:r w:rsidRPr="00C20E3E">
        <w:rPr>
          <w:rFonts w:eastAsia="Times New Roman"/>
          <w:szCs w:val="17"/>
        </w:rPr>
        <w:t>, which reads as follows:</w:t>
      </w:r>
    </w:p>
    <w:p w:rsidR="00C20E3E" w:rsidRPr="00C20E3E" w:rsidRDefault="00C20E3E" w:rsidP="00C20E3E">
      <w:pPr>
        <w:ind w:left="567"/>
        <w:rPr>
          <w:rFonts w:eastAsia="Times New Roman"/>
          <w:i/>
          <w:szCs w:val="17"/>
        </w:rPr>
      </w:pPr>
      <w:r w:rsidRPr="00C20E3E">
        <w:rPr>
          <w:rFonts w:eastAsia="Times New Roman"/>
          <w:i/>
          <w:szCs w:val="17"/>
        </w:rPr>
        <w:t>“</w:t>
      </w:r>
      <w:r w:rsidRPr="00C20E3E">
        <w:rPr>
          <w:rFonts w:eastAsia="Times New Roman"/>
          <w:b/>
          <w:i/>
          <w:szCs w:val="17"/>
        </w:rPr>
        <w:t>101—State industrial authorities to apply principles</w:t>
      </w:r>
    </w:p>
    <w:p w:rsidR="00C20E3E" w:rsidRPr="00C20E3E" w:rsidRDefault="00C20E3E" w:rsidP="00C20E3E">
      <w:pPr>
        <w:ind w:left="1134" w:hanging="425"/>
        <w:rPr>
          <w:rFonts w:eastAsia="Times New Roman"/>
          <w:i/>
          <w:szCs w:val="17"/>
        </w:rPr>
      </w:pPr>
      <w:r w:rsidRPr="00C20E3E">
        <w:rPr>
          <w:rFonts w:eastAsia="Times New Roman"/>
          <w:i/>
          <w:szCs w:val="17"/>
        </w:rPr>
        <w:t>(1)</w:t>
      </w:r>
      <w:r w:rsidRPr="00C20E3E">
        <w:rPr>
          <w:rFonts w:eastAsia="Times New Roman"/>
          <w:i/>
          <w:szCs w:val="17"/>
        </w:rPr>
        <w:tab/>
        <w:t>In arriving at a determination affecting remuneration or working conditions, a State industrial authority must have due regard to and may apply and give effect to principles, guidelines, conditions, practices or procedures adopted by SAET under this Part.</w:t>
      </w:r>
    </w:p>
    <w:p w:rsidR="00C20E3E" w:rsidRPr="00C20E3E" w:rsidRDefault="00C20E3E" w:rsidP="00C20E3E">
      <w:pPr>
        <w:ind w:left="1134" w:hanging="425"/>
        <w:rPr>
          <w:rFonts w:eastAsia="Times New Roman"/>
          <w:i/>
          <w:szCs w:val="17"/>
        </w:rPr>
      </w:pPr>
      <w:r w:rsidRPr="00C20E3E">
        <w:rPr>
          <w:rFonts w:eastAsia="Times New Roman"/>
          <w:i/>
          <w:szCs w:val="17"/>
        </w:rPr>
        <w:t>(2)</w:t>
      </w:r>
      <w:r w:rsidRPr="00C20E3E">
        <w:rPr>
          <w:rFonts w:eastAsia="Times New Roman"/>
          <w:i/>
          <w:szCs w:val="17"/>
        </w:rPr>
        <w:tab/>
        <w:t>However, principles adopted under this Part are not applicable to enterprise agreements.</w:t>
      </w:r>
    </w:p>
    <w:p w:rsidR="00C20E3E" w:rsidRPr="00C20E3E" w:rsidRDefault="00C20E3E" w:rsidP="00C20E3E">
      <w:pPr>
        <w:ind w:left="1134" w:hanging="425"/>
        <w:rPr>
          <w:rFonts w:eastAsia="Times New Roman"/>
          <w:i/>
          <w:szCs w:val="17"/>
        </w:rPr>
      </w:pPr>
      <w:r w:rsidRPr="00C20E3E">
        <w:rPr>
          <w:rFonts w:eastAsia="Times New Roman"/>
          <w:i/>
          <w:szCs w:val="17"/>
        </w:rPr>
        <w:t>(3)</w:t>
      </w:r>
      <w:r w:rsidRPr="00C20E3E">
        <w:rPr>
          <w:rFonts w:eastAsia="Times New Roman"/>
          <w:i/>
          <w:szCs w:val="17"/>
        </w:rPr>
        <w:tab/>
        <w:t>In this section—</w:t>
      </w:r>
    </w:p>
    <w:p w:rsidR="00C20E3E" w:rsidRPr="00C20E3E" w:rsidRDefault="00C20E3E" w:rsidP="00C20E3E">
      <w:pPr>
        <w:ind w:left="1134"/>
        <w:rPr>
          <w:rFonts w:eastAsia="Times New Roman"/>
          <w:i/>
          <w:szCs w:val="17"/>
        </w:rPr>
      </w:pPr>
      <w:r w:rsidRPr="00C20E3E">
        <w:rPr>
          <w:rFonts w:eastAsia="Times New Roman"/>
          <w:b/>
          <w:i/>
          <w:szCs w:val="17"/>
        </w:rPr>
        <w:t>State industrial authority</w:t>
      </w:r>
      <w:r w:rsidRPr="00C20E3E">
        <w:rPr>
          <w:rFonts w:eastAsia="Times New Roman"/>
          <w:i/>
          <w:szCs w:val="17"/>
        </w:rPr>
        <w:t xml:space="preserve"> means—</w:t>
      </w:r>
    </w:p>
    <w:p w:rsidR="00C20E3E" w:rsidRPr="00C20E3E" w:rsidRDefault="00C20E3E" w:rsidP="00C20E3E">
      <w:pPr>
        <w:ind w:left="1134" w:hanging="426"/>
        <w:rPr>
          <w:rFonts w:eastAsia="Times New Roman"/>
          <w:i/>
          <w:szCs w:val="17"/>
        </w:rPr>
      </w:pPr>
      <w:r w:rsidRPr="00C20E3E">
        <w:rPr>
          <w:rFonts w:eastAsia="Times New Roman"/>
          <w:i/>
          <w:szCs w:val="17"/>
        </w:rPr>
        <w:t>(a)</w:t>
      </w:r>
      <w:r w:rsidRPr="00C20E3E">
        <w:rPr>
          <w:rFonts w:eastAsia="Times New Roman"/>
          <w:i/>
          <w:szCs w:val="17"/>
        </w:rPr>
        <w:tab/>
        <w:t>SAET; or</w:t>
      </w:r>
    </w:p>
    <w:p w:rsidR="00C20E3E" w:rsidRPr="00C20E3E" w:rsidRDefault="00C20E3E" w:rsidP="00C20E3E">
      <w:pPr>
        <w:ind w:left="1134" w:hanging="426"/>
        <w:rPr>
          <w:rFonts w:eastAsia="Times New Roman"/>
          <w:i/>
          <w:szCs w:val="17"/>
        </w:rPr>
      </w:pPr>
      <w:r w:rsidRPr="00C20E3E">
        <w:rPr>
          <w:rFonts w:eastAsia="Times New Roman"/>
          <w:i/>
          <w:szCs w:val="17"/>
        </w:rPr>
        <w:t>(b)</w:t>
      </w:r>
      <w:r w:rsidRPr="00C20E3E">
        <w:rPr>
          <w:rFonts w:eastAsia="Times New Roman"/>
          <w:i/>
          <w:szCs w:val="17"/>
        </w:rPr>
        <w:tab/>
        <w:t>the Remuneration Tribunal; or</w:t>
      </w:r>
    </w:p>
    <w:p w:rsidR="00C20E3E" w:rsidRPr="00C20E3E" w:rsidRDefault="00C20E3E" w:rsidP="00C20E3E">
      <w:pPr>
        <w:ind w:left="1134" w:hanging="426"/>
        <w:rPr>
          <w:rFonts w:eastAsia="Times New Roman"/>
          <w:i/>
          <w:szCs w:val="17"/>
        </w:rPr>
      </w:pPr>
      <w:r w:rsidRPr="00C20E3E">
        <w:rPr>
          <w:rFonts w:eastAsia="Times New Roman"/>
          <w:i/>
          <w:szCs w:val="17"/>
        </w:rPr>
        <w:t>(c)</w:t>
      </w:r>
      <w:r w:rsidRPr="00C20E3E">
        <w:rPr>
          <w:rFonts w:eastAsia="Times New Roman"/>
          <w:i/>
          <w:szCs w:val="17"/>
        </w:rPr>
        <w:tab/>
        <w:t>the Commissioner for Public Sector Employment; or</w:t>
      </w:r>
    </w:p>
    <w:p w:rsidR="00C20E3E" w:rsidRPr="00C20E3E" w:rsidRDefault="00C20E3E" w:rsidP="00C20E3E">
      <w:pPr>
        <w:ind w:left="1134" w:hanging="426"/>
        <w:rPr>
          <w:rFonts w:eastAsia="Times New Roman"/>
          <w:i/>
          <w:szCs w:val="17"/>
        </w:rPr>
      </w:pPr>
      <w:r w:rsidRPr="00C20E3E">
        <w:rPr>
          <w:rFonts w:eastAsia="Times New Roman"/>
          <w:i/>
          <w:szCs w:val="17"/>
        </w:rPr>
        <w:t>(d)</w:t>
      </w:r>
      <w:r w:rsidRPr="00C20E3E">
        <w:rPr>
          <w:rFonts w:eastAsia="Times New Roman"/>
          <w:i/>
          <w:szCs w:val="17"/>
        </w:rPr>
        <w:tab/>
        <w:t>another person or body declared by regulation to be a State industrial authority.”</w:t>
      </w:r>
    </w:p>
    <w:p w:rsidR="00C20E3E" w:rsidRPr="00C20E3E" w:rsidRDefault="00C20E3E" w:rsidP="00C20E3E">
      <w:pPr>
        <w:spacing w:after="0" w:line="240" w:lineRule="auto"/>
        <w:jc w:val="left"/>
        <w:rPr>
          <w:rFonts w:eastAsia="Times New Roman"/>
          <w:szCs w:val="17"/>
        </w:rPr>
      </w:pPr>
      <w:r w:rsidRPr="00C20E3E">
        <w:rPr>
          <w:rFonts w:eastAsia="Times New Roman"/>
          <w:szCs w:val="20"/>
        </w:rPr>
        <w:br w:type="page"/>
      </w:r>
    </w:p>
    <w:p w:rsidR="00C20E3E" w:rsidRPr="00C20E3E" w:rsidRDefault="00C20E3E" w:rsidP="002041BD">
      <w:pPr>
        <w:spacing w:after="60"/>
        <w:ind w:left="567" w:hanging="425"/>
        <w:rPr>
          <w:rFonts w:eastAsia="Times New Roman"/>
          <w:szCs w:val="17"/>
        </w:rPr>
      </w:pPr>
      <w:r w:rsidRPr="00C20E3E">
        <w:rPr>
          <w:rFonts w:eastAsia="Times New Roman"/>
          <w:szCs w:val="17"/>
        </w:rPr>
        <w:lastRenderedPageBreak/>
        <w:t>16.</w:t>
      </w:r>
      <w:r w:rsidRPr="00C20E3E">
        <w:rPr>
          <w:rFonts w:eastAsia="Times New Roman"/>
          <w:szCs w:val="17"/>
        </w:rPr>
        <w:tab/>
        <w:t>The SAET work value principles</w:t>
      </w:r>
      <w:r w:rsidR="0029211B" w:rsidRPr="0029211B">
        <w:rPr>
          <w:rFonts w:eastAsia="Times New Roman"/>
          <w:szCs w:val="17"/>
          <w:vertAlign w:val="superscript"/>
        </w:rPr>
        <w:t>1</w:t>
      </w:r>
      <w:r w:rsidRPr="00C20E3E">
        <w:rPr>
          <w:rFonts w:eastAsia="Times New Roman"/>
          <w:szCs w:val="17"/>
        </w:rPr>
        <w:t xml:space="preserve"> are relevant, which are reproduced below:</w:t>
      </w:r>
    </w:p>
    <w:p w:rsidR="00C20E3E" w:rsidRPr="00C20E3E" w:rsidRDefault="00C20E3E" w:rsidP="002041BD">
      <w:pPr>
        <w:spacing w:after="60"/>
        <w:ind w:left="567"/>
        <w:rPr>
          <w:rFonts w:eastAsia="Times New Roman"/>
          <w:i/>
          <w:szCs w:val="17"/>
        </w:rPr>
      </w:pPr>
      <w:r w:rsidRPr="00C20E3E">
        <w:rPr>
          <w:rFonts w:eastAsia="Times New Roman"/>
          <w:i/>
          <w:szCs w:val="17"/>
        </w:rPr>
        <w:t>“WORK VALUE CHANGES</w:t>
      </w:r>
    </w:p>
    <w:p w:rsidR="00C20E3E" w:rsidRPr="00C20E3E" w:rsidRDefault="00C20E3E" w:rsidP="002041BD">
      <w:pPr>
        <w:spacing w:after="60"/>
        <w:ind w:left="709"/>
        <w:rPr>
          <w:rFonts w:eastAsia="Times New Roman"/>
          <w:i/>
          <w:szCs w:val="17"/>
        </w:rPr>
      </w:pPr>
      <w:r w:rsidRPr="00C20E3E">
        <w:rPr>
          <w:rFonts w:eastAsia="Times New Roman"/>
          <w:i/>
          <w:szCs w:val="17"/>
        </w:rPr>
        <w:t>Changes in work value may arise from changes in the nature of work, skill and responsibility required or the conditions under which work is performed. Changes in work by themselves may not lead to a change in wage rates. The strict test for an alteration in wage rates is that the change in the nature of the work should constitute such a significant net addition to work requirements as to warrant the creation of a new classification or upgrading to a higher classification.</w:t>
      </w:r>
    </w:p>
    <w:p w:rsidR="00C20E3E" w:rsidRPr="00C20E3E" w:rsidRDefault="00C20E3E" w:rsidP="002041BD">
      <w:pPr>
        <w:spacing w:after="60"/>
        <w:ind w:left="709"/>
        <w:rPr>
          <w:rFonts w:eastAsia="Times New Roman"/>
          <w:i/>
          <w:szCs w:val="17"/>
        </w:rPr>
      </w:pPr>
      <w:r w:rsidRPr="00C20E3E">
        <w:rPr>
          <w:rFonts w:eastAsia="Times New Roman"/>
          <w:i/>
          <w:szCs w:val="17"/>
        </w:rPr>
        <w:t>In addition to meeting this test a party making a work value application will need to justify any change to wage relativities that might result not only within the relevant internal Award structure but also against external classifications to which the structure is related. There must be no likelihood of wage “leapfrogging” arising out of changes in relative position.</w:t>
      </w:r>
    </w:p>
    <w:p w:rsidR="00C20E3E" w:rsidRPr="00C20E3E" w:rsidRDefault="00C20E3E" w:rsidP="002041BD">
      <w:pPr>
        <w:spacing w:after="60"/>
        <w:ind w:left="709"/>
        <w:rPr>
          <w:rFonts w:eastAsia="Times New Roman"/>
          <w:i/>
          <w:szCs w:val="17"/>
        </w:rPr>
      </w:pPr>
      <w:r w:rsidRPr="00C20E3E">
        <w:rPr>
          <w:rFonts w:eastAsia="Times New Roman"/>
          <w:i/>
          <w:szCs w:val="17"/>
        </w:rPr>
        <w:t>These are the only circumstances in which rates may be altered on the ground of work value and the altered rates may be applied only to employees whose work has changed in accordance with this principle.</w:t>
      </w:r>
    </w:p>
    <w:p w:rsidR="00C20E3E" w:rsidRPr="00C20E3E" w:rsidRDefault="00C20E3E" w:rsidP="002041BD">
      <w:pPr>
        <w:spacing w:after="60"/>
        <w:ind w:left="709"/>
        <w:rPr>
          <w:rFonts w:eastAsia="Times New Roman"/>
          <w:i/>
          <w:szCs w:val="17"/>
        </w:rPr>
      </w:pPr>
      <w:r w:rsidRPr="00C20E3E">
        <w:rPr>
          <w:rFonts w:eastAsia="Times New Roman"/>
          <w:i/>
          <w:szCs w:val="17"/>
        </w:rPr>
        <w:t>In applying the Work Value Changes principle, the Commission will have regard to the need for any alterations to wage relativities between Awards to be based on skill, responsibility and the conditions under which work is performed.</w:t>
      </w:r>
    </w:p>
    <w:p w:rsidR="00C20E3E" w:rsidRPr="00C20E3E" w:rsidRDefault="00C20E3E" w:rsidP="002041BD">
      <w:pPr>
        <w:spacing w:after="60"/>
        <w:ind w:left="709"/>
        <w:rPr>
          <w:rFonts w:eastAsia="Times New Roman"/>
          <w:i/>
          <w:szCs w:val="17"/>
        </w:rPr>
      </w:pPr>
      <w:r w:rsidRPr="00C20E3E">
        <w:rPr>
          <w:rFonts w:eastAsia="Times New Roman"/>
          <w:i/>
          <w:szCs w:val="17"/>
        </w:rPr>
        <w:t>Where new or changed work justifying a higher rate is performed only from time to time by persons covered by a particular classification, or where it is performed only by some of the persons covered by the classification, such new or changed work should be compensated by a special allowance which is payable only when the new or changed work is performed by a particular employee and not by increasing the rate for the classification as a whole.</w:t>
      </w:r>
    </w:p>
    <w:p w:rsidR="00C20E3E" w:rsidRPr="00C20E3E" w:rsidRDefault="00C20E3E" w:rsidP="002041BD">
      <w:pPr>
        <w:spacing w:after="60"/>
        <w:ind w:left="709"/>
        <w:rPr>
          <w:rFonts w:eastAsia="Times New Roman"/>
          <w:i/>
          <w:szCs w:val="17"/>
        </w:rPr>
      </w:pPr>
      <w:r w:rsidRPr="00C20E3E">
        <w:rPr>
          <w:rFonts w:eastAsia="Times New Roman"/>
          <w:i/>
          <w:szCs w:val="17"/>
        </w:rPr>
        <w:t>The time from which work value changes in an Award should be measured is the date of operation of the second structural efficiency adjustment allowable under the September 1989 State Wage Case decision [Print I.69/1989].</w:t>
      </w:r>
    </w:p>
    <w:p w:rsidR="00C20E3E" w:rsidRPr="00C20E3E" w:rsidRDefault="00C20E3E" w:rsidP="002041BD">
      <w:pPr>
        <w:spacing w:after="60"/>
        <w:ind w:left="709"/>
        <w:rPr>
          <w:rFonts w:eastAsia="Times New Roman"/>
          <w:i/>
          <w:szCs w:val="17"/>
        </w:rPr>
      </w:pPr>
      <w:r w:rsidRPr="00C20E3E">
        <w:rPr>
          <w:rFonts w:eastAsia="Times New Roman"/>
          <w:i/>
          <w:szCs w:val="17"/>
        </w:rPr>
        <w:t>Care should be exercised to ensure that changes which were or should have been taken into account in any previous work value adjustments or in a structural efficiency exercise are not included in any work evaluation under this principle.</w:t>
      </w:r>
    </w:p>
    <w:p w:rsidR="00C20E3E" w:rsidRPr="00C20E3E" w:rsidRDefault="00C20E3E" w:rsidP="002041BD">
      <w:pPr>
        <w:spacing w:after="60"/>
        <w:ind w:left="709"/>
        <w:rPr>
          <w:rFonts w:eastAsia="Times New Roman"/>
          <w:i/>
          <w:szCs w:val="17"/>
        </w:rPr>
      </w:pPr>
      <w:r w:rsidRPr="00C20E3E">
        <w:rPr>
          <w:rFonts w:eastAsia="Times New Roman"/>
          <w:i/>
          <w:szCs w:val="17"/>
        </w:rPr>
        <w:t>Where the tests specified in principle 8.1 are met, an assessment will have to be made as to how that alteration should be measured in money terms. Such assessment will normally be based on the previous work requirements, the wage previously fixed for the work and the nature and extent of the change in work.</w:t>
      </w:r>
    </w:p>
    <w:p w:rsidR="00C20E3E" w:rsidRPr="00C20E3E" w:rsidRDefault="00C20E3E" w:rsidP="002041BD">
      <w:pPr>
        <w:spacing w:after="60"/>
        <w:ind w:left="709"/>
        <w:rPr>
          <w:rFonts w:eastAsia="Times New Roman"/>
          <w:i/>
          <w:szCs w:val="17"/>
        </w:rPr>
      </w:pPr>
      <w:r w:rsidRPr="00C20E3E">
        <w:rPr>
          <w:rFonts w:eastAsia="Times New Roman"/>
          <w:i/>
          <w:szCs w:val="17"/>
        </w:rPr>
        <w:t>The expression “the conditions under which the work is performed” relates to the environment in which the work is done.</w:t>
      </w:r>
    </w:p>
    <w:p w:rsidR="00C20E3E" w:rsidRPr="00C20E3E" w:rsidRDefault="00C20E3E" w:rsidP="002041BD">
      <w:pPr>
        <w:spacing w:after="60"/>
        <w:ind w:left="709"/>
        <w:rPr>
          <w:rFonts w:eastAsia="Times New Roman"/>
          <w:i/>
          <w:szCs w:val="17"/>
        </w:rPr>
      </w:pPr>
      <w:r w:rsidRPr="00C20E3E">
        <w:rPr>
          <w:rFonts w:eastAsia="Times New Roman"/>
          <w:i/>
          <w:szCs w:val="17"/>
        </w:rPr>
        <w:t>The Commission will guard against contrived classifications and overclassification of jobs.</w:t>
      </w:r>
    </w:p>
    <w:p w:rsidR="00C20E3E" w:rsidRPr="00C20E3E" w:rsidRDefault="00C20E3E" w:rsidP="002041BD">
      <w:pPr>
        <w:spacing w:after="60"/>
        <w:ind w:left="709"/>
        <w:rPr>
          <w:rFonts w:eastAsia="Times New Roman"/>
          <w:i/>
          <w:szCs w:val="17"/>
        </w:rPr>
      </w:pPr>
      <w:r w:rsidRPr="00C20E3E">
        <w:rPr>
          <w:rFonts w:eastAsia="Times New Roman"/>
          <w:i/>
          <w:szCs w:val="17"/>
        </w:rPr>
        <w:t>Any changes in the nature of work, skill and responsibility required or the conditions under which the work is performed, taken into account in assessing an increase under any other provision of this Declaration, will not be taken into account in any claim under this principle.”</w:t>
      </w:r>
    </w:p>
    <w:p w:rsidR="00C20E3E" w:rsidRPr="00C20E3E" w:rsidRDefault="00C20E3E" w:rsidP="002041BD">
      <w:pPr>
        <w:spacing w:after="60"/>
        <w:ind w:left="567" w:hanging="425"/>
        <w:rPr>
          <w:rFonts w:eastAsia="Times New Roman"/>
          <w:szCs w:val="17"/>
        </w:rPr>
      </w:pPr>
      <w:r w:rsidRPr="00C20E3E">
        <w:rPr>
          <w:rFonts w:eastAsia="Times New Roman"/>
          <w:szCs w:val="17"/>
        </w:rPr>
        <w:t>17.</w:t>
      </w:r>
      <w:r w:rsidRPr="00C20E3E">
        <w:rPr>
          <w:rFonts w:eastAsia="Times New Roman"/>
          <w:szCs w:val="17"/>
        </w:rPr>
        <w:tab/>
        <w:t>The Tribunal will invite submissions in the early part of 2021, on the appropriateness of such an approach to form the basis for its next remuneration review. Ample notice for submissions to the Tribunal will be provided.</w:t>
      </w:r>
    </w:p>
    <w:p w:rsidR="00C20E3E" w:rsidRPr="00C20E3E" w:rsidRDefault="00C20E3E" w:rsidP="002041BD">
      <w:pPr>
        <w:spacing w:after="60"/>
        <w:rPr>
          <w:rFonts w:eastAsia="Times New Roman"/>
          <w:b/>
          <w:szCs w:val="17"/>
        </w:rPr>
      </w:pPr>
      <w:r w:rsidRPr="00C20E3E">
        <w:rPr>
          <w:rFonts w:eastAsia="Times New Roman"/>
          <w:b/>
          <w:szCs w:val="17"/>
        </w:rPr>
        <w:t>CONCLUSION</w:t>
      </w:r>
    </w:p>
    <w:p w:rsidR="00C20E3E" w:rsidRPr="00C20E3E" w:rsidRDefault="00C20E3E" w:rsidP="002041BD">
      <w:pPr>
        <w:spacing w:after="60"/>
        <w:ind w:left="567" w:hanging="425"/>
        <w:rPr>
          <w:rFonts w:eastAsia="Times New Roman"/>
          <w:szCs w:val="17"/>
        </w:rPr>
      </w:pPr>
      <w:r w:rsidRPr="00C20E3E">
        <w:rPr>
          <w:rFonts w:eastAsia="Times New Roman"/>
          <w:szCs w:val="17"/>
        </w:rPr>
        <w:t>18.</w:t>
      </w:r>
      <w:r w:rsidRPr="00C20E3E">
        <w:rPr>
          <w:rFonts w:eastAsia="Times New Roman"/>
          <w:szCs w:val="17"/>
        </w:rPr>
        <w:tab/>
        <w:t>The Tribunal has considered the economic data and information set out above, and has noted the current low inflation and wages pressure at the time of this review.</w:t>
      </w:r>
    </w:p>
    <w:p w:rsidR="00C20E3E" w:rsidRPr="00C20E3E" w:rsidRDefault="00C20E3E" w:rsidP="002041BD">
      <w:pPr>
        <w:spacing w:after="60"/>
        <w:ind w:left="567" w:hanging="425"/>
        <w:rPr>
          <w:rFonts w:eastAsia="Times New Roman"/>
          <w:szCs w:val="17"/>
        </w:rPr>
      </w:pPr>
      <w:r w:rsidRPr="00C20E3E">
        <w:rPr>
          <w:rFonts w:eastAsia="Times New Roman"/>
          <w:szCs w:val="17"/>
        </w:rPr>
        <w:t>19.</w:t>
      </w:r>
      <w:r w:rsidRPr="00C20E3E">
        <w:rPr>
          <w:rFonts w:eastAsia="Times New Roman"/>
          <w:szCs w:val="17"/>
        </w:rPr>
        <w:tab/>
        <w:t>The Tribunal has accepted the submission made on behalf of the Premier that an increase of 1% from 1 January 2021 would be appropriate. The Tribunal notes its desire to maintain increases in remuneration for statutory office holders within a reasonable range when compared to public sector executives.</w:t>
      </w:r>
    </w:p>
    <w:p w:rsidR="00C20E3E" w:rsidRPr="00C20E3E" w:rsidRDefault="00C20E3E" w:rsidP="002041BD">
      <w:pPr>
        <w:spacing w:after="60"/>
        <w:ind w:left="567" w:hanging="425"/>
        <w:rPr>
          <w:rFonts w:eastAsia="Times New Roman"/>
          <w:szCs w:val="17"/>
        </w:rPr>
      </w:pPr>
      <w:r w:rsidRPr="00C20E3E">
        <w:rPr>
          <w:rFonts w:eastAsia="Times New Roman"/>
          <w:szCs w:val="17"/>
        </w:rPr>
        <w:t>20.</w:t>
      </w:r>
      <w:r w:rsidRPr="00C20E3E">
        <w:rPr>
          <w:rFonts w:eastAsia="Times New Roman"/>
          <w:szCs w:val="17"/>
        </w:rPr>
        <w:tab/>
        <w:t>Accordingly, the Tribunal has concluded that the rates of salary applicable to the offices specified at paragraph 2 of this Report shall be increased by 1%. The accompanying Determination will issue.</w:t>
      </w:r>
    </w:p>
    <w:p w:rsidR="00C20E3E" w:rsidRPr="00C20E3E" w:rsidRDefault="00C20E3E" w:rsidP="002041BD">
      <w:pPr>
        <w:spacing w:after="60"/>
        <w:rPr>
          <w:rFonts w:eastAsia="Times New Roman"/>
          <w:b/>
          <w:szCs w:val="17"/>
        </w:rPr>
      </w:pPr>
      <w:r w:rsidRPr="00C20E3E">
        <w:rPr>
          <w:rFonts w:eastAsia="Times New Roman"/>
          <w:b/>
          <w:szCs w:val="17"/>
        </w:rPr>
        <w:t>COMMUNICATION ALLOWANCE</w:t>
      </w:r>
    </w:p>
    <w:p w:rsidR="00C20E3E" w:rsidRPr="00C20E3E" w:rsidRDefault="00C20E3E" w:rsidP="002041BD">
      <w:pPr>
        <w:spacing w:after="60"/>
        <w:ind w:left="567" w:hanging="425"/>
        <w:rPr>
          <w:rFonts w:eastAsia="Times New Roman"/>
          <w:spacing w:val="-2"/>
          <w:szCs w:val="17"/>
        </w:rPr>
      </w:pPr>
      <w:r w:rsidRPr="00C20E3E">
        <w:rPr>
          <w:rFonts w:eastAsia="Times New Roman"/>
          <w:szCs w:val="17"/>
        </w:rPr>
        <w:t>21.</w:t>
      </w:r>
      <w:r w:rsidRPr="00C20E3E">
        <w:rPr>
          <w:rFonts w:eastAsia="Times New Roman"/>
          <w:szCs w:val="17"/>
        </w:rPr>
        <w:tab/>
      </w:r>
      <w:r w:rsidRPr="00C20E3E">
        <w:rPr>
          <w:rFonts w:eastAsia="Times New Roman"/>
          <w:spacing w:val="-2"/>
          <w:szCs w:val="17"/>
        </w:rPr>
        <w:t xml:space="preserve">The Tribunal has reviewed the Communication Allowance applicable to the Statutory Office Holders listed at paragraph 2. In doing so, </w:t>
      </w:r>
      <w:r w:rsidRPr="00C20E3E">
        <w:rPr>
          <w:rFonts w:eastAsia="Times New Roman"/>
          <w:spacing w:val="-4"/>
          <w:szCs w:val="17"/>
        </w:rPr>
        <w:t>the Tribunal has had regard to the relevant statistical measure which forms the basis of consideration of the Communications Allowance.</w:t>
      </w:r>
    </w:p>
    <w:p w:rsidR="00C20E3E" w:rsidRPr="00C20E3E" w:rsidRDefault="00C20E3E" w:rsidP="002041BD">
      <w:pPr>
        <w:spacing w:after="60"/>
        <w:ind w:left="567" w:hanging="425"/>
        <w:rPr>
          <w:rFonts w:eastAsia="Times New Roman"/>
          <w:szCs w:val="17"/>
        </w:rPr>
      </w:pPr>
      <w:r w:rsidRPr="00C20E3E">
        <w:rPr>
          <w:rFonts w:eastAsia="Times New Roman"/>
          <w:szCs w:val="17"/>
        </w:rPr>
        <w:t>22.</w:t>
      </w:r>
      <w:r w:rsidRPr="00C20E3E">
        <w:rPr>
          <w:rFonts w:eastAsia="Times New Roman"/>
          <w:szCs w:val="17"/>
        </w:rPr>
        <w:tab/>
        <w:t>The Tribunal has decided to make no adjustment to the level of the Communication Allowance on this occasion.</w:t>
      </w:r>
    </w:p>
    <w:p w:rsidR="00C20E3E" w:rsidRPr="00C20E3E" w:rsidRDefault="00C20E3E" w:rsidP="002041BD">
      <w:pPr>
        <w:spacing w:after="60"/>
        <w:rPr>
          <w:rFonts w:eastAsia="Times New Roman"/>
          <w:b/>
          <w:szCs w:val="17"/>
        </w:rPr>
      </w:pPr>
      <w:r w:rsidRPr="00C20E3E">
        <w:rPr>
          <w:rFonts w:eastAsia="Times New Roman"/>
          <w:b/>
          <w:szCs w:val="17"/>
        </w:rPr>
        <w:t>OPERATIVE DATE</w:t>
      </w:r>
    </w:p>
    <w:p w:rsidR="00C20E3E" w:rsidRPr="00C20E3E" w:rsidRDefault="00C20E3E" w:rsidP="002041BD">
      <w:pPr>
        <w:spacing w:after="60"/>
        <w:ind w:left="567" w:hanging="425"/>
        <w:rPr>
          <w:rFonts w:eastAsia="Times New Roman"/>
          <w:szCs w:val="17"/>
        </w:rPr>
      </w:pPr>
      <w:r w:rsidRPr="00C20E3E">
        <w:rPr>
          <w:rFonts w:eastAsia="Times New Roman"/>
          <w:szCs w:val="17"/>
        </w:rPr>
        <w:t>23.</w:t>
      </w:r>
      <w:r w:rsidRPr="00C20E3E">
        <w:rPr>
          <w:rFonts w:eastAsia="Times New Roman"/>
          <w:szCs w:val="17"/>
        </w:rPr>
        <w:tab/>
        <w:t>The operative date of the accompanying Determination shall be 1 January 2021.</w:t>
      </w:r>
    </w:p>
    <w:p w:rsidR="00C20E3E" w:rsidRPr="00C20E3E" w:rsidRDefault="00C20E3E" w:rsidP="00C20E3E">
      <w:pPr>
        <w:spacing w:after="0"/>
        <w:rPr>
          <w:rFonts w:eastAsia="Times New Roman"/>
          <w:szCs w:val="17"/>
        </w:rPr>
      </w:pPr>
      <w:r w:rsidRPr="00C20E3E">
        <w:rPr>
          <w:rFonts w:eastAsia="Times New Roman"/>
          <w:szCs w:val="17"/>
        </w:rPr>
        <w:t>Dated: 20 April 2021</w:t>
      </w:r>
    </w:p>
    <w:p w:rsidR="00C20E3E" w:rsidRPr="00C20E3E" w:rsidRDefault="00C20E3E" w:rsidP="00C20E3E">
      <w:pPr>
        <w:spacing w:after="0"/>
        <w:jc w:val="right"/>
        <w:rPr>
          <w:rFonts w:eastAsia="Times New Roman"/>
          <w:smallCaps/>
          <w:szCs w:val="20"/>
        </w:rPr>
      </w:pPr>
      <w:r w:rsidRPr="00C20E3E">
        <w:rPr>
          <w:rFonts w:eastAsia="Times New Roman"/>
          <w:smallCaps/>
          <w:szCs w:val="20"/>
        </w:rPr>
        <w:t>Matthew O’Callaghan</w:t>
      </w:r>
    </w:p>
    <w:p w:rsidR="00C20E3E" w:rsidRPr="00C20E3E" w:rsidRDefault="00C20E3E" w:rsidP="00C20E3E">
      <w:pPr>
        <w:jc w:val="right"/>
        <w:rPr>
          <w:rFonts w:eastAsia="Times New Roman"/>
          <w:szCs w:val="17"/>
        </w:rPr>
      </w:pPr>
      <w:r w:rsidRPr="00C20E3E">
        <w:rPr>
          <w:rFonts w:eastAsia="Times New Roman"/>
          <w:szCs w:val="17"/>
        </w:rPr>
        <w:t>President</w:t>
      </w:r>
    </w:p>
    <w:p w:rsidR="00C20E3E" w:rsidRPr="00C20E3E" w:rsidRDefault="00C20E3E" w:rsidP="00C20E3E">
      <w:pPr>
        <w:spacing w:after="0"/>
        <w:jc w:val="right"/>
        <w:rPr>
          <w:rFonts w:eastAsia="Times New Roman"/>
          <w:smallCaps/>
          <w:szCs w:val="20"/>
        </w:rPr>
      </w:pPr>
      <w:r w:rsidRPr="00C20E3E">
        <w:rPr>
          <w:rFonts w:eastAsia="Times New Roman"/>
          <w:smallCaps/>
          <w:szCs w:val="20"/>
        </w:rPr>
        <w:t>Deborah Black</w:t>
      </w:r>
    </w:p>
    <w:p w:rsidR="00C20E3E" w:rsidRPr="00C20E3E" w:rsidRDefault="00C20E3E" w:rsidP="00C20E3E">
      <w:pPr>
        <w:jc w:val="right"/>
        <w:rPr>
          <w:rFonts w:eastAsia="Times New Roman"/>
          <w:szCs w:val="17"/>
        </w:rPr>
      </w:pPr>
      <w:r w:rsidRPr="00C20E3E">
        <w:rPr>
          <w:rFonts w:eastAsia="Times New Roman"/>
          <w:szCs w:val="17"/>
        </w:rPr>
        <w:t>Member</w:t>
      </w:r>
    </w:p>
    <w:p w:rsidR="00C20E3E" w:rsidRPr="00C20E3E" w:rsidRDefault="00C20E3E" w:rsidP="00C20E3E">
      <w:pPr>
        <w:spacing w:after="0"/>
        <w:jc w:val="right"/>
        <w:rPr>
          <w:rFonts w:eastAsia="Times New Roman"/>
          <w:smallCaps/>
          <w:szCs w:val="20"/>
        </w:rPr>
      </w:pPr>
      <w:r w:rsidRPr="00C20E3E">
        <w:rPr>
          <w:rFonts w:eastAsia="Times New Roman"/>
          <w:smallCaps/>
          <w:szCs w:val="20"/>
        </w:rPr>
        <w:t>Peter de Cure</w:t>
      </w:r>
    </w:p>
    <w:p w:rsidR="004C04CC" w:rsidRDefault="00C20E3E" w:rsidP="00E72658">
      <w:pPr>
        <w:pStyle w:val="GG-Signature"/>
      </w:pPr>
      <w:r w:rsidRPr="00C20E3E">
        <w:t>Member</w:t>
      </w:r>
      <w:bookmarkStart w:id="45" w:name="_GoBack"/>
      <w:bookmarkEnd w:id="45"/>
    </w:p>
    <w:p w:rsidR="005E2083" w:rsidRDefault="005E2083" w:rsidP="005E2083">
      <w:pPr>
        <w:pBdr>
          <w:top w:val="single" w:sz="4" w:space="1" w:color="auto"/>
        </w:pBdr>
        <w:spacing w:before="100" w:line="14" w:lineRule="exact"/>
        <w:ind w:right="6377" w:firstLine="1080"/>
        <w:jc w:val="left"/>
        <w:rPr>
          <w:rFonts w:eastAsia="Times New Roman"/>
          <w:szCs w:val="17"/>
        </w:rPr>
      </w:pPr>
    </w:p>
    <w:p w:rsidR="00134C11" w:rsidRPr="00134C11" w:rsidRDefault="0029211B" w:rsidP="00134C11">
      <w:pPr>
        <w:spacing w:after="0"/>
        <w:ind w:left="142" w:hanging="142"/>
        <w:rPr>
          <w:rFonts w:eastAsia="Times New Roman"/>
          <w:sz w:val="16"/>
          <w:szCs w:val="16"/>
        </w:rPr>
      </w:pPr>
      <w:r>
        <w:rPr>
          <w:rStyle w:val="FootnoteReference"/>
          <w:sz w:val="16"/>
          <w:szCs w:val="16"/>
        </w:rPr>
        <w:t>1</w:t>
      </w:r>
      <w:r w:rsidR="00134C11" w:rsidRPr="00134C11">
        <w:rPr>
          <w:sz w:val="16"/>
          <w:szCs w:val="16"/>
        </w:rPr>
        <w:tab/>
        <w:t>As stated in the State Wage Case July 2005, Minimum Standard of Remuneration, Industrial Relations Commission of South Australia, [2005] SAIRComm 29.</w:t>
      </w:r>
    </w:p>
    <w:p w:rsidR="00C20E3E" w:rsidRDefault="00C20E3E" w:rsidP="00C20E3E">
      <w:pPr>
        <w:pBdr>
          <w:bottom w:val="single" w:sz="4" w:space="1" w:color="auto"/>
        </w:pBdr>
        <w:spacing w:after="0" w:line="52" w:lineRule="exact"/>
        <w:jc w:val="center"/>
        <w:rPr>
          <w:lang w:val="en-US"/>
        </w:rPr>
      </w:pPr>
    </w:p>
    <w:p w:rsidR="00C20E3E" w:rsidRDefault="00C20E3E" w:rsidP="00C20E3E">
      <w:pPr>
        <w:pBdr>
          <w:top w:val="single" w:sz="4" w:space="1" w:color="auto"/>
        </w:pBdr>
        <w:spacing w:before="34" w:after="0" w:line="14" w:lineRule="exact"/>
        <w:jc w:val="center"/>
        <w:rPr>
          <w:lang w:val="en-US"/>
        </w:rPr>
      </w:pPr>
    </w:p>
    <w:p w:rsidR="00C20E3E" w:rsidRDefault="00C20E3E" w:rsidP="00C20E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041BD" w:rsidRPr="002041BD" w:rsidRDefault="002041BD" w:rsidP="00051940">
      <w:pPr>
        <w:pStyle w:val="Heading2"/>
      </w:pPr>
      <w:bookmarkStart w:id="46" w:name="_Toc69916977"/>
      <w:r w:rsidRPr="002041BD">
        <w:t>Retail and Commercial Leases Act 1995</w:t>
      </w:r>
      <w:bookmarkEnd w:id="46"/>
    </w:p>
    <w:p w:rsidR="002041BD" w:rsidRPr="002041BD" w:rsidRDefault="002041BD" w:rsidP="002041BD">
      <w:pPr>
        <w:spacing w:after="60"/>
        <w:jc w:val="center"/>
        <w:rPr>
          <w:i/>
          <w:szCs w:val="17"/>
        </w:rPr>
      </w:pPr>
      <w:r w:rsidRPr="002041BD">
        <w:rPr>
          <w:i/>
          <w:szCs w:val="17"/>
        </w:rPr>
        <w:t>Exemption</w:t>
      </w:r>
    </w:p>
    <w:p w:rsidR="002041BD" w:rsidRPr="002041BD" w:rsidRDefault="002041BD" w:rsidP="002041BD">
      <w:pPr>
        <w:spacing w:after="60"/>
        <w:rPr>
          <w:rFonts w:eastAsia="Times New Roman"/>
          <w:szCs w:val="17"/>
        </w:rPr>
      </w:pPr>
      <w:r w:rsidRPr="002041BD">
        <w:rPr>
          <w:rFonts w:eastAsia="Times New Roman"/>
          <w:szCs w:val="17"/>
        </w:rPr>
        <w:t xml:space="preserve">PURSUANT to Section 77(2) of the </w:t>
      </w:r>
      <w:r w:rsidRPr="002041BD">
        <w:rPr>
          <w:rFonts w:eastAsia="Times New Roman"/>
          <w:i/>
          <w:szCs w:val="17"/>
        </w:rPr>
        <w:t>Retail and Commercial Leases Act 1995</w:t>
      </w:r>
      <w:r w:rsidRPr="002041BD">
        <w:rPr>
          <w:rFonts w:eastAsia="Times New Roman"/>
          <w:szCs w:val="17"/>
        </w:rPr>
        <w:t xml:space="preserve"> (SA) I, John Clifford Chapman, the Small Business Commissioner for the State of South Australia, EXEMPT the lease between the Premier for and on behalf of the Crown in right of the State of South Australia and Contemporary SA Incorporated from the </w:t>
      </w:r>
      <w:r w:rsidRPr="002041BD">
        <w:rPr>
          <w:rFonts w:eastAsia="Times New Roman"/>
          <w:i/>
          <w:szCs w:val="17"/>
        </w:rPr>
        <w:t>Retail and Commercial Leases Act 1995</w:t>
      </w:r>
      <w:r w:rsidRPr="002041BD">
        <w:rPr>
          <w:rFonts w:eastAsia="Times New Roman"/>
          <w:szCs w:val="17"/>
        </w:rPr>
        <w:t xml:space="preserve"> (SA).</w:t>
      </w:r>
    </w:p>
    <w:p w:rsidR="002041BD" w:rsidRPr="002041BD" w:rsidRDefault="002041BD" w:rsidP="002041BD">
      <w:pPr>
        <w:spacing w:after="60"/>
        <w:rPr>
          <w:rFonts w:eastAsia="Times New Roman"/>
          <w:szCs w:val="17"/>
        </w:rPr>
      </w:pPr>
      <w:r w:rsidRPr="002041BD">
        <w:rPr>
          <w:rFonts w:eastAsia="Times New Roman"/>
          <w:szCs w:val="17"/>
        </w:rPr>
        <w:t>This exemption is subject to the following conditions:</w:t>
      </w:r>
    </w:p>
    <w:p w:rsidR="002041BD" w:rsidRPr="002041BD" w:rsidRDefault="002041BD" w:rsidP="002041BD">
      <w:pPr>
        <w:spacing w:after="60"/>
        <w:ind w:left="426" w:hanging="284"/>
        <w:rPr>
          <w:rFonts w:eastAsia="Times New Roman"/>
          <w:szCs w:val="17"/>
        </w:rPr>
      </w:pPr>
      <w:r w:rsidRPr="002041BD">
        <w:rPr>
          <w:rFonts w:eastAsia="Times New Roman"/>
          <w:szCs w:val="17"/>
        </w:rPr>
        <w:t>1.</w:t>
      </w:r>
      <w:r w:rsidRPr="002041BD">
        <w:rPr>
          <w:rFonts w:eastAsia="Times New Roman"/>
          <w:szCs w:val="17"/>
        </w:rPr>
        <w:tab/>
        <w:t>The exemption may be revoked by the Small Business Commissioner at any time; and</w:t>
      </w:r>
    </w:p>
    <w:p w:rsidR="002041BD" w:rsidRPr="002041BD" w:rsidRDefault="002041BD" w:rsidP="002041BD">
      <w:pPr>
        <w:spacing w:after="60"/>
        <w:ind w:left="426" w:hanging="284"/>
        <w:rPr>
          <w:rFonts w:eastAsia="Times New Roman"/>
          <w:szCs w:val="17"/>
        </w:rPr>
      </w:pPr>
      <w:r w:rsidRPr="002041BD">
        <w:rPr>
          <w:rFonts w:eastAsia="Times New Roman"/>
          <w:szCs w:val="17"/>
        </w:rPr>
        <w:t>2.</w:t>
      </w:r>
      <w:r w:rsidRPr="002041BD">
        <w:rPr>
          <w:rFonts w:eastAsia="Times New Roman"/>
          <w:szCs w:val="17"/>
        </w:rPr>
        <w:tab/>
        <w:t>The exemption will lapse at the expiration date of the lease on 31 March 2026.</w:t>
      </w:r>
    </w:p>
    <w:p w:rsidR="002041BD" w:rsidRPr="002041BD" w:rsidRDefault="002041BD" w:rsidP="002041BD">
      <w:pPr>
        <w:spacing w:after="0"/>
        <w:rPr>
          <w:rFonts w:eastAsia="Times New Roman"/>
          <w:szCs w:val="17"/>
        </w:rPr>
      </w:pPr>
      <w:r w:rsidRPr="002041BD">
        <w:rPr>
          <w:rFonts w:eastAsia="Times New Roman"/>
          <w:szCs w:val="17"/>
        </w:rPr>
        <w:t>Dated: 15 April 2021</w:t>
      </w:r>
    </w:p>
    <w:p w:rsidR="002041BD" w:rsidRPr="002041BD" w:rsidRDefault="002041BD" w:rsidP="002041BD">
      <w:pPr>
        <w:spacing w:after="0"/>
        <w:jc w:val="right"/>
        <w:rPr>
          <w:rFonts w:eastAsia="Times New Roman"/>
          <w:smallCaps/>
          <w:szCs w:val="20"/>
        </w:rPr>
      </w:pPr>
      <w:r w:rsidRPr="002041BD">
        <w:rPr>
          <w:rFonts w:eastAsia="Times New Roman"/>
          <w:smallCaps/>
          <w:szCs w:val="20"/>
        </w:rPr>
        <w:t>John Chapman</w:t>
      </w:r>
    </w:p>
    <w:p w:rsidR="002041BD" w:rsidRPr="002041BD" w:rsidRDefault="002041BD" w:rsidP="002041BD">
      <w:pPr>
        <w:spacing w:after="0"/>
        <w:jc w:val="right"/>
        <w:rPr>
          <w:rFonts w:eastAsia="Times New Roman"/>
          <w:szCs w:val="17"/>
        </w:rPr>
      </w:pPr>
      <w:r w:rsidRPr="002041BD">
        <w:rPr>
          <w:rFonts w:eastAsia="Times New Roman"/>
          <w:szCs w:val="17"/>
        </w:rPr>
        <w:t>Small Business Commissioner</w:t>
      </w:r>
    </w:p>
    <w:p w:rsidR="002041BD" w:rsidRPr="002041BD" w:rsidRDefault="002041BD" w:rsidP="002041BD">
      <w:pPr>
        <w:pBdr>
          <w:top w:val="single" w:sz="4" w:space="1" w:color="auto"/>
        </w:pBdr>
        <w:spacing w:before="100" w:after="0" w:line="14" w:lineRule="exact"/>
        <w:jc w:val="center"/>
        <w:rPr>
          <w:rFonts w:eastAsia="Times New Roman"/>
          <w:szCs w:val="17"/>
        </w:rPr>
      </w:pPr>
    </w:p>
    <w:p w:rsidR="002041BD" w:rsidRDefault="002041BD">
      <w:pPr>
        <w:spacing w:after="0" w:line="240" w:lineRule="auto"/>
        <w:jc w:val="left"/>
        <w:rPr>
          <w:rFonts w:eastAsia="Times New Roman"/>
          <w:szCs w:val="17"/>
        </w:rPr>
      </w:pPr>
      <w:r>
        <w:rPr>
          <w:rFonts w:eastAsia="Times New Roman"/>
          <w:szCs w:val="17"/>
        </w:rPr>
        <w:br w:type="page"/>
      </w:r>
    </w:p>
    <w:p w:rsidR="00C56A50" w:rsidRPr="00C56A50" w:rsidRDefault="00C56A50" w:rsidP="00C56A50">
      <w:pPr>
        <w:jc w:val="center"/>
        <w:rPr>
          <w:caps/>
          <w:szCs w:val="17"/>
        </w:rPr>
      </w:pPr>
      <w:r w:rsidRPr="00C56A50">
        <w:rPr>
          <w:caps/>
          <w:szCs w:val="17"/>
        </w:rPr>
        <w:lastRenderedPageBreak/>
        <w:t>Retail and Commercial Leases Act 1995</w:t>
      </w:r>
    </w:p>
    <w:p w:rsidR="00C56A50" w:rsidRPr="00C56A50" w:rsidRDefault="00C56A50" w:rsidP="00C56A50">
      <w:pPr>
        <w:jc w:val="center"/>
        <w:rPr>
          <w:i/>
          <w:szCs w:val="17"/>
        </w:rPr>
      </w:pPr>
      <w:r w:rsidRPr="00C56A50">
        <w:rPr>
          <w:i/>
          <w:szCs w:val="17"/>
        </w:rPr>
        <w:t>Exemption</w:t>
      </w:r>
    </w:p>
    <w:p w:rsidR="00C56A50" w:rsidRPr="00C56A50" w:rsidRDefault="00C56A50" w:rsidP="00C56A50">
      <w:pPr>
        <w:rPr>
          <w:rFonts w:eastAsia="Times New Roman"/>
          <w:szCs w:val="17"/>
        </w:rPr>
      </w:pPr>
      <w:r w:rsidRPr="00C56A50">
        <w:rPr>
          <w:rFonts w:eastAsia="Times New Roman"/>
          <w:szCs w:val="17"/>
        </w:rPr>
        <w:t xml:space="preserve">PURSUANT to Section 77(2) of the </w:t>
      </w:r>
      <w:r w:rsidRPr="00C56A50">
        <w:rPr>
          <w:rFonts w:eastAsia="Times New Roman"/>
          <w:i/>
          <w:szCs w:val="17"/>
        </w:rPr>
        <w:t>Retail and Commercial Leases Act 1995</w:t>
      </w:r>
      <w:r w:rsidRPr="00C56A50">
        <w:rPr>
          <w:rFonts w:eastAsia="Times New Roman"/>
          <w:szCs w:val="17"/>
        </w:rPr>
        <w:t xml:space="preserve"> (SA) I, John Clifford Chapman, the Small Business Commissioner for the State of South Australia, EXEMPT the lease between the Premier for and on behalf of the Crown in right of the State of South Australia and Guildhouse Incorporated from the </w:t>
      </w:r>
      <w:r w:rsidRPr="00C56A50">
        <w:rPr>
          <w:rFonts w:eastAsia="Times New Roman"/>
          <w:i/>
          <w:szCs w:val="17"/>
        </w:rPr>
        <w:t>Retail and Commercial Leases Act 1995</w:t>
      </w:r>
      <w:r w:rsidRPr="00C56A50">
        <w:rPr>
          <w:rFonts w:eastAsia="Times New Roman"/>
          <w:szCs w:val="17"/>
        </w:rPr>
        <w:t xml:space="preserve"> (SA).</w:t>
      </w:r>
    </w:p>
    <w:p w:rsidR="00C56A50" w:rsidRPr="00C56A50" w:rsidRDefault="00C56A50" w:rsidP="00C56A50">
      <w:pPr>
        <w:rPr>
          <w:rFonts w:eastAsia="Times New Roman"/>
          <w:szCs w:val="17"/>
        </w:rPr>
      </w:pPr>
      <w:r w:rsidRPr="00C56A50">
        <w:rPr>
          <w:rFonts w:eastAsia="Times New Roman"/>
          <w:szCs w:val="17"/>
        </w:rPr>
        <w:t>This exemption is subject to the following conditions:</w:t>
      </w:r>
    </w:p>
    <w:p w:rsidR="00C56A50" w:rsidRPr="00C56A50" w:rsidRDefault="00C56A50" w:rsidP="00C56A50">
      <w:pPr>
        <w:ind w:left="426" w:hanging="284"/>
        <w:rPr>
          <w:rFonts w:eastAsia="Times New Roman"/>
          <w:szCs w:val="17"/>
        </w:rPr>
      </w:pPr>
      <w:r w:rsidRPr="00C56A50">
        <w:rPr>
          <w:rFonts w:eastAsia="Times New Roman"/>
          <w:szCs w:val="17"/>
        </w:rPr>
        <w:t>1.</w:t>
      </w:r>
      <w:r w:rsidRPr="00C56A50">
        <w:rPr>
          <w:rFonts w:eastAsia="Times New Roman"/>
          <w:szCs w:val="17"/>
        </w:rPr>
        <w:tab/>
        <w:t>The exemption may be revoked by the Small Business Commissioner at any time; and</w:t>
      </w:r>
    </w:p>
    <w:p w:rsidR="00C56A50" w:rsidRPr="00C56A50" w:rsidRDefault="00C56A50" w:rsidP="00C56A50">
      <w:pPr>
        <w:ind w:left="426" w:hanging="284"/>
        <w:rPr>
          <w:rFonts w:eastAsia="Times New Roman"/>
          <w:szCs w:val="17"/>
        </w:rPr>
      </w:pPr>
      <w:r w:rsidRPr="00C56A50">
        <w:rPr>
          <w:rFonts w:eastAsia="Times New Roman"/>
          <w:szCs w:val="17"/>
        </w:rPr>
        <w:t>2.</w:t>
      </w:r>
      <w:r w:rsidRPr="00C56A50">
        <w:rPr>
          <w:rFonts w:eastAsia="Times New Roman"/>
          <w:szCs w:val="17"/>
        </w:rPr>
        <w:tab/>
        <w:t>The exemption will lapse at the expiration date of the lease on 31 March 2026.</w:t>
      </w:r>
    </w:p>
    <w:p w:rsidR="00C56A50" w:rsidRPr="00C56A50" w:rsidRDefault="00C56A50" w:rsidP="00C56A50">
      <w:pPr>
        <w:spacing w:after="0"/>
        <w:rPr>
          <w:rFonts w:eastAsia="Times New Roman"/>
          <w:szCs w:val="17"/>
        </w:rPr>
      </w:pPr>
      <w:r w:rsidRPr="00C56A50">
        <w:rPr>
          <w:rFonts w:eastAsia="Times New Roman"/>
          <w:szCs w:val="17"/>
        </w:rPr>
        <w:t>Dated: 15 April 2021</w:t>
      </w:r>
    </w:p>
    <w:p w:rsidR="00C56A50" w:rsidRPr="00C56A50" w:rsidRDefault="00C56A50" w:rsidP="00C56A50">
      <w:pPr>
        <w:spacing w:after="0"/>
        <w:jc w:val="right"/>
        <w:rPr>
          <w:rFonts w:eastAsia="Times New Roman"/>
          <w:smallCaps/>
          <w:szCs w:val="20"/>
        </w:rPr>
      </w:pPr>
      <w:r w:rsidRPr="00C56A50">
        <w:rPr>
          <w:rFonts w:eastAsia="Times New Roman"/>
          <w:smallCaps/>
          <w:szCs w:val="20"/>
        </w:rPr>
        <w:t>John Chapman</w:t>
      </w:r>
    </w:p>
    <w:p w:rsidR="00C56A50" w:rsidRPr="00C56A50" w:rsidRDefault="00C56A50" w:rsidP="00C56A50">
      <w:pPr>
        <w:spacing w:after="0"/>
        <w:jc w:val="right"/>
        <w:rPr>
          <w:rFonts w:eastAsia="Times New Roman"/>
          <w:szCs w:val="17"/>
        </w:rPr>
      </w:pPr>
      <w:r w:rsidRPr="00C56A50">
        <w:rPr>
          <w:rFonts w:eastAsia="Times New Roman"/>
          <w:szCs w:val="17"/>
        </w:rPr>
        <w:t>Small Business Commissioner</w:t>
      </w:r>
    </w:p>
    <w:p w:rsidR="00C56A50" w:rsidRPr="00C56A50" w:rsidRDefault="00C56A50" w:rsidP="00C56A50">
      <w:pPr>
        <w:pBdr>
          <w:top w:val="single" w:sz="4" w:space="1" w:color="auto"/>
        </w:pBdr>
        <w:spacing w:before="100" w:after="0" w:line="14" w:lineRule="exact"/>
        <w:jc w:val="center"/>
        <w:rPr>
          <w:rFonts w:eastAsia="Times New Roman"/>
          <w:szCs w:val="17"/>
        </w:rPr>
      </w:pPr>
    </w:p>
    <w:p w:rsidR="00C56A50" w:rsidRPr="00C56A50" w:rsidRDefault="00C56A50" w:rsidP="00C56A50">
      <w:pPr>
        <w:spacing w:after="0"/>
        <w:rPr>
          <w:rFonts w:eastAsia="Times New Roman"/>
          <w:szCs w:val="17"/>
        </w:rPr>
      </w:pPr>
    </w:p>
    <w:p w:rsidR="00C56A50" w:rsidRPr="00C56A50" w:rsidRDefault="00C56A50" w:rsidP="00C56A50">
      <w:pPr>
        <w:jc w:val="center"/>
        <w:rPr>
          <w:caps/>
          <w:szCs w:val="17"/>
        </w:rPr>
      </w:pPr>
      <w:r w:rsidRPr="00C56A50">
        <w:rPr>
          <w:caps/>
          <w:szCs w:val="17"/>
        </w:rPr>
        <w:t>Retail and Commercial Leases Act 1995</w:t>
      </w:r>
    </w:p>
    <w:p w:rsidR="00C56A50" w:rsidRPr="00C56A50" w:rsidRDefault="00C56A50" w:rsidP="00C56A50">
      <w:pPr>
        <w:jc w:val="center"/>
        <w:rPr>
          <w:i/>
          <w:szCs w:val="17"/>
        </w:rPr>
      </w:pPr>
      <w:r w:rsidRPr="00C56A50">
        <w:rPr>
          <w:i/>
          <w:szCs w:val="17"/>
        </w:rPr>
        <w:t>Exemption</w:t>
      </w:r>
    </w:p>
    <w:p w:rsidR="00C56A50" w:rsidRPr="00C56A50" w:rsidRDefault="00C56A50" w:rsidP="00C56A50">
      <w:pPr>
        <w:rPr>
          <w:rFonts w:eastAsia="Times New Roman"/>
          <w:spacing w:val="-2"/>
          <w:szCs w:val="17"/>
        </w:rPr>
      </w:pPr>
      <w:r w:rsidRPr="00C56A50">
        <w:rPr>
          <w:rFonts w:eastAsia="Times New Roman"/>
          <w:szCs w:val="17"/>
        </w:rPr>
        <w:t xml:space="preserve">PURSUANT to Section 77(2) of the </w:t>
      </w:r>
      <w:r w:rsidRPr="00C56A50">
        <w:rPr>
          <w:rFonts w:eastAsia="Times New Roman"/>
          <w:i/>
          <w:szCs w:val="17"/>
        </w:rPr>
        <w:t>Retail and Commercial Leases Act 1995</w:t>
      </w:r>
      <w:r w:rsidRPr="00C56A50">
        <w:rPr>
          <w:rFonts w:eastAsia="Times New Roman"/>
          <w:szCs w:val="17"/>
        </w:rPr>
        <w:t xml:space="preserve"> (SA) I, John Clifford Chapman, the Small Business Commissioner for the State of South Australia, EXEMPT the lease between the Premier for and on behalf of the Crown in right of the </w:t>
      </w:r>
      <w:r w:rsidRPr="00C56A50">
        <w:rPr>
          <w:rFonts w:eastAsia="Times New Roman"/>
          <w:spacing w:val="-2"/>
          <w:szCs w:val="17"/>
        </w:rPr>
        <w:t xml:space="preserve">State of South Australia and JamFactory Contemporary Craft &amp; Design Incorporated from the </w:t>
      </w:r>
      <w:r w:rsidRPr="00C56A50">
        <w:rPr>
          <w:rFonts w:eastAsia="Times New Roman"/>
          <w:i/>
          <w:spacing w:val="-2"/>
          <w:szCs w:val="17"/>
        </w:rPr>
        <w:t>Retail and Commercial Leases Act 1995</w:t>
      </w:r>
      <w:r w:rsidRPr="00C56A50">
        <w:rPr>
          <w:rFonts w:eastAsia="Times New Roman"/>
          <w:spacing w:val="-2"/>
          <w:szCs w:val="17"/>
        </w:rPr>
        <w:t xml:space="preserve"> (SA).</w:t>
      </w:r>
    </w:p>
    <w:p w:rsidR="00C56A50" w:rsidRPr="00C56A50" w:rsidRDefault="00C56A50" w:rsidP="00C56A50">
      <w:pPr>
        <w:rPr>
          <w:rFonts w:eastAsia="Times New Roman"/>
          <w:szCs w:val="17"/>
        </w:rPr>
      </w:pPr>
      <w:r w:rsidRPr="00C56A50">
        <w:rPr>
          <w:rFonts w:eastAsia="Times New Roman"/>
          <w:szCs w:val="17"/>
        </w:rPr>
        <w:t>This exemption is subject to the following conditions:</w:t>
      </w:r>
    </w:p>
    <w:p w:rsidR="00C56A50" w:rsidRPr="00C56A50" w:rsidRDefault="00C56A50" w:rsidP="00C56A50">
      <w:pPr>
        <w:ind w:left="426" w:hanging="284"/>
        <w:rPr>
          <w:rFonts w:eastAsia="Times New Roman"/>
          <w:szCs w:val="17"/>
        </w:rPr>
      </w:pPr>
      <w:r w:rsidRPr="00C56A50">
        <w:rPr>
          <w:rFonts w:eastAsia="Times New Roman"/>
          <w:szCs w:val="17"/>
        </w:rPr>
        <w:t>1.</w:t>
      </w:r>
      <w:r w:rsidRPr="00C56A50">
        <w:rPr>
          <w:rFonts w:eastAsia="Times New Roman"/>
          <w:szCs w:val="17"/>
        </w:rPr>
        <w:tab/>
        <w:t>The exemption may be revoked by the Small Business Commissioner at any time; and</w:t>
      </w:r>
    </w:p>
    <w:p w:rsidR="00C56A50" w:rsidRPr="00C56A50" w:rsidRDefault="00C56A50" w:rsidP="00C56A50">
      <w:pPr>
        <w:ind w:left="426" w:hanging="284"/>
        <w:rPr>
          <w:rFonts w:eastAsia="Times New Roman"/>
          <w:szCs w:val="17"/>
        </w:rPr>
      </w:pPr>
      <w:r w:rsidRPr="00C56A50">
        <w:rPr>
          <w:rFonts w:eastAsia="Times New Roman"/>
          <w:szCs w:val="17"/>
        </w:rPr>
        <w:t>2.</w:t>
      </w:r>
      <w:r w:rsidRPr="00C56A50">
        <w:rPr>
          <w:rFonts w:eastAsia="Times New Roman"/>
          <w:szCs w:val="17"/>
        </w:rPr>
        <w:tab/>
        <w:t>The exemption will lapse at the expiration date of the lease on 31 March 2026.</w:t>
      </w:r>
    </w:p>
    <w:p w:rsidR="00C56A50" w:rsidRPr="00C56A50" w:rsidRDefault="00C56A50" w:rsidP="00C56A50">
      <w:pPr>
        <w:spacing w:after="0"/>
        <w:rPr>
          <w:rFonts w:eastAsia="Times New Roman"/>
          <w:szCs w:val="17"/>
        </w:rPr>
      </w:pPr>
      <w:r w:rsidRPr="00C56A50">
        <w:rPr>
          <w:rFonts w:eastAsia="Times New Roman"/>
          <w:szCs w:val="17"/>
        </w:rPr>
        <w:t>Dated: 15 April 2021</w:t>
      </w:r>
    </w:p>
    <w:p w:rsidR="00C56A50" w:rsidRPr="00C56A50" w:rsidRDefault="00C56A50" w:rsidP="00C56A50">
      <w:pPr>
        <w:spacing w:after="0"/>
        <w:jc w:val="right"/>
        <w:rPr>
          <w:rFonts w:eastAsia="Times New Roman"/>
          <w:smallCaps/>
          <w:szCs w:val="20"/>
        </w:rPr>
      </w:pPr>
      <w:r w:rsidRPr="00C56A50">
        <w:rPr>
          <w:rFonts w:eastAsia="Times New Roman"/>
          <w:smallCaps/>
          <w:szCs w:val="20"/>
        </w:rPr>
        <w:t>John Chapman</w:t>
      </w:r>
    </w:p>
    <w:p w:rsidR="00C56A50" w:rsidRPr="00C56A50" w:rsidRDefault="00C56A50" w:rsidP="00C56A50">
      <w:pPr>
        <w:spacing w:after="0"/>
        <w:jc w:val="right"/>
        <w:rPr>
          <w:rFonts w:eastAsia="Times New Roman"/>
          <w:szCs w:val="17"/>
        </w:rPr>
      </w:pPr>
      <w:r w:rsidRPr="00C56A50">
        <w:rPr>
          <w:rFonts w:eastAsia="Times New Roman"/>
          <w:szCs w:val="17"/>
        </w:rPr>
        <w:t>Small Business Commissioner</w:t>
      </w:r>
    </w:p>
    <w:p w:rsidR="00C56A50" w:rsidRPr="00C56A50" w:rsidRDefault="00C56A50" w:rsidP="00C56A50">
      <w:pPr>
        <w:pBdr>
          <w:top w:val="single" w:sz="4" w:space="1" w:color="auto"/>
        </w:pBdr>
        <w:spacing w:before="100" w:after="0" w:line="14" w:lineRule="exact"/>
        <w:jc w:val="center"/>
        <w:rPr>
          <w:rFonts w:eastAsia="Times New Roman"/>
          <w:szCs w:val="17"/>
        </w:rPr>
      </w:pPr>
    </w:p>
    <w:p w:rsidR="00C56A50" w:rsidRPr="00C56A50" w:rsidRDefault="00C56A50" w:rsidP="00C56A50">
      <w:pPr>
        <w:spacing w:after="0"/>
        <w:rPr>
          <w:rFonts w:eastAsia="Times New Roman"/>
          <w:szCs w:val="17"/>
        </w:rPr>
      </w:pPr>
    </w:p>
    <w:p w:rsidR="00C56A50" w:rsidRPr="00C56A50" w:rsidRDefault="00C56A50" w:rsidP="00C56A50">
      <w:pPr>
        <w:jc w:val="center"/>
        <w:rPr>
          <w:caps/>
          <w:szCs w:val="17"/>
        </w:rPr>
      </w:pPr>
      <w:r w:rsidRPr="00C56A50">
        <w:rPr>
          <w:caps/>
          <w:szCs w:val="17"/>
        </w:rPr>
        <w:t>Retail and Commercial Leases Act 1995</w:t>
      </w:r>
    </w:p>
    <w:p w:rsidR="00C56A50" w:rsidRPr="00C56A50" w:rsidRDefault="00C56A50" w:rsidP="00C56A50">
      <w:pPr>
        <w:jc w:val="center"/>
        <w:rPr>
          <w:i/>
          <w:szCs w:val="17"/>
        </w:rPr>
      </w:pPr>
      <w:r w:rsidRPr="00C56A50">
        <w:rPr>
          <w:i/>
          <w:szCs w:val="17"/>
        </w:rPr>
        <w:t>Exemption</w:t>
      </w:r>
    </w:p>
    <w:p w:rsidR="00C56A50" w:rsidRPr="00C56A50" w:rsidRDefault="00C56A50" w:rsidP="00C56A50">
      <w:pPr>
        <w:rPr>
          <w:rFonts w:eastAsia="Times New Roman"/>
          <w:szCs w:val="17"/>
        </w:rPr>
      </w:pPr>
      <w:r w:rsidRPr="00C56A50">
        <w:rPr>
          <w:rFonts w:eastAsia="Times New Roman"/>
          <w:szCs w:val="17"/>
        </w:rPr>
        <w:t xml:space="preserve">PURSUANT to Section 77(2) of the </w:t>
      </w:r>
      <w:r w:rsidRPr="00C56A50">
        <w:rPr>
          <w:rFonts w:eastAsia="Times New Roman"/>
          <w:i/>
          <w:szCs w:val="17"/>
        </w:rPr>
        <w:t>Retail and Commercial Leases Act 1995</w:t>
      </w:r>
      <w:r w:rsidRPr="00C56A50">
        <w:rPr>
          <w:rFonts w:eastAsia="Times New Roman"/>
          <w:szCs w:val="17"/>
        </w:rPr>
        <w:t xml:space="preserve"> (SA) I, John Clifford Chapman, the Small Business Commissioner for the State of South Australia, EXEMPT the lease between the Premier for and on behalf of the Crown in right of the State of South Australia and Media Resource Centre Inc from the </w:t>
      </w:r>
      <w:r w:rsidRPr="00C56A50">
        <w:rPr>
          <w:rFonts w:eastAsia="Times New Roman"/>
          <w:i/>
          <w:szCs w:val="17"/>
        </w:rPr>
        <w:t>Retail and Commercial Leases Act 1995</w:t>
      </w:r>
      <w:r w:rsidRPr="00C56A50">
        <w:rPr>
          <w:rFonts w:eastAsia="Times New Roman"/>
          <w:szCs w:val="17"/>
        </w:rPr>
        <w:t xml:space="preserve"> (SA).</w:t>
      </w:r>
    </w:p>
    <w:p w:rsidR="00C56A50" w:rsidRPr="00C56A50" w:rsidRDefault="00C56A50" w:rsidP="00C56A50">
      <w:pPr>
        <w:rPr>
          <w:rFonts w:eastAsia="Times New Roman"/>
          <w:szCs w:val="17"/>
        </w:rPr>
      </w:pPr>
      <w:r w:rsidRPr="00C56A50">
        <w:rPr>
          <w:rFonts w:eastAsia="Times New Roman"/>
          <w:szCs w:val="17"/>
        </w:rPr>
        <w:t>This exemption is subject to the following conditions:</w:t>
      </w:r>
    </w:p>
    <w:p w:rsidR="00C56A50" w:rsidRPr="00C56A50" w:rsidRDefault="00C56A50" w:rsidP="00C56A50">
      <w:pPr>
        <w:ind w:left="426" w:hanging="284"/>
        <w:rPr>
          <w:rFonts w:eastAsia="Times New Roman"/>
          <w:szCs w:val="17"/>
        </w:rPr>
      </w:pPr>
      <w:r w:rsidRPr="00C56A50">
        <w:rPr>
          <w:rFonts w:eastAsia="Times New Roman"/>
          <w:szCs w:val="17"/>
        </w:rPr>
        <w:t>1.</w:t>
      </w:r>
      <w:r w:rsidRPr="00C56A50">
        <w:rPr>
          <w:rFonts w:eastAsia="Times New Roman"/>
          <w:szCs w:val="17"/>
        </w:rPr>
        <w:tab/>
        <w:t>The exemption may be revoked by the Small Business Commissioner at any time; and</w:t>
      </w:r>
    </w:p>
    <w:p w:rsidR="00C56A50" w:rsidRPr="00C56A50" w:rsidRDefault="00C56A50" w:rsidP="00C56A50">
      <w:pPr>
        <w:ind w:left="426" w:hanging="284"/>
        <w:rPr>
          <w:rFonts w:eastAsia="Times New Roman"/>
          <w:szCs w:val="17"/>
        </w:rPr>
      </w:pPr>
      <w:r w:rsidRPr="00C56A50">
        <w:rPr>
          <w:rFonts w:eastAsia="Times New Roman"/>
          <w:szCs w:val="17"/>
        </w:rPr>
        <w:t>2.</w:t>
      </w:r>
      <w:r w:rsidRPr="00C56A50">
        <w:rPr>
          <w:rFonts w:eastAsia="Times New Roman"/>
          <w:szCs w:val="17"/>
        </w:rPr>
        <w:tab/>
        <w:t>The exemption will lapse at the expiration date of the lease on 31 March 2026.</w:t>
      </w:r>
    </w:p>
    <w:p w:rsidR="00C56A50" w:rsidRPr="00C56A50" w:rsidRDefault="00C56A50" w:rsidP="00C56A50">
      <w:pPr>
        <w:spacing w:after="0"/>
        <w:rPr>
          <w:rFonts w:eastAsia="Times New Roman"/>
          <w:szCs w:val="17"/>
        </w:rPr>
      </w:pPr>
      <w:r w:rsidRPr="00C56A50">
        <w:rPr>
          <w:rFonts w:eastAsia="Times New Roman"/>
          <w:szCs w:val="17"/>
        </w:rPr>
        <w:t>Dated: 15 April 2021</w:t>
      </w:r>
    </w:p>
    <w:p w:rsidR="00C56A50" w:rsidRPr="00C56A50" w:rsidRDefault="00C56A50" w:rsidP="00C56A50">
      <w:pPr>
        <w:spacing w:after="0"/>
        <w:jc w:val="right"/>
        <w:rPr>
          <w:rFonts w:eastAsia="Times New Roman"/>
          <w:smallCaps/>
          <w:szCs w:val="20"/>
        </w:rPr>
      </w:pPr>
      <w:r w:rsidRPr="00C56A50">
        <w:rPr>
          <w:rFonts w:eastAsia="Times New Roman"/>
          <w:smallCaps/>
          <w:szCs w:val="20"/>
        </w:rPr>
        <w:t>John Chapman</w:t>
      </w:r>
    </w:p>
    <w:p w:rsidR="00C56A50" w:rsidRPr="00C56A50" w:rsidRDefault="00C56A50" w:rsidP="00C56A50">
      <w:pPr>
        <w:spacing w:after="0"/>
        <w:jc w:val="right"/>
        <w:rPr>
          <w:rFonts w:eastAsia="Times New Roman"/>
          <w:szCs w:val="17"/>
        </w:rPr>
      </w:pPr>
      <w:r w:rsidRPr="00C56A50">
        <w:rPr>
          <w:rFonts w:eastAsia="Times New Roman"/>
          <w:szCs w:val="17"/>
        </w:rPr>
        <w:t>Small Business Commissioner</w:t>
      </w:r>
    </w:p>
    <w:p w:rsidR="00C56A50" w:rsidRPr="00C56A50" w:rsidRDefault="00C56A50" w:rsidP="00C56A50">
      <w:pPr>
        <w:pBdr>
          <w:top w:val="single" w:sz="4" w:space="1" w:color="auto"/>
        </w:pBdr>
        <w:spacing w:before="100" w:after="0" w:line="14" w:lineRule="exact"/>
        <w:jc w:val="center"/>
        <w:rPr>
          <w:rFonts w:eastAsia="Times New Roman"/>
          <w:szCs w:val="17"/>
        </w:rPr>
      </w:pPr>
    </w:p>
    <w:p w:rsidR="00C56A50" w:rsidRPr="00C56A50" w:rsidRDefault="00C56A50" w:rsidP="00C56A50">
      <w:pPr>
        <w:spacing w:after="0"/>
        <w:rPr>
          <w:rFonts w:eastAsia="Times New Roman"/>
          <w:szCs w:val="17"/>
        </w:rPr>
      </w:pPr>
    </w:p>
    <w:p w:rsidR="00C56A50" w:rsidRPr="00C56A50" w:rsidRDefault="00C56A50" w:rsidP="00C56A50">
      <w:pPr>
        <w:jc w:val="center"/>
        <w:rPr>
          <w:caps/>
          <w:szCs w:val="17"/>
        </w:rPr>
      </w:pPr>
      <w:r w:rsidRPr="00C56A50">
        <w:rPr>
          <w:caps/>
          <w:szCs w:val="17"/>
        </w:rPr>
        <w:t>Retail and Commercial Leases Act 1995</w:t>
      </w:r>
    </w:p>
    <w:p w:rsidR="00C56A50" w:rsidRPr="00C56A50" w:rsidRDefault="00C56A50" w:rsidP="00C56A50">
      <w:pPr>
        <w:jc w:val="center"/>
        <w:rPr>
          <w:i/>
          <w:szCs w:val="17"/>
        </w:rPr>
      </w:pPr>
      <w:r w:rsidRPr="00C56A50">
        <w:rPr>
          <w:i/>
          <w:szCs w:val="17"/>
        </w:rPr>
        <w:t>Exemption</w:t>
      </w:r>
    </w:p>
    <w:p w:rsidR="00C56A50" w:rsidRPr="00C56A50" w:rsidRDefault="00C56A50" w:rsidP="00C56A50">
      <w:pPr>
        <w:rPr>
          <w:rFonts w:eastAsia="Times New Roman"/>
          <w:szCs w:val="17"/>
        </w:rPr>
      </w:pPr>
      <w:r w:rsidRPr="00C56A50">
        <w:rPr>
          <w:rFonts w:eastAsia="Times New Roman"/>
          <w:szCs w:val="17"/>
        </w:rPr>
        <w:t xml:space="preserve">PURSUANT to Section 77(2) of the </w:t>
      </w:r>
      <w:r w:rsidRPr="00C56A50">
        <w:rPr>
          <w:rFonts w:eastAsia="Times New Roman"/>
          <w:i/>
          <w:szCs w:val="17"/>
        </w:rPr>
        <w:t>Retail and Commercial Leases Act 1995</w:t>
      </w:r>
      <w:r w:rsidRPr="00C56A50">
        <w:rPr>
          <w:rFonts w:eastAsia="Times New Roman"/>
          <w:szCs w:val="17"/>
        </w:rPr>
        <w:t xml:space="preserve"> (SA) I, John Clifford Chapman, the Small Business Commissioner for the State of South Australia, EXEMPT the lease between the Premier for and on behalf of the Crown in right of the State of South Australia and Nexus Multicultural Arts Centre Inc from the </w:t>
      </w:r>
      <w:r w:rsidRPr="00C56A50">
        <w:rPr>
          <w:rFonts w:eastAsia="Times New Roman"/>
          <w:i/>
          <w:szCs w:val="17"/>
        </w:rPr>
        <w:t>Retail and Commercial Leases Act 1995</w:t>
      </w:r>
      <w:r w:rsidRPr="00C56A50">
        <w:rPr>
          <w:rFonts w:eastAsia="Times New Roman"/>
          <w:szCs w:val="17"/>
        </w:rPr>
        <w:t xml:space="preserve"> (SA).</w:t>
      </w:r>
    </w:p>
    <w:p w:rsidR="00C56A50" w:rsidRPr="00C56A50" w:rsidRDefault="00C56A50" w:rsidP="00C56A50">
      <w:pPr>
        <w:rPr>
          <w:rFonts w:eastAsia="Times New Roman"/>
          <w:szCs w:val="17"/>
        </w:rPr>
      </w:pPr>
      <w:r w:rsidRPr="00C56A50">
        <w:rPr>
          <w:rFonts w:eastAsia="Times New Roman"/>
          <w:szCs w:val="17"/>
        </w:rPr>
        <w:t>This exemption is subject to the following conditions:</w:t>
      </w:r>
    </w:p>
    <w:p w:rsidR="00C56A50" w:rsidRPr="00C56A50" w:rsidRDefault="00C56A50" w:rsidP="00C56A50">
      <w:pPr>
        <w:ind w:left="426" w:hanging="284"/>
        <w:rPr>
          <w:rFonts w:eastAsia="Times New Roman"/>
          <w:szCs w:val="17"/>
        </w:rPr>
      </w:pPr>
      <w:r w:rsidRPr="00C56A50">
        <w:rPr>
          <w:rFonts w:eastAsia="Times New Roman"/>
          <w:szCs w:val="17"/>
        </w:rPr>
        <w:t>1.</w:t>
      </w:r>
      <w:r w:rsidRPr="00C56A50">
        <w:rPr>
          <w:rFonts w:eastAsia="Times New Roman"/>
          <w:szCs w:val="17"/>
        </w:rPr>
        <w:tab/>
        <w:t>The exemption may be revoked by the Small Business Commissioner at any time; and</w:t>
      </w:r>
    </w:p>
    <w:p w:rsidR="00C56A50" w:rsidRPr="00C56A50" w:rsidRDefault="00C56A50" w:rsidP="00C56A50">
      <w:pPr>
        <w:ind w:left="426" w:hanging="284"/>
        <w:rPr>
          <w:rFonts w:eastAsia="Times New Roman"/>
          <w:szCs w:val="17"/>
        </w:rPr>
      </w:pPr>
      <w:r w:rsidRPr="00C56A50">
        <w:rPr>
          <w:rFonts w:eastAsia="Times New Roman"/>
          <w:szCs w:val="17"/>
        </w:rPr>
        <w:t>2.</w:t>
      </w:r>
      <w:r w:rsidRPr="00C56A50">
        <w:rPr>
          <w:rFonts w:eastAsia="Times New Roman"/>
          <w:szCs w:val="17"/>
        </w:rPr>
        <w:tab/>
        <w:t>The exemption will lapse at the expiration date of the lease on 31 March 2026.</w:t>
      </w:r>
    </w:p>
    <w:p w:rsidR="00C56A50" w:rsidRPr="00C56A50" w:rsidRDefault="00C56A50" w:rsidP="00C56A50">
      <w:pPr>
        <w:spacing w:after="0"/>
        <w:rPr>
          <w:rFonts w:eastAsia="Times New Roman"/>
          <w:szCs w:val="17"/>
        </w:rPr>
      </w:pPr>
      <w:r w:rsidRPr="00C56A50">
        <w:rPr>
          <w:rFonts w:eastAsia="Times New Roman"/>
          <w:szCs w:val="17"/>
        </w:rPr>
        <w:t>Dated: 15 April 2021</w:t>
      </w:r>
    </w:p>
    <w:p w:rsidR="00C56A50" w:rsidRPr="00C56A50" w:rsidRDefault="00C56A50" w:rsidP="00C56A50">
      <w:pPr>
        <w:spacing w:after="0"/>
        <w:jc w:val="right"/>
        <w:rPr>
          <w:rFonts w:eastAsia="Times New Roman"/>
          <w:smallCaps/>
          <w:szCs w:val="20"/>
        </w:rPr>
      </w:pPr>
      <w:r w:rsidRPr="00C56A50">
        <w:rPr>
          <w:rFonts w:eastAsia="Times New Roman"/>
          <w:smallCaps/>
          <w:szCs w:val="20"/>
        </w:rPr>
        <w:t>John Chapman</w:t>
      </w:r>
    </w:p>
    <w:p w:rsidR="002041BD" w:rsidRDefault="00C56A50" w:rsidP="004E2DE5">
      <w:pPr>
        <w:spacing w:after="0"/>
        <w:jc w:val="right"/>
        <w:rPr>
          <w:rFonts w:eastAsia="Times New Roman"/>
          <w:szCs w:val="17"/>
        </w:rPr>
      </w:pPr>
      <w:r w:rsidRPr="00C56A50">
        <w:rPr>
          <w:rFonts w:eastAsia="Times New Roman"/>
          <w:szCs w:val="17"/>
        </w:rPr>
        <w:t>Small Business Commissioner</w:t>
      </w:r>
    </w:p>
    <w:p w:rsidR="004E2DE5" w:rsidRDefault="004E2DE5" w:rsidP="004E2DE5">
      <w:pPr>
        <w:pBdr>
          <w:bottom w:val="single" w:sz="4" w:space="1" w:color="auto"/>
        </w:pBdr>
        <w:spacing w:after="0" w:line="52" w:lineRule="exact"/>
        <w:jc w:val="center"/>
        <w:rPr>
          <w:rFonts w:eastAsia="Times New Roman"/>
          <w:szCs w:val="17"/>
        </w:rPr>
      </w:pPr>
    </w:p>
    <w:p w:rsidR="004E2DE5" w:rsidRDefault="004E2DE5" w:rsidP="004E2DE5">
      <w:pPr>
        <w:pBdr>
          <w:top w:val="single" w:sz="4" w:space="1" w:color="auto"/>
        </w:pBdr>
        <w:spacing w:before="34" w:after="0" w:line="14" w:lineRule="exact"/>
        <w:jc w:val="center"/>
        <w:rPr>
          <w:rFonts w:eastAsia="Times New Roman"/>
          <w:szCs w:val="17"/>
        </w:rPr>
      </w:pPr>
    </w:p>
    <w:p w:rsidR="004E2DE5" w:rsidRPr="002041BD" w:rsidRDefault="004E2DE5" w:rsidP="004E2DE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B3FB4" w:rsidRPr="004B3FB4" w:rsidRDefault="004B3FB4" w:rsidP="00051940">
      <w:pPr>
        <w:pStyle w:val="Heading2"/>
      </w:pPr>
      <w:bookmarkStart w:id="47" w:name="_Toc69916978"/>
      <w:r w:rsidRPr="004B3FB4">
        <w:t>Roads (Opening and Closing) Act 1991</w:t>
      </w:r>
      <w:bookmarkEnd w:id="47"/>
    </w:p>
    <w:p w:rsidR="004B3FB4" w:rsidRPr="004B3FB4" w:rsidRDefault="004B3FB4" w:rsidP="004B3FB4">
      <w:pPr>
        <w:jc w:val="center"/>
        <w:rPr>
          <w:smallCaps/>
          <w:szCs w:val="17"/>
        </w:rPr>
      </w:pPr>
      <w:r w:rsidRPr="004B3FB4">
        <w:rPr>
          <w:smallCaps/>
          <w:szCs w:val="17"/>
        </w:rPr>
        <w:t>Section 24</w:t>
      </w:r>
    </w:p>
    <w:p w:rsidR="004B3FB4" w:rsidRPr="004B3FB4" w:rsidRDefault="004B3FB4" w:rsidP="004B3FB4">
      <w:pPr>
        <w:jc w:val="center"/>
        <w:rPr>
          <w:b/>
          <w:caps/>
          <w:szCs w:val="17"/>
        </w:rPr>
      </w:pPr>
      <w:r w:rsidRPr="004B3FB4">
        <w:rPr>
          <w:b/>
          <w:caps/>
          <w:szCs w:val="17"/>
        </w:rPr>
        <w:t xml:space="preserve">Notice of Confirmation of </w:t>
      </w:r>
      <w:r w:rsidRPr="004B3FB4">
        <w:rPr>
          <w:b/>
          <w:caps/>
          <w:szCs w:val="17"/>
        </w:rPr>
        <w:br/>
        <w:t>Road Process Order</w:t>
      </w:r>
    </w:p>
    <w:p w:rsidR="004B3FB4" w:rsidRPr="004B3FB4" w:rsidRDefault="004B3FB4" w:rsidP="004B3FB4">
      <w:pPr>
        <w:jc w:val="center"/>
        <w:rPr>
          <w:i/>
          <w:szCs w:val="17"/>
        </w:rPr>
      </w:pPr>
      <w:r w:rsidRPr="004B3FB4">
        <w:rPr>
          <w:i/>
          <w:szCs w:val="17"/>
        </w:rPr>
        <w:t>Road Closure—Public Road, Beaufort and South Hummocks</w:t>
      </w:r>
    </w:p>
    <w:p w:rsidR="004B3FB4" w:rsidRPr="004B3FB4" w:rsidRDefault="004B3FB4" w:rsidP="004B3FB4">
      <w:pPr>
        <w:rPr>
          <w:rFonts w:eastAsia="Times New Roman"/>
          <w:szCs w:val="17"/>
        </w:rPr>
      </w:pPr>
      <w:r w:rsidRPr="004B3FB4">
        <w:rPr>
          <w:rFonts w:eastAsia="Times New Roman"/>
          <w:szCs w:val="17"/>
        </w:rPr>
        <w:t>BY Road Process Order made on 9 February 2021, the Wakefield Regional Council ordered that:</w:t>
      </w:r>
    </w:p>
    <w:p w:rsidR="004B3FB4" w:rsidRPr="004B3FB4" w:rsidRDefault="004B3FB4" w:rsidP="004B3FB4">
      <w:pPr>
        <w:ind w:left="426" w:hanging="284"/>
        <w:rPr>
          <w:rFonts w:eastAsia="Times New Roman"/>
          <w:spacing w:val="-2"/>
          <w:szCs w:val="17"/>
        </w:rPr>
      </w:pPr>
      <w:r w:rsidRPr="004B3FB4">
        <w:rPr>
          <w:rFonts w:eastAsia="Times New Roman"/>
          <w:szCs w:val="17"/>
        </w:rPr>
        <w:t>1.</w:t>
      </w:r>
      <w:r w:rsidRPr="004B3FB4">
        <w:rPr>
          <w:rFonts w:eastAsia="Times New Roman"/>
          <w:szCs w:val="17"/>
        </w:rPr>
        <w:tab/>
      </w:r>
      <w:r w:rsidRPr="004B3FB4">
        <w:rPr>
          <w:rFonts w:eastAsia="Times New Roman"/>
          <w:spacing w:val="-2"/>
          <w:szCs w:val="17"/>
        </w:rPr>
        <w:t xml:space="preserve">Portion of the Public Road, Beaufort and South Hummocks, situated adjoining the northern boundary of Section 183, Hundred of Clinton, </w:t>
      </w:r>
      <w:r w:rsidRPr="004B3FB4">
        <w:rPr>
          <w:rFonts w:eastAsia="Times New Roman"/>
          <w:szCs w:val="17"/>
        </w:rPr>
        <w:t>more particularly delineated and lettered ‘A’ in Preliminary Plan 20/0026 be closed.</w:t>
      </w:r>
    </w:p>
    <w:p w:rsidR="004B3FB4" w:rsidRPr="004B3FB4" w:rsidRDefault="004B3FB4" w:rsidP="004B3FB4">
      <w:pPr>
        <w:ind w:left="426" w:hanging="284"/>
        <w:rPr>
          <w:rFonts w:eastAsia="Times New Roman"/>
          <w:szCs w:val="17"/>
        </w:rPr>
      </w:pPr>
      <w:r w:rsidRPr="004B3FB4">
        <w:rPr>
          <w:rFonts w:eastAsia="Times New Roman"/>
          <w:szCs w:val="17"/>
        </w:rPr>
        <w:t>2.</w:t>
      </w:r>
      <w:r w:rsidRPr="004B3FB4">
        <w:rPr>
          <w:rFonts w:eastAsia="Times New Roman"/>
          <w:szCs w:val="17"/>
        </w:rPr>
        <w:tab/>
        <w:t>Transfer the whole of the land subject to closure to Top of the Gulf Enterprises Pty Ltd (ACN: 144 048 564) in accordance with the Agreement for Transfer dated 21 November 2020 entered into between the Wakefield Regional Council and Top of the Gulf Enterprises Pty Ltd (ACN: 144 048 564).</w:t>
      </w:r>
    </w:p>
    <w:p w:rsidR="004B3FB4" w:rsidRPr="004B3FB4" w:rsidRDefault="004B3FB4" w:rsidP="004B3FB4">
      <w:pPr>
        <w:ind w:left="426" w:hanging="284"/>
        <w:rPr>
          <w:rFonts w:eastAsia="Times New Roman"/>
          <w:szCs w:val="17"/>
        </w:rPr>
      </w:pPr>
      <w:r w:rsidRPr="004B3FB4">
        <w:rPr>
          <w:rFonts w:eastAsia="Times New Roman"/>
          <w:szCs w:val="17"/>
        </w:rPr>
        <w:t>3.</w:t>
      </w:r>
      <w:r w:rsidRPr="004B3FB4">
        <w:rPr>
          <w:rFonts w:eastAsia="Times New Roman"/>
          <w:szCs w:val="17"/>
        </w:rPr>
        <w:tab/>
        <w:t>The following easement is to be granted over portion of the land subject to closure:</w:t>
      </w:r>
    </w:p>
    <w:p w:rsidR="004B3FB4" w:rsidRPr="004B3FB4" w:rsidRDefault="004B3FB4" w:rsidP="004B3FB4">
      <w:pPr>
        <w:ind w:left="426"/>
        <w:rPr>
          <w:rFonts w:eastAsia="Times New Roman"/>
          <w:szCs w:val="17"/>
        </w:rPr>
      </w:pPr>
      <w:r w:rsidRPr="004B3FB4">
        <w:rPr>
          <w:rFonts w:eastAsia="Times New Roman"/>
          <w:szCs w:val="17"/>
        </w:rPr>
        <w:t>Grant to the Wakefield Regional Council an easement for infrastructure purposes over the land marked ‘B’ in Deposited Plan 126248.</w:t>
      </w:r>
    </w:p>
    <w:p w:rsidR="00396B6A" w:rsidRDefault="00396B6A">
      <w:pPr>
        <w:spacing w:after="0" w:line="240" w:lineRule="auto"/>
        <w:jc w:val="left"/>
        <w:rPr>
          <w:rFonts w:eastAsia="Times New Roman"/>
          <w:szCs w:val="17"/>
        </w:rPr>
      </w:pPr>
      <w:r>
        <w:rPr>
          <w:rFonts w:eastAsia="Times New Roman"/>
          <w:szCs w:val="17"/>
        </w:rPr>
        <w:br w:type="page"/>
      </w:r>
    </w:p>
    <w:p w:rsidR="004B3FB4" w:rsidRPr="004B3FB4" w:rsidRDefault="004B3FB4" w:rsidP="004B3FB4">
      <w:pPr>
        <w:rPr>
          <w:rFonts w:eastAsia="Times New Roman"/>
          <w:szCs w:val="17"/>
        </w:rPr>
      </w:pPr>
      <w:r w:rsidRPr="004B3FB4">
        <w:rPr>
          <w:rFonts w:eastAsia="Times New Roman"/>
          <w:szCs w:val="17"/>
        </w:rPr>
        <w:lastRenderedPageBreak/>
        <w:t>On 14 April 2021 that order was confirmed by the Attorney-General conditionally upon the deposit by the Registrar-General of Deposited Plan 126248 being the authority for the new boundaries.</w:t>
      </w:r>
    </w:p>
    <w:p w:rsidR="004B3FB4" w:rsidRPr="004B3FB4" w:rsidRDefault="004B3FB4" w:rsidP="004B3FB4">
      <w:pPr>
        <w:rPr>
          <w:rFonts w:eastAsia="Times New Roman"/>
          <w:szCs w:val="17"/>
        </w:rPr>
      </w:pPr>
      <w:r w:rsidRPr="004B3FB4">
        <w:rPr>
          <w:rFonts w:eastAsia="Times New Roman"/>
          <w:szCs w:val="17"/>
        </w:rPr>
        <w:t xml:space="preserve">Pursuant to Section 24 of the </w:t>
      </w:r>
      <w:r w:rsidRPr="004B3FB4">
        <w:rPr>
          <w:rFonts w:eastAsia="Times New Roman"/>
          <w:i/>
          <w:szCs w:val="17"/>
        </w:rPr>
        <w:t>Roads (Opening and Closing) Act 1991</w:t>
      </w:r>
      <w:r w:rsidRPr="004B3FB4">
        <w:rPr>
          <w:rFonts w:eastAsia="Times New Roman"/>
          <w:szCs w:val="17"/>
        </w:rPr>
        <w:t>, NOTICE of the Order referred to above and its confirmation is hereby given.</w:t>
      </w:r>
    </w:p>
    <w:p w:rsidR="004B3FB4" w:rsidRPr="004B3FB4" w:rsidRDefault="004B3FB4" w:rsidP="004B3FB4">
      <w:pPr>
        <w:spacing w:after="0"/>
        <w:rPr>
          <w:rFonts w:eastAsia="Times New Roman"/>
          <w:szCs w:val="17"/>
        </w:rPr>
      </w:pPr>
      <w:r w:rsidRPr="004B3FB4">
        <w:rPr>
          <w:rFonts w:eastAsia="Times New Roman"/>
          <w:szCs w:val="17"/>
        </w:rPr>
        <w:t>Dated: 22 April 2021</w:t>
      </w:r>
    </w:p>
    <w:p w:rsidR="004B3FB4" w:rsidRPr="004B3FB4" w:rsidRDefault="004B3FB4" w:rsidP="004B3FB4">
      <w:pPr>
        <w:spacing w:after="0"/>
        <w:jc w:val="right"/>
        <w:rPr>
          <w:rFonts w:eastAsia="Times New Roman"/>
          <w:smallCaps/>
          <w:szCs w:val="20"/>
        </w:rPr>
      </w:pPr>
      <w:r w:rsidRPr="004B3FB4">
        <w:rPr>
          <w:rFonts w:eastAsia="Times New Roman"/>
          <w:smallCaps/>
          <w:szCs w:val="20"/>
        </w:rPr>
        <w:t>M. P. Burdett</w:t>
      </w:r>
    </w:p>
    <w:p w:rsidR="004B3FB4" w:rsidRPr="004B3FB4" w:rsidRDefault="004B3FB4" w:rsidP="004B3FB4">
      <w:pPr>
        <w:spacing w:after="0"/>
        <w:jc w:val="right"/>
        <w:rPr>
          <w:rFonts w:eastAsia="Times New Roman"/>
          <w:szCs w:val="17"/>
        </w:rPr>
      </w:pPr>
      <w:r w:rsidRPr="004B3FB4">
        <w:rPr>
          <w:rFonts w:eastAsia="Times New Roman"/>
          <w:szCs w:val="17"/>
        </w:rPr>
        <w:t>Surveyor-General</w:t>
      </w:r>
    </w:p>
    <w:p w:rsidR="004B3FB4" w:rsidRPr="004B3FB4" w:rsidRDefault="004B3FB4" w:rsidP="004B3FB4">
      <w:pPr>
        <w:spacing w:after="0"/>
        <w:rPr>
          <w:rFonts w:eastAsia="Times New Roman"/>
          <w:szCs w:val="17"/>
        </w:rPr>
      </w:pPr>
      <w:r w:rsidRPr="004B3FB4">
        <w:rPr>
          <w:rFonts w:eastAsia="Times New Roman"/>
          <w:szCs w:val="17"/>
        </w:rPr>
        <w:t>DPTI: 2020/11895/01</w:t>
      </w:r>
    </w:p>
    <w:p w:rsidR="004B3FB4" w:rsidRPr="004B3FB4" w:rsidRDefault="004B3FB4" w:rsidP="004B3FB4">
      <w:pPr>
        <w:pBdr>
          <w:top w:val="single" w:sz="4" w:space="1" w:color="auto"/>
        </w:pBdr>
        <w:spacing w:before="100" w:after="0" w:line="14" w:lineRule="exact"/>
        <w:jc w:val="center"/>
        <w:rPr>
          <w:rFonts w:eastAsia="Times New Roman"/>
          <w:szCs w:val="17"/>
        </w:rPr>
      </w:pPr>
    </w:p>
    <w:p w:rsidR="004B3FB4" w:rsidRPr="004B3FB4" w:rsidRDefault="004B3FB4" w:rsidP="004B3F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B3FB4" w:rsidRPr="004B3FB4" w:rsidRDefault="004B3FB4" w:rsidP="004B3FB4">
      <w:pPr>
        <w:jc w:val="center"/>
        <w:rPr>
          <w:caps/>
          <w:szCs w:val="17"/>
        </w:rPr>
      </w:pPr>
      <w:r w:rsidRPr="004B3FB4">
        <w:rPr>
          <w:caps/>
          <w:szCs w:val="17"/>
        </w:rPr>
        <w:t>Roads (Opening and Closing) Act 1991</w:t>
      </w:r>
    </w:p>
    <w:p w:rsidR="004B3FB4" w:rsidRPr="004B3FB4" w:rsidRDefault="004B3FB4" w:rsidP="004B3FB4">
      <w:pPr>
        <w:jc w:val="center"/>
        <w:rPr>
          <w:smallCaps/>
          <w:szCs w:val="17"/>
        </w:rPr>
      </w:pPr>
      <w:r w:rsidRPr="004B3FB4">
        <w:rPr>
          <w:smallCaps/>
          <w:szCs w:val="17"/>
        </w:rPr>
        <w:t>Section 24</w:t>
      </w:r>
    </w:p>
    <w:p w:rsidR="004B3FB4" w:rsidRPr="004B3FB4" w:rsidRDefault="004B3FB4" w:rsidP="004B3FB4">
      <w:pPr>
        <w:jc w:val="center"/>
        <w:rPr>
          <w:b/>
          <w:caps/>
          <w:szCs w:val="17"/>
        </w:rPr>
      </w:pPr>
      <w:r w:rsidRPr="004B3FB4">
        <w:rPr>
          <w:b/>
          <w:caps/>
          <w:szCs w:val="17"/>
        </w:rPr>
        <w:t xml:space="preserve">Notice of Confirmation of </w:t>
      </w:r>
      <w:r w:rsidRPr="004B3FB4">
        <w:rPr>
          <w:b/>
          <w:caps/>
          <w:szCs w:val="17"/>
        </w:rPr>
        <w:br/>
        <w:t>Road Process Order</w:t>
      </w:r>
    </w:p>
    <w:p w:rsidR="004B3FB4" w:rsidRPr="004B3FB4" w:rsidRDefault="004B3FB4" w:rsidP="004B3FB4">
      <w:pPr>
        <w:jc w:val="center"/>
        <w:rPr>
          <w:i/>
          <w:szCs w:val="17"/>
        </w:rPr>
      </w:pPr>
      <w:r w:rsidRPr="004B3FB4">
        <w:rPr>
          <w:i/>
          <w:szCs w:val="17"/>
        </w:rPr>
        <w:t>Road Closure—Vineyard Terrace and Allen Street, Burra</w:t>
      </w:r>
    </w:p>
    <w:p w:rsidR="004B3FB4" w:rsidRPr="004B3FB4" w:rsidRDefault="004B3FB4" w:rsidP="004B3FB4">
      <w:pPr>
        <w:rPr>
          <w:rFonts w:eastAsia="Times New Roman"/>
          <w:szCs w:val="17"/>
        </w:rPr>
      </w:pPr>
      <w:r w:rsidRPr="004B3FB4">
        <w:rPr>
          <w:rFonts w:eastAsia="Times New Roman"/>
          <w:szCs w:val="17"/>
        </w:rPr>
        <w:t>BY Road Process Order made on 15 December 2020, the Regional Council of Goyder ordered that:</w:t>
      </w:r>
    </w:p>
    <w:p w:rsidR="004B3FB4" w:rsidRPr="004B3FB4" w:rsidRDefault="004B3FB4" w:rsidP="004B3FB4">
      <w:pPr>
        <w:ind w:left="426" w:hanging="284"/>
        <w:rPr>
          <w:rFonts w:eastAsia="Times New Roman"/>
          <w:szCs w:val="17"/>
        </w:rPr>
      </w:pPr>
      <w:r w:rsidRPr="004B3FB4">
        <w:rPr>
          <w:rFonts w:eastAsia="Times New Roman"/>
          <w:szCs w:val="17"/>
        </w:rPr>
        <w:t>1.</w:t>
      </w:r>
      <w:r w:rsidRPr="004B3FB4">
        <w:rPr>
          <w:rFonts w:eastAsia="Times New Roman"/>
          <w:szCs w:val="17"/>
        </w:rPr>
        <w:tab/>
        <w:t>Portions of Vineyard Terrace and Allen Street, Burra, situated adjoining Allotment 96 in Filed Plan 213215, Hundred of Kooringa, more particularly delineated and lettered ‘A’ in Preliminary Plan 20/0031 be closed.</w:t>
      </w:r>
    </w:p>
    <w:p w:rsidR="004B3FB4" w:rsidRPr="004B3FB4" w:rsidRDefault="004B3FB4" w:rsidP="004B3FB4">
      <w:pPr>
        <w:ind w:left="426" w:hanging="284"/>
        <w:rPr>
          <w:rFonts w:eastAsia="Times New Roman"/>
          <w:szCs w:val="17"/>
        </w:rPr>
      </w:pPr>
      <w:r w:rsidRPr="004B3FB4">
        <w:rPr>
          <w:rFonts w:eastAsia="Times New Roman"/>
          <w:szCs w:val="17"/>
        </w:rPr>
        <w:t>2.</w:t>
      </w:r>
      <w:r w:rsidRPr="004B3FB4">
        <w:rPr>
          <w:rFonts w:eastAsia="Times New Roman"/>
          <w:szCs w:val="17"/>
        </w:rPr>
        <w:tab/>
        <w:t>Transfer the whole of the land subject to closure to Geoffrey Robert Thompson in accordance with the Agreement for Transfer dated 12 January 2020 entered into between the Regional Council of Goyder and Geoffrey Robert Thompson.</w:t>
      </w:r>
    </w:p>
    <w:p w:rsidR="004B3FB4" w:rsidRPr="004B3FB4" w:rsidRDefault="004B3FB4" w:rsidP="004B3FB4">
      <w:pPr>
        <w:rPr>
          <w:rFonts w:eastAsia="Times New Roman"/>
          <w:szCs w:val="17"/>
        </w:rPr>
      </w:pPr>
      <w:r w:rsidRPr="004B3FB4">
        <w:rPr>
          <w:rFonts w:eastAsia="Times New Roman"/>
          <w:szCs w:val="17"/>
        </w:rPr>
        <w:t>On 14 April 2021 that order was confirmed by the Attorney-General conditionally upon the deposit by the Registrar-General of Deposited Plan 126196 being the authority for the new boundaries.</w:t>
      </w:r>
    </w:p>
    <w:p w:rsidR="004B3FB4" w:rsidRPr="004B3FB4" w:rsidRDefault="004B3FB4" w:rsidP="004B3FB4">
      <w:pPr>
        <w:rPr>
          <w:rFonts w:eastAsia="Times New Roman"/>
          <w:szCs w:val="17"/>
        </w:rPr>
      </w:pPr>
      <w:r w:rsidRPr="004B3FB4">
        <w:rPr>
          <w:rFonts w:eastAsia="Times New Roman"/>
          <w:szCs w:val="17"/>
        </w:rPr>
        <w:t xml:space="preserve">Pursuant to Section 24 of the </w:t>
      </w:r>
      <w:r w:rsidRPr="004B3FB4">
        <w:rPr>
          <w:rFonts w:eastAsia="Times New Roman"/>
          <w:i/>
          <w:szCs w:val="17"/>
        </w:rPr>
        <w:t>Roads (Opening and Closing) Act 1991</w:t>
      </w:r>
      <w:r w:rsidRPr="004B3FB4">
        <w:rPr>
          <w:rFonts w:eastAsia="Times New Roman"/>
          <w:szCs w:val="17"/>
        </w:rPr>
        <w:t>, NOTICE of the Order referred to above and its confirmation is hereby given.</w:t>
      </w:r>
    </w:p>
    <w:p w:rsidR="004B3FB4" w:rsidRPr="004B3FB4" w:rsidRDefault="004B3FB4" w:rsidP="004B3FB4">
      <w:pPr>
        <w:spacing w:after="0"/>
        <w:rPr>
          <w:rFonts w:eastAsia="Times New Roman"/>
          <w:szCs w:val="17"/>
        </w:rPr>
      </w:pPr>
      <w:r w:rsidRPr="004B3FB4">
        <w:rPr>
          <w:rFonts w:eastAsia="Times New Roman"/>
          <w:szCs w:val="17"/>
        </w:rPr>
        <w:t>Dated: 22 April 2021</w:t>
      </w:r>
    </w:p>
    <w:p w:rsidR="004B3FB4" w:rsidRPr="004B3FB4" w:rsidRDefault="004B3FB4" w:rsidP="004B3FB4">
      <w:pPr>
        <w:spacing w:after="0"/>
        <w:jc w:val="right"/>
        <w:rPr>
          <w:rFonts w:eastAsia="Times New Roman"/>
          <w:smallCaps/>
          <w:szCs w:val="20"/>
        </w:rPr>
      </w:pPr>
      <w:r w:rsidRPr="004B3FB4">
        <w:rPr>
          <w:rFonts w:eastAsia="Times New Roman"/>
          <w:smallCaps/>
          <w:szCs w:val="20"/>
        </w:rPr>
        <w:t>M. P. Burdett</w:t>
      </w:r>
    </w:p>
    <w:p w:rsidR="004B3FB4" w:rsidRPr="004B3FB4" w:rsidRDefault="004B3FB4" w:rsidP="004B3FB4">
      <w:pPr>
        <w:spacing w:after="0"/>
        <w:jc w:val="right"/>
        <w:rPr>
          <w:rFonts w:eastAsia="Times New Roman"/>
          <w:szCs w:val="17"/>
        </w:rPr>
      </w:pPr>
      <w:r w:rsidRPr="004B3FB4">
        <w:rPr>
          <w:rFonts w:eastAsia="Times New Roman"/>
          <w:szCs w:val="17"/>
        </w:rPr>
        <w:t>Surveyor-General</w:t>
      </w:r>
    </w:p>
    <w:p w:rsidR="004B3FB4" w:rsidRPr="004B3FB4" w:rsidRDefault="004B3FB4" w:rsidP="004B3FB4">
      <w:pPr>
        <w:spacing w:after="0"/>
        <w:jc w:val="left"/>
        <w:rPr>
          <w:rFonts w:eastAsia="Times New Roman"/>
          <w:szCs w:val="17"/>
        </w:rPr>
      </w:pPr>
      <w:r w:rsidRPr="004B3FB4">
        <w:rPr>
          <w:rFonts w:eastAsia="Times New Roman"/>
          <w:szCs w:val="17"/>
        </w:rPr>
        <w:t>DPTI: 2020/13962/01</w:t>
      </w:r>
    </w:p>
    <w:p w:rsidR="004B3FB4" w:rsidRPr="004B3FB4" w:rsidRDefault="004B3FB4" w:rsidP="004B3FB4">
      <w:pPr>
        <w:pBdr>
          <w:top w:val="single" w:sz="4" w:space="1" w:color="auto"/>
        </w:pBdr>
        <w:spacing w:before="100" w:after="0" w:line="14" w:lineRule="exact"/>
        <w:jc w:val="center"/>
        <w:rPr>
          <w:rFonts w:eastAsia="Times New Roman"/>
          <w:szCs w:val="17"/>
        </w:rPr>
      </w:pPr>
    </w:p>
    <w:p w:rsidR="004B3FB4" w:rsidRPr="004B3FB4" w:rsidRDefault="004B3FB4" w:rsidP="004B3F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B3FB4" w:rsidRPr="004B3FB4" w:rsidRDefault="004B3FB4" w:rsidP="004B3FB4">
      <w:pPr>
        <w:jc w:val="center"/>
        <w:rPr>
          <w:caps/>
          <w:szCs w:val="17"/>
        </w:rPr>
      </w:pPr>
      <w:r w:rsidRPr="004B3FB4">
        <w:rPr>
          <w:caps/>
          <w:szCs w:val="17"/>
        </w:rPr>
        <w:t>Roads (Opening and Closing) Act 1991</w:t>
      </w:r>
    </w:p>
    <w:p w:rsidR="004B3FB4" w:rsidRPr="004B3FB4" w:rsidRDefault="004B3FB4" w:rsidP="004B3FB4">
      <w:pPr>
        <w:jc w:val="center"/>
        <w:rPr>
          <w:smallCaps/>
          <w:szCs w:val="17"/>
        </w:rPr>
      </w:pPr>
      <w:r w:rsidRPr="004B3FB4">
        <w:rPr>
          <w:smallCaps/>
          <w:szCs w:val="17"/>
        </w:rPr>
        <w:t>Section 24</w:t>
      </w:r>
    </w:p>
    <w:p w:rsidR="004B3FB4" w:rsidRPr="004B3FB4" w:rsidRDefault="004B3FB4" w:rsidP="004B3FB4">
      <w:pPr>
        <w:jc w:val="center"/>
        <w:rPr>
          <w:b/>
          <w:caps/>
          <w:szCs w:val="17"/>
        </w:rPr>
      </w:pPr>
      <w:r w:rsidRPr="004B3FB4">
        <w:rPr>
          <w:b/>
          <w:caps/>
          <w:szCs w:val="17"/>
        </w:rPr>
        <w:t xml:space="preserve">Notice of Confirmation of </w:t>
      </w:r>
      <w:r w:rsidRPr="004B3FB4">
        <w:rPr>
          <w:b/>
          <w:caps/>
          <w:szCs w:val="17"/>
        </w:rPr>
        <w:br/>
        <w:t>Road Process Order</w:t>
      </w:r>
    </w:p>
    <w:p w:rsidR="004B3FB4" w:rsidRPr="004B3FB4" w:rsidRDefault="004B3FB4" w:rsidP="004B3FB4">
      <w:pPr>
        <w:jc w:val="center"/>
        <w:rPr>
          <w:i/>
          <w:szCs w:val="17"/>
        </w:rPr>
      </w:pPr>
      <w:r w:rsidRPr="004B3FB4">
        <w:rPr>
          <w:i/>
          <w:szCs w:val="17"/>
        </w:rPr>
        <w:t>Road Closure—Backhouse Road, Delamere</w:t>
      </w:r>
    </w:p>
    <w:p w:rsidR="004B3FB4" w:rsidRPr="004B3FB4" w:rsidRDefault="004B3FB4" w:rsidP="004B3FB4">
      <w:pPr>
        <w:rPr>
          <w:rFonts w:eastAsia="Times New Roman"/>
          <w:szCs w:val="17"/>
        </w:rPr>
      </w:pPr>
      <w:r w:rsidRPr="004B3FB4">
        <w:rPr>
          <w:rFonts w:eastAsia="Times New Roman"/>
          <w:szCs w:val="17"/>
        </w:rPr>
        <w:t>BY Road Process Order made on 10 December 2020, The District Council of Yankalilla ordered that:</w:t>
      </w:r>
    </w:p>
    <w:p w:rsidR="004B3FB4" w:rsidRPr="004B3FB4" w:rsidRDefault="004B3FB4" w:rsidP="004B3FB4">
      <w:pPr>
        <w:ind w:left="426" w:hanging="284"/>
        <w:rPr>
          <w:rFonts w:eastAsia="Times New Roman"/>
          <w:szCs w:val="17"/>
        </w:rPr>
      </w:pPr>
      <w:r w:rsidRPr="004B3FB4">
        <w:rPr>
          <w:rFonts w:eastAsia="Times New Roman"/>
          <w:szCs w:val="17"/>
        </w:rPr>
        <w:t>1.</w:t>
      </w:r>
      <w:r w:rsidRPr="004B3FB4">
        <w:rPr>
          <w:rFonts w:eastAsia="Times New Roman"/>
          <w:szCs w:val="17"/>
        </w:rPr>
        <w:tab/>
        <w:t>The whole of Backhouse Road, Delamere, situated between Range Road and Tapanappa Road, Hundred of Waitpinga, more particularly delineated and lettered ‘A’, ‘B’, ‘C’ and ‘D’ in Preliminary Plan 20/0018 be closed.</w:t>
      </w:r>
    </w:p>
    <w:p w:rsidR="004B3FB4" w:rsidRPr="004B3FB4" w:rsidRDefault="004B3FB4" w:rsidP="004B3FB4">
      <w:pPr>
        <w:ind w:left="426" w:hanging="284"/>
        <w:rPr>
          <w:rFonts w:eastAsia="Times New Roman"/>
          <w:szCs w:val="17"/>
        </w:rPr>
      </w:pPr>
      <w:r w:rsidRPr="004B3FB4">
        <w:rPr>
          <w:rFonts w:eastAsia="Times New Roman"/>
          <w:szCs w:val="17"/>
        </w:rPr>
        <w:t>2.</w:t>
      </w:r>
      <w:r w:rsidRPr="004B3FB4">
        <w:rPr>
          <w:rFonts w:eastAsia="Times New Roman"/>
          <w:szCs w:val="17"/>
        </w:rPr>
        <w:tab/>
        <w:t>Issue a Certificate of Title to The District Council of Yankalilla for the whole of the land subject to closure lettered ‘A’ in accordance with the Application for Document of Title dated 10 December 2020.</w:t>
      </w:r>
    </w:p>
    <w:p w:rsidR="004B3FB4" w:rsidRPr="004B3FB4" w:rsidRDefault="004B3FB4" w:rsidP="004B3FB4">
      <w:pPr>
        <w:ind w:left="426" w:hanging="284"/>
        <w:rPr>
          <w:rFonts w:eastAsia="Times New Roman"/>
          <w:szCs w:val="17"/>
        </w:rPr>
      </w:pPr>
      <w:r w:rsidRPr="004B3FB4">
        <w:rPr>
          <w:rFonts w:eastAsia="Times New Roman"/>
          <w:szCs w:val="17"/>
        </w:rPr>
        <w:t>3.</w:t>
      </w:r>
      <w:r w:rsidRPr="004B3FB4">
        <w:rPr>
          <w:rFonts w:eastAsia="Times New Roman"/>
          <w:szCs w:val="17"/>
        </w:rPr>
        <w:tab/>
        <w:t>Transfer the whole of the land subject to closure lettered ‘B’ to Kevin Robert Bartolo in accordance with the Agreement for Transfer dated 10 December 2020 entered into between The District Council of Yankalilla and Kevin Robert Bartolo.</w:t>
      </w:r>
    </w:p>
    <w:p w:rsidR="004B3FB4" w:rsidRPr="004B3FB4" w:rsidRDefault="004B3FB4" w:rsidP="004B3FB4">
      <w:pPr>
        <w:ind w:left="426" w:hanging="284"/>
        <w:rPr>
          <w:rFonts w:eastAsia="Times New Roman"/>
          <w:spacing w:val="-2"/>
          <w:szCs w:val="17"/>
        </w:rPr>
      </w:pPr>
      <w:r w:rsidRPr="004B3FB4">
        <w:rPr>
          <w:rFonts w:eastAsia="Times New Roman"/>
          <w:szCs w:val="17"/>
        </w:rPr>
        <w:t>4.</w:t>
      </w:r>
      <w:r w:rsidRPr="004B3FB4">
        <w:rPr>
          <w:rFonts w:eastAsia="Times New Roman"/>
          <w:szCs w:val="17"/>
        </w:rPr>
        <w:tab/>
      </w:r>
      <w:r w:rsidRPr="004B3FB4">
        <w:rPr>
          <w:rFonts w:eastAsia="Times New Roman"/>
          <w:spacing w:val="-2"/>
          <w:szCs w:val="17"/>
        </w:rPr>
        <w:t>Transfer the whole of the land subject to closure lettered ‘C’ to Kevin Robert Bartolo and Susan Diana Bartolo in accordance with the Agreement for Transfer dated 10 December 2020 entered into between The District Council of Yankalilla and Kevin Robert Bartolo and Susan Diana Bartolo.</w:t>
      </w:r>
    </w:p>
    <w:p w:rsidR="004B3FB4" w:rsidRPr="004B3FB4" w:rsidRDefault="004B3FB4" w:rsidP="004B3FB4">
      <w:pPr>
        <w:ind w:left="426" w:hanging="284"/>
        <w:rPr>
          <w:rFonts w:eastAsia="Times New Roman"/>
          <w:szCs w:val="17"/>
        </w:rPr>
      </w:pPr>
      <w:r w:rsidRPr="004B3FB4">
        <w:rPr>
          <w:rFonts w:eastAsia="Times New Roman"/>
          <w:szCs w:val="17"/>
        </w:rPr>
        <w:t>5.</w:t>
      </w:r>
      <w:r w:rsidRPr="004B3FB4">
        <w:rPr>
          <w:rFonts w:eastAsia="Times New Roman"/>
          <w:szCs w:val="17"/>
        </w:rPr>
        <w:tab/>
      </w:r>
      <w:r w:rsidRPr="004B3FB4">
        <w:rPr>
          <w:rFonts w:eastAsia="Times New Roman"/>
          <w:spacing w:val="-2"/>
          <w:szCs w:val="17"/>
        </w:rPr>
        <w:t>Transfer the whole of the land subject to closure lettered ‘D’ to Heather Mavis Tester and Patrick Keith Tester in accordance with the Agreement for Transfer dated 10 December 2020 entered into between The District Council of Yankalilla and Heather Mavis Tester and Patrick Keith Tester.</w:t>
      </w:r>
    </w:p>
    <w:p w:rsidR="004B3FB4" w:rsidRPr="004B3FB4" w:rsidRDefault="004B3FB4" w:rsidP="004B3FB4">
      <w:pPr>
        <w:ind w:left="426" w:hanging="284"/>
        <w:rPr>
          <w:rFonts w:eastAsia="Times New Roman"/>
          <w:szCs w:val="17"/>
        </w:rPr>
      </w:pPr>
      <w:r w:rsidRPr="004B3FB4">
        <w:rPr>
          <w:rFonts w:eastAsia="Times New Roman"/>
          <w:szCs w:val="17"/>
        </w:rPr>
        <w:t>6.</w:t>
      </w:r>
      <w:r w:rsidRPr="004B3FB4">
        <w:rPr>
          <w:rFonts w:eastAsia="Times New Roman"/>
          <w:szCs w:val="17"/>
        </w:rPr>
        <w:tab/>
        <w:t>The following easements are to be granted over portions of the land subject to closure:</w:t>
      </w:r>
    </w:p>
    <w:p w:rsidR="004B3FB4" w:rsidRPr="004B3FB4" w:rsidRDefault="004B3FB4" w:rsidP="004B3FB4">
      <w:pPr>
        <w:ind w:left="426"/>
        <w:rPr>
          <w:rFonts w:eastAsia="Times New Roman"/>
          <w:szCs w:val="17"/>
        </w:rPr>
      </w:pPr>
      <w:r w:rsidRPr="004B3FB4">
        <w:rPr>
          <w:rFonts w:eastAsia="Times New Roman"/>
          <w:szCs w:val="17"/>
        </w:rPr>
        <w:t>Grant to The District Council of Yankalilla a long form easement for access maintenance purposes and a right of way over the land marked ‘E’ on Deposited Plan 124903.</w:t>
      </w:r>
    </w:p>
    <w:p w:rsidR="004B3FB4" w:rsidRPr="004B3FB4" w:rsidRDefault="004B3FB4" w:rsidP="004B3FB4">
      <w:pPr>
        <w:ind w:left="426"/>
        <w:rPr>
          <w:rFonts w:eastAsia="Times New Roman"/>
          <w:szCs w:val="17"/>
        </w:rPr>
      </w:pPr>
      <w:r w:rsidRPr="004B3FB4">
        <w:rPr>
          <w:rFonts w:eastAsia="Times New Roman"/>
          <w:szCs w:val="17"/>
        </w:rPr>
        <w:t>Grant free and unrestricted rights of way appurtenant to CT 5464/831, CT 5732/279, CT 5748/346, CT 5506/571 and CR 5775/152, Hundred of Waitpinga over the land marked ‘A’, ‘B’, ‘C’, ‘D’, ‘F’, ‘G’ and ‘H’ on Deposited Plan 124903.</w:t>
      </w:r>
    </w:p>
    <w:p w:rsidR="004B3FB4" w:rsidRPr="004B3FB4" w:rsidRDefault="004B3FB4" w:rsidP="004B3FB4">
      <w:pPr>
        <w:rPr>
          <w:rFonts w:eastAsia="Times New Roman"/>
          <w:szCs w:val="17"/>
        </w:rPr>
      </w:pPr>
      <w:r w:rsidRPr="004B3FB4">
        <w:rPr>
          <w:rFonts w:eastAsia="Times New Roman"/>
          <w:szCs w:val="17"/>
        </w:rPr>
        <w:t>On 15 April 2021 that order was confirmed by the Attorney-General conditionally upon the deposit by the Registrar-General of Deposited Plan 124903 being the authority for the new boundaries.</w:t>
      </w:r>
    </w:p>
    <w:p w:rsidR="004B3FB4" w:rsidRPr="004B3FB4" w:rsidRDefault="004B3FB4" w:rsidP="004B3FB4">
      <w:pPr>
        <w:rPr>
          <w:rFonts w:eastAsia="Times New Roman"/>
          <w:szCs w:val="17"/>
        </w:rPr>
      </w:pPr>
      <w:r w:rsidRPr="004B3FB4">
        <w:rPr>
          <w:rFonts w:eastAsia="Times New Roman"/>
          <w:szCs w:val="17"/>
        </w:rPr>
        <w:t xml:space="preserve">Pursuant to Section 24 of the </w:t>
      </w:r>
      <w:r w:rsidRPr="004B3FB4">
        <w:rPr>
          <w:rFonts w:eastAsia="Times New Roman"/>
          <w:i/>
          <w:szCs w:val="17"/>
        </w:rPr>
        <w:t>Roads (Opening and Closing) Act 1991</w:t>
      </w:r>
      <w:r w:rsidRPr="004B3FB4">
        <w:rPr>
          <w:rFonts w:eastAsia="Times New Roman"/>
          <w:szCs w:val="17"/>
        </w:rPr>
        <w:t>, NOTICE of the Order referred to above and its confirmation is hereby given.</w:t>
      </w:r>
    </w:p>
    <w:p w:rsidR="004B3FB4" w:rsidRPr="004B3FB4" w:rsidRDefault="004B3FB4" w:rsidP="004B3FB4">
      <w:pPr>
        <w:spacing w:after="0"/>
        <w:rPr>
          <w:rFonts w:eastAsia="Times New Roman"/>
          <w:szCs w:val="17"/>
        </w:rPr>
      </w:pPr>
      <w:r w:rsidRPr="004B3FB4">
        <w:rPr>
          <w:rFonts w:eastAsia="Times New Roman"/>
          <w:szCs w:val="17"/>
        </w:rPr>
        <w:t>Dated: 22 April 2021</w:t>
      </w:r>
    </w:p>
    <w:p w:rsidR="004B3FB4" w:rsidRPr="004B3FB4" w:rsidRDefault="004B3FB4" w:rsidP="004B3FB4">
      <w:pPr>
        <w:spacing w:after="0"/>
        <w:jc w:val="right"/>
        <w:rPr>
          <w:rFonts w:eastAsia="Times New Roman"/>
          <w:smallCaps/>
          <w:szCs w:val="20"/>
        </w:rPr>
      </w:pPr>
      <w:r w:rsidRPr="004B3FB4">
        <w:rPr>
          <w:rFonts w:eastAsia="Times New Roman"/>
          <w:smallCaps/>
          <w:szCs w:val="20"/>
        </w:rPr>
        <w:t>M. P. Burdett</w:t>
      </w:r>
    </w:p>
    <w:p w:rsidR="004B3FB4" w:rsidRPr="004B3FB4" w:rsidRDefault="004B3FB4" w:rsidP="004B3FB4">
      <w:pPr>
        <w:spacing w:after="0"/>
        <w:jc w:val="right"/>
        <w:rPr>
          <w:rFonts w:eastAsia="Times New Roman"/>
          <w:szCs w:val="17"/>
        </w:rPr>
      </w:pPr>
      <w:r w:rsidRPr="004B3FB4">
        <w:rPr>
          <w:rFonts w:eastAsia="Times New Roman"/>
          <w:szCs w:val="17"/>
        </w:rPr>
        <w:t>Surveyor-General</w:t>
      </w:r>
    </w:p>
    <w:p w:rsidR="004B3FB4" w:rsidRPr="004B3FB4" w:rsidRDefault="004B3FB4" w:rsidP="004B3FB4">
      <w:pPr>
        <w:spacing w:after="0"/>
        <w:rPr>
          <w:rFonts w:eastAsia="Times New Roman"/>
          <w:szCs w:val="17"/>
        </w:rPr>
      </w:pPr>
      <w:r w:rsidRPr="004B3FB4">
        <w:rPr>
          <w:rFonts w:eastAsia="Times New Roman"/>
          <w:szCs w:val="17"/>
        </w:rPr>
        <w:t>DPTI: 2020/09800/01</w:t>
      </w:r>
    </w:p>
    <w:p w:rsidR="004B3FB4" w:rsidRPr="004B3FB4" w:rsidRDefault="004B3FB4" w:rsidP="004B3FB4">
      <w:pPr>
        <w:pBdr>
          <w:top w:val="single" w:sz="4" w:space="1" w:color="auto"/>
        </w:pBdr>
        <w:spacing w:before="100" w:after="0" w:line="14" w:lineRule="exact"/>
        <w:jc w:val="center"/>
        <w:rPr>
          <w:rFonts w:eastAsia="Times New Roman"/>
          <w:szCs w:val="17"/>
        </w:rPr>
      </w:pPr>
    </w:p>
    <w:p w:rsidR="004B3FB4" w:rsidRPr="004B3FB4" w:rsidRDefault="004B3FB4" w:rsidP="004B3F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96B6A" w:rsidRDefault="00396B6A">
      <w:pPr>
        <w:spacing w:after="0" w:line="240" w:lineRule="auto"/>
        <w:jc w:val="left"/>
        <w:rPr>
          <w:caps/>
          <w:szCs w:val="17"/>
        </w:rPr>
      </w:pPr>
      <w:r>
        <w:rPr>
          <w:caps/>
          <w:szCs w:val="17"/>
        </w:rPr>
        <w:br w:type="page"/>
      </w:r>
    </w:p>
    <w:p w:rsidR="004B3FB4" w:rsidRPr="004B3FB4" w:rsidRDefault="004B3FB4" w:rsidP="004B3FB4">
      <w:pPr>
        <w:jc w:val="center"/>
        <w:rPr>
          <w:caps/>
          <w:szCs w:val="17"/>
        </w:rPr>
      </w:pPr>
      <w:r w:rsidRPr="004B3FB4">
        <w:rPr>
          <w:caps/>
          <w:szCs w:val="17"/>
        </w:rPr>
        <w:lastRenderedPageBreak/>
        <w:t>Roads (Opening and Closing) Act 1991</w:t>
      </w:r>
    </w:p>
    <w:p w:rsidR="004B3FB4" w:rsidRPr="004B3FB4" w:rsidRDefault="004B3FB4" w:rsidP="004B3FB4">
      <w:pPr>
        <w:jc w:val="center"/>
        <w:rPr>
          <w:smallCaps/>
          <w:szCs w:val="17"/>
        </w:rPr>
      </w:pPr>
      <w:r w:rsidRPr="004B3FB4">
        <w:rPr>
          <w:smallCaps/>
          <w:szCs w:val="17"/>
        </w:rPr>
        <w:t>Section 24</w:t>
      </w:r>
    </w:p>
    <w:p w:rsidR="004B3FB4" w:rsidRPr="004B3FB4" w:rsidRDefault="004B3FB4" w:rsidP="004B3FB4">
      <w:pPr>
        <w:jc w:val="center"/>
        <w:rPr>
          <w:b/>
          <w:caps/>
          <w:szCs w:val="17"/>
        </w:rPr>
      </w:pPr>
      <w:r w:rsidRPr="004B3FB4">
        <w:rPr>
          <w:b/>
          <w:caps/>
          <w:szCs w:val="17"/>
        </w:rPr>
        <w:t xml:space="preserve">Notice of Confirmation of </w:t>
      </w:r>
      <w:r w:rsidRPr="004B3FB4">
        <w:rPr>
          <w:b/>
          <w:caps/>
          <w:szCs w:val="17"/>
        </w:rPr>
        <w:br/>
        <w:t>Road Process Order</w:t>
      </w:r>
    </w:p>
    <w:p w:rsidR="004B3FB4" w:rsidRPr="004B3FB4" w:rsidRDefault="004B3FB4" w:rsidP="004B3FB4">
      <w:pPr>
        <w:jc w:val="center"/>
        <w:rPr>
          <w:i/>
          <w:szCs w:val="17"/>
        </w:rPr>
      </w:pPr>
      <w:r w:rsidRPr="004B3FB4">
        <w:rPr>
          <w:i/>
          <w:szCs w:val="17"/>
        </w:rPr>
        <w:t>Road Closure—Chace View Terrace and Flinders Ranges Way, Hawker</w:t>
      </w:r>
    </w:p>
    <w:p w:rsidR="004B3FB4" w:rsidRPr="004B3FB4" w:rsidRDefault="004B3FB4" w:rsidP="004B3FB4">
      <w:pPr>
        <w:rPr>
          <w:rFonts w:eastAsia="Times New Roman"/>
          <w:szCs w:val="17"/>
        </w:rPr>
      </w:pPr>
      <w:r w:rsidRPr="004B3FB4">
        <w:rPr>
          <w:rFonts w:eastAsia="Times New Roman"/>
          <w:szCs w:val="17"/>
        </w:rPr>
        <w:t>BY Road Process Order made on 5 January 2021, The Flinders Ranges Council ordered that:</w:t>
      </w:r>
    </w:p>
    <w:p w:rsidR="004B3FB4" w:rsidRPr="004B3FB4" w:rsidRDefault="004B3FB4" w:rsidP="004B3FB4">
      <w:pPr>
        <w:ind w:left="426" w:hanging="284"/>
        <w:rPr>
          <w:rFonts w:eastAsia="Times New Roman"/>
          <w:szCs w:val="17"/>
        </w:rPr>
      </w:pPr>
      <w:r w:rsidRPr="004B3FB4">
        <w:rPr>
          <w:rFonts w:eastAsia="Times New Roman"/>
          <w:szCs w:val="17"/>
        </w:rPr>
        <w:t>1.</w:t>
      </w:r>
      <w:r w:rsidRPr="004B3FB4">
        <w:rPr>
          <w:rFonts w:eastAsia="Times New Roman"/>
          <w:szCs w:val="17"/>
        </w:rPr>
        <w:tab/>
        <w:t>Portions of Chace View Terrace and Flinders Ranges Way, Hawker, situated adjoining Section 519, Hundred of Wonoka, more particularly delineated and lettered ‘A’ in Preliminary Plan 20/0036 be closed.</w:t>
      </w:r>
    </w:p>
    <w:p w:rsidR="004B3FB4" w:rsidRPr="004B3FB4" w:rsidRDefault="004B3FB4" w:rsidP="004B3FB4">
      <w:pPr>
        <w:ind w:left="426" w:hanging="284"/>
        <w:rPr>
          <w:rFonts w:eastAsia="Times New Roman"/>
          <w:szCs w:val="17"/>
        </w:rPr>
      </w:pPr>
      <w:r w:rsidRPr="004B3FB4">
        <w:rPr>
          <w:rFonts w:eastAsia="Times New Roman"/>
          <w:szCs w:val="17"/>
        </w:rPr>
        <w:t>2.</w:t>
      </w:r>
      <w:r w:rsidRPr="004B3FB4">
        <w:rPr>
          <w:rFonts w:eastAsia="Times New Roman"/>
          <w:szCs w:val="17"/>
        </w:rPr>
        <w:tab/>
        <w:t>Transfer the whole of the land subject to closure to John Frederick Hennessy and Pamela Joy Hennessy in accordance with the Agreement for Transfer dated 17 November 2020 entered into between The Flinders Ranges Council and John Frederick Hennessy and Pamela Joy Hennessy.</w:t>
      </w:r>
    </w:p>
    <w:p w:rsidR="004B3FB4" w:rsidRPr="004B3FB4" w:rsidRDefault="004B3FB4" w:rsidP="004B3FB4">
      <w:pPr>
        <w:rPr>
          <w:rFonts w:eastAsia="Times New Roman"/>
          <w:szCs w:val="17"/>
        </w:rPr>
      </w:pPr>
      <w:r w:rsidRPr="004B3FB4">
        <w:rPr>
          <w:rFonts w:eastAsia="Times New Roman"/>
          <w:szCs w:val="17"/>
        </w:rPr>
        <w:t>On 15 April 2021 that order was confirmed by the Attorney-General conditionally upon the deposit by the Registrar-General of Deposited Plan 126130 being the authority for the new boundaries.</w:t>
      </w:r>
    </w:p>
    <w:p w:rsidR="004B3FB4" w:rsidRPr="004B3FB4" w:rsidRDefault="004B3FB4" w:rsidP="004B3FB4">
      <w:pPr>
        <w:rPr>
          <w:rFonts w:eastAsia="Times New Roman"/>
          <w:szCs w:val="17"/>
        </w:rPr>
      </w:pPr>
      <w:r w:rsidRPr="004B3FB4">
        <w:rPr>
          <w:rFonts w:eastAsia="Times New Roman"/>
          <w:szCs w:val="17"/>
        </w:rPr>
        <w:t xml:space="preserve">Pursuant to Section 24 of the </w:t>
      </w:r>
      <w:r w:rsidRPr="004B3FB4">
        <w:rPr>
          <w:rFonts w:eastAsia="Times New Roman"/>
          <w:i/>
          <w:szCs w:val="17"/>
        </w:rPr>
        <w:t>Roads (Opening and Closing) Act 1991</w:t>
      </w:r>
      <w:r w:rsidRPr="004B3FB4">
        <w:rPr>
          <w:rFonts w:eastAsia="Times New Roman"/>
          <w:szCs w:val="17"/>
        </w:rPr>
        <w:t>, NOTICE of the Order referred to above and its confirmation is hereby given.</w:t>
      </w:r>
    </w:p>
    <w:p w:rsidR="004B3FB4" w:rsidRPr="004B3FB4" w:rsidRDefault="004B3FB4" w:rsidP="004B3FB4">
      <w:pPr>
        <w:spacing w:after="0"/>
        <w:rPr>
          <w:rFonts w:eastAsia="Times New Roman"/>
          <w:szCs w:val="17"/>
        </w:rPr>
      </w:pPr>
      <w:r w:rsidRPr="004B3FB4">
        <w:rPr>
          <w:rFonts w:eastAsia="Times New Roman"/>
          <w:szCs w:val="17"/>
        </w:rPr>
        <w:t>Dated: 22 April 2021</w:t>
      </w:r>
    </w:p>
    <w:p w:rsidR="004B3FB4" w:rsidRPr="004B3FB4" w:rsidRDefault="004B3FB4" w:rsidP="004B3FB4">
      <w:pPr>
        <w:spacing w:after="0"/>
        <w:jc w:val="right"/>
        <w:rPr>
          <w:rFonts w:eastAsia="Times New Roman"/>
          <w:smallCaps/>
          <w:szCs w:val="20"/>
        </w:rPr>
      </w:pPr>
      <w:r w:rsidRPr="004B3FB4">
        <w:rPr>
          <w:rFonts w:eastAsia="Times New Roman"/>
          <w:smallCaps/>
          <w:szCs w:val="20"/>
        </w:rPr>
        <w:t>M. P. Burdett</w:t>
      </w:r>
    </w:p>
    <w:p w:rsidR="004B3FB4" w:rsidRPr="004B3FB4" w:rsidRDefault="004B3FB4" w:rsidP="004B3FB4">
      <w:pPr>
        <w:spacing w:after="0"/>
        <w:jc w:val="right"/>
        <w:rPr>
          <w:rFonts w:eastAsia="Times New Roman"/>
          <w:szCs w:val="17"/>
        </w:rPr>
      </w:pPr>
      <w:r w:rsidRPr="004B3FB4">
        <w:rPr>
          <w:rFonts w:eastAsia="Times New Roman"/>
          <w:szCs w:val="17"/>
        </w:rPr>
        <w:t>Surveyor-General</w:t>
      </w:r>
    </w:p>
    <w:p w:rsidR="004B3FB4" w:rsidRPr="004B3FB4" w:rsidRDefault="004B3FB4" w:rsidP="004B3FB4">
      <w:pPr>
        <w:spacing w:after="0"/>
        <w:rPr>
          <w:rFonts w:eastAsia="Times New Roman"/>
          <w:szCs w:val="17"/>
        </w:rPr>
      </w:pPr>
      <w:r w:rsidRPr="004B3FB4">
        <w:rPr>
          <w:rFonts w:eastAsia="Times New Roman"/>
          <w:szCs w:val="17"/>
        </w:rPr>
        <w:t>DPTI: 2020/15446/01</w:t>
      </w:r>
    </w:p>
    <w:p w:rsidR="004B3FB4" w:rsidRPr="004B3FB4" w:rsidRDefault="004B3FB4" w:rsidP="004B3FB4">
      <w:pPr>
        <w:pBdr>
          <w:top w:val="single" w:sz="4" w:space="1" w:color="auto"/>
        </w:pBdr>
        <w:spacing w:before="100" w:after="0" w:line="14" w:lineRule="exact"/>
        <w:jc w:val="center"/>
        <w:rPr>
          <w:rFonts w:eastAsia="Times New Roman"/>
          <w:szCs w:val="17"/>
        </w:rPr>
      </w:pPr>
    </w:p>
    <w:p w:rsidR="004B3FB4" w:rsidRPr="004B3FB4" w:rsidRDefault="004B3FB4" w:rsidP="004B3F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B3FB4" w:rsidRPr="004B3FB4" w:rsidRDefault="004B3FB4" w:rsidP="004B3FB4">
      <w:pPr>
        <w:jc w:val="center"/>
        <w:rPr>
          <w:caps/>
          <w:szCs w:val="17"/>
        </w:rPr>
      </w:pPr>
      <w:r w:rsidRPr="004B3FB4">
        <w:rPr>
          <w:caps/>
          <w:szCs w:val="17"/>
        </w:rPr>
        <w:t>Roads (Opening and Closing) Act 1991</w:t>
      </w:r>
    </w:p>
    <w:p w:rsidR="004B3FB4" w:rsidRPr="004B3FB4" w:rsidRDefault="004B3FB4" w:rsidP="004B3FB4">
      <w:pPr>
        <w:jc w:val="center"/>
        <w:rPr>
          <w:smallCaps/>
          <w:szCs w:val="17"/>
        </w:rPr>
      </w:pPr>
      <w:r w:rsidRPr="004B3FB4">
        <w:rPr>
          <w:smallCaps/>
          <w:szCs w:val="17"/>
        </w:rPr>
        <w:t>Section 24</w:t>
      </w:r>
    </w:p>
    <w:p w:rsidR="004B3FB4" w:rsidRPr="004B3FB4" w:rsidRDefault="004B3FB4" w:rsidP="004B3FB4">
      <w:pPr>
        <w:jc w:val="center"/>
        <w:rPr>
          <w:b/>
          <w:caps/>
          <w:szCs w:val="17"/>
        </w:rPr>
      </w:pPr>
      <w:r w:rsidRPr="004B3FB4">
        <w:rPr>
          <w:b/>
          <w:caps/>
          <w:szCs w:val="17"/>
        </w:rPr>
        <w:t xml:space="preserve">Notice of Confirmation of </w:t>
      </w:r>
      <w:r w:rsidRPr="004B3FB4">
        <w:rPr>
          <w:b/>
          <w:caps/>
          <w:szCs w:val="17"/>
        </w:rPr>
        <w:br/>
        <w:t>Road Process Order</w:t>
      </w:r>
    </w:p>
    <w:p w:rsidR="004B3FB4" w:rsidRPr="004B3FB4" w:rsidRDefault="004B3FB4" w:rsidP="004B3FB4">
      <w:pPr>
        <w:jc w:val="center"/>
        <w:rPr>
          <w:i/>
          <w:szCs w:val="17"/>
        </w:rPr>
      </w:pPr>
      <w:r w:rsidRPr="004B3FB4">
        <w:rPr>
          <w:i/>
          <w:szCs w:val="17"/>
        </w:rPr>
        <w:t>Road Closure—Townsend Street, Crescent</w:t>
      </w:r>
    </w:p>
    <w:p w:rsidR="004B3FB4" w:rsidRPr="004B3FB4" w:rsidRDefault="004B3FB4" w:rsidP="004B3FB4">
      <w:pPr>
        <w:rPr>
          <w:rFonts w:eastAsia="Times New Roman"/>
          <w:szCs w:val="17"/>
        </w:rPr>
      </w:pPr>
      <w:r w:rsidRPr="004B3FB4">
        <w:rPr>
          <w:rFonts w:eastAsia="Times New Roman"/>
          <w:szCs w:val="17"/>
        </w:rPr>
        <w:t>BY Road Process Order made on 16 October 2020, the Renmark Paringa Council ordered that:</w:t>
      </w:r>
    </w:p>
    <w:p w:rsidR="004B3FB4" w:rsidRPr="004B3FB4" w:rsidRDefault="004B3FB4" w:rsidP="004B3FB4">
      <w:pPr>
        <w:ind w:left="426" w:hanging="284"/>
        <w:rPr>
          <w:rFonts w:eastAsia="Times New Roman"/>
          <w:spacing w:val="-2"/>
          <w:szCs w:val="17"/>
        </w:rPr>
      </w:pPr>
      <w:r w:rsidRPr="004B3FB4">
        <w:rPr>
          <w:rFonts w:eastAsia="Times New Roman"/>
          <w:szCs w:val="17"/>
        </w:rPr>
        <w:t>1.</w:t>
      </w:r>
      <w:r w:rsidRPr="004B3FB4">
        <w:rPr>
          <w:rFonts w:eastAsia="Times New Roman"/>
          <w:szCs w:val="17"/>
        </w:rPr>
        <w:tab/>
      </w:r>
      <w:r w:rsidRPr="004B3FB4">
        <w:rPr>
          <w:rFonts w:eastAsia="Times New Roman"/>
          <w:spacing w:val="-2"/>
          <w:szCs w:val="17"/>
        </w:rPr>
        <w:t>Portion of Townsend Street, Crescent, situated between Allotment 12 in Deposited Plan 40185 and Allotment 2 in Deposited Plan 37524, Renmark Irrigation District, more particularly delineated and lettered ‘A’ in Preliminary Plan 20/0003 be closed.</w:t>
      </w:r>
    </w:p>
    <w:p w:rsidR="004B3FB4" w:rsidRPr="004B3FB4" w:rsidRDefault="004B3FB4" w:rsidP="004B3FB4">
      <w:pPr>
        <w:ind w:left="426" w:hanging="284"/>
        <w:rPr>
          <w:rFonts w:eastAsia="Times New Roman"/>
          <w:szCs w:val="17"/>
        </w:rPr>
      </w:pPr>
      <w:r w:rsidRPr="004B3FB4">
        <w:rPr>
          <w:rFonts w:eastAsia="Times New Roman"/>
          <w:szCs w:val="17"/>
        </w:rPr>
        <w:t>2.</w:t>
      </w:r>
      <w:r w:rsidRPr="004B3FB4">
        <w:rPr>
          <w:rFonts w:eastAsia="Times New Roman"/>
          <w:szCs w:val="17"/>
        </w:rPr>
        <w:tab/>
      </w:r>
      <w:r w:rsidRPr="004B3FB4">
        <w:rPr>
          <w:rFonts w:eastAsia="Times New Roman"/>
          <w:spacing w:val="-2"/>
          <w:szCs w:val="17"/>
        </w:rPr>
        <w:t>Transfer the whole of the land subject to closure to Brett Dwayne Hammerstein and Jacqueline Ruby Zanlorenzi in accordance with the Agreement for Transfer dated 16 October 2020 entered into between the Renmark Paringa Council and Brett Dwayne Hammerstein and Jacqueline Ruby Zanlorenzi.</w:t>
      </w:r>
    </w:p>
    <w:p w:rsidR="004B3FB4" w:rsidRPr="004B3FB4" w:rsidRDefault="004B3FB4" w:rsidP="004B3FB4">
      <w:pPr>
        <w:rPr>
          <w:rFonts w:eastAsia="Times New Roman"/>
          <w:szCs w:val="17"/>
        </w:rPr>
      </w:pPr>
      <w:r w:rsidRPr="004B3FB4">
        <w:rPr>
          <w:rFonts w:eastAsia="Times New Roman"/>
          <w:szCs w:val="17"/>
        </w:rPr>
        <w:t>On 15 April 2021 that order was confirmed by the Attorney-General conditionally upon the deposit by the Registrar-General of Deposited Plan 125663 being the authority for the new boundaries.</w:t>
      </w:r>
    </w:p>
    <w:p w:rsidR="004B3FB4" w:rsidRPr="004B3FB4" w:rsidRDefault="004B3FB4" w:rsidP="004B3FB4">
      <w:pPr>
        <w:rPr>
          <w:rFonts w:eastAsia="Times New Roman"/>
          <w:szCs w:val="17"/>
        </w:rPr>
      </w:pPr>
      <w:r w:rsidRPr="004B3FB4">
        <w:rPr>
          <w:rFonts w:eastAsia="Times New Roman"/>
          <w:szCs w:val="17"/>
        </w:rPr>
        <w:t xml:space="preserve">Pursuant to Section 24 of the </w:t>
      </w:r>
      <w:r w:rsidRPr="004B3FB4">
        <w:rPr>
          <w:rFonts w:eastAsia="Times New Roman"/>
          <w:i/>
          <w:szCs w:val="17"/>
        </w:rPr>
        <w:t>Roads (Opening and Closing) Act 1991</w:t>
      </w:r>
      <w:r w:rsidRPr="004B3FB4">
        <w:rPr>
          <w:rFonts w:eastAsia="Times New Roman"/>
          <w:szCs w:val="17"/>
        </w:rPr>
        <w:t>, NOTICE of the Order referred to above and its confirmation is hereby given.</w:t>
      </w:r>
    </w:p>
    <w:p w:rsidR="004B3FB4" w:rsidRPr="004B3FB4" w:rsidRDefault="004B3FB4" w:rsidP="004B3FB4">
      <w:pPr>
        <w:spacing w:after="0"/>
        <w:rPr>
          <w:rFonts w:eastAsia="Times New Roman"/>
          <w:szCs w:val="17"/>
        </w:rPr>
      </w:pPr>
      <w:r w:rsidRPr="004B3FB4">
        <w:rPr>
          <w:rFonts w:eastAsia="Times New Roman"/>
          <w:szCs w:val="17"/>
        </w:rPr>
        <w:t>Dated: 22 April 2021</w:t>
      </w:r>
    </w:p>
    <w:p w:rsidR="004B3FB4" w:rsidRPr="004B3FB4" w:rsidRDefault="004B3FB4" w:rsidP="004B3FB4">
      <w:pPr>
        <w:spacing w:after="0"/>
        <w:jc w:val="right"/>
        <w:rPr>
          <w:rFonts w:eastAsia="Times New Roman"/>
          <w:smallCaps/>
          <w:szCs w:val="20"/>
        </w:rPr>
      </w:pPr>
      <w:r w:rsidRPr="004B3FB4">
        <w:rPr>
          <w:rFonts w:eastAsia="Times New Roman"/>
          <w:smallCaps/>
          <w:szCs w:val="20"/>
        </w:rPr>
        <w:t>M. P. Burdett</w:t>
      </w:r>
    </w:p>
    <w:p w:rsidR="004B3FB4" w:rsidRPr="004B3FB4" w:rsidRDefault="004B3FB4" w:rsidP="004B3FB4">
      <w:pPr>
        <w:spacing w:after="0"/>
        <w:jc w:val="right"/>
        <w:rPr>
          <w:rFonts w:eastAsia="Times New Roman"/>
          <w:szCs w:val="17"/>
        </w:rPr>
      </w:pPr>
      <w:r w:rsidRPr="004B3FB4">
        <w:rPr>
          <w:rFonts w:eastAsia="Times New Roman"/>
          <w:szCs w:val="17"/>
        </w:rPr>
        <w:t>Surveyor-General</w:t>
      </w:r>
    </w:p>
    <w:p w:rsidR="00C20E3E" w:rsidRDefault="004B3FB4" w:rsidP="004B3FB4">
      <w:pPr>
        <w:spacing w:after="0"/>
        <w:rPr>
          <w:rFonts w:eastAsia="Times New Roman"/>
          <w:szCs w:val="17"/>
        </w:rPr>
      </w:pPr>
      <w:r w:rsidRPr="004B3FB4">
        <w:rPr>
          <w:rFonts w:eastAsia="Times New Roman"/>
          <w:szCs w:val="17"/>
        </w:rPr>
        <w:t>DPTI: 2020/03290/01</w:t>
      </w:r>
    </w:p>
    <w:p w:rsidR="004B3FB4" w:rsidRDefault="004B3FB4" w:rsidP="004B3FB4">
      <w:pPr>
        <w:pBdr>
          <w:bottom w:val="single" w:sz="4" w:space="1" w:color="auto"/>
        </w:pBdr>
        <w:spacing w:after="0" w:line="52" w:lineRule="exact"/>
        <w:jc w:val="center"/>
        <w:rPr>
          <w:lang w:val="en-US"/>
        </w:rPr>
      </w:pPr>
    </w:p>
    <w:p w:rsidR="004B3FB4" w:rsidRDefault="004B3FB4" w:rsidP="004B3FB4">
      <w:pPr>
        <w:pBdr>
          <w:top w:val="single" w:sz="4" w:space="1" w:color="auto"/>
        </w:pBdr>
        <w:spacing w:before="34" w:after="0" w:line="14" w:lineRule="exact"/>
        <w:jc w:val="center"/>
        <w:rPr>
          <w:lang w:val="en-US"/>
        </w:rPr>
      </w:pPr>
    </w:p>
    <w:p w:rsidR="004B3FB4" w:rsidRDefault="004B3FB4" w:rsidP="004B3F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48" w:name="_Toc33707983"/>
      <w:bookmarkStart w:id="49" w:name="_Toc33708154"/>
      <w:bookmarkStart w:id="50" w:name="_Toc69916979"/>
      <w:r>
        <w:lastRenderedPageBreak/>
        <w:t>Local</w:t>
      </w:r>
      <w:r w:rsidRPr="009D1E2E">
        <w:t xml:space="preserve"> Government Instruments</w:t>
      </w:r>
      <w:bookmarkEnd w:id="48"/>
      <w:bookmarkEnd w:id="49"/>
      <w:bookmarkEnd w:id="50"/>
    </w:p>
    <w:p w:rsidR="000C4831" w:rsidRPr="000C4831" w:rsidRDefault="000C4831" w:rsidP="00051940">
      <w:pPr>
        <w:pStyle w:val="Heading2"/>
        <w:spacing w:after="60"/>
      </w:pPr>
      <w:bookmarkStart w:id="51" w:name="_Toc69916980"/>
      <w:r w:rsidRPr="000C4831">
        <w:t>City of Holdfast Bay</w:t>
      </w:r>
      <w:bookmarkEnd w:id="51"/>
    </w:p>
    <w:p w:rsidR="000C4831" w:rsidRPr="000C4831" w:rsidRDefault="000C4831" w:rsidP="003A7FB0">
      <w:pPr>
        <w:spacing w:after="60"/>
        <w:jc w:val="center"/>
        <w:rPr>
          <w:smallCaps/>
          <w:szCs w:val="17"/>
        </w:rPr>
      </w:pPr>
      <w:r w:rsidRPr="000C4831">
        <w:rPr>
          <w:smallCaps/>
          <w:szCs w:val="17"/>
        </w:rPr>
        <w:t>Local Government Act 1999—Section 246</w:t>
      </w:r>
    </w:p>
    <w:p w:rsidR="000C4831" w:rsidRPr="000C4831" w:rsidRDefault="000C4831" w:rsidP="003A7FB0">
      <w:pPr>
        <w:spacing w:after="60"/>
        <w:jc w:val="center"/>
        <w:rPr>
          <w:i/>
          <w:szCs w:val="17"/>
        </w:rPr>
      </w:pPr>
      <w:r w:rsidRPr="000C4831">
        <w:rPr>
          <w:i/>
          <w:szCs w:val="17"/>
        </w:rPr>
        <w:t>Notification of Application of By-law</w:t>
      </w:r>
    </w:p>
    <w:p w:rsidR="000C4831" w:rsidRPr="000C4831" w:rsidRDefault="000C4831" w:rsidP="003A7FB0">
      <w:pPr>
        <w:spacing w:after="60"/>
        <w:rPr>
          <w:rFonts w:eastAsia="Times New Roman"/>
          <w:spacing w:val="-4"/>
          <w:szCs w:val="17"/>
        </w:rPr>
      </w:pPr>
      <w:r w:rsidRPr="000C4831">
        <w:rPr>
          <w:rFonts w:eastAsia="Times New Roman"/>
          <w:szCs w:val="17"/>
        </w:rPr>
        <w:t xml:space="preserve">NOTICE is hereby given pursuant to Section 246(4a) of the </w:t>
      </w:r>
      <w:r w:rsidRPr="000C4831">
        <w:rPr>
          <w:rFonts w:eastAsia="Times New Roman"/>
          <w:i/>
          <w:szCs w:val="17"/>
        </w:rPr>
        <w:t>Local Government Act 1999</w:t>
      </w:r>
      <w:r w:rsidRPr="000C4831">
        <w:rPr>
          <w:rFonts w:eastAsia="Times New Roman"/>
          <w:szCs w:val="17"/>
        </w:rPr>
        <w:t xml:space="preserve"> that at its meeting on 13 April 2021, the City of  Holdfast Bay determined in accordance with Section 246(3)(e) of the </w:t>
      </w:r>
      <w:r w:rsidRPr="000C4831">
        <w:rPr>
          <w:rFonts w:eastAsia="Times New Roman"/>
          <w:i/>
          <w:szCs w:val="17"/>
        </w:rPr>
        <w:t>Local Government Act 1999</w:t>
      </w:r>
      <w:r w:rsidRPr="000C4831">
        <w:rPr>
          <w:rFonts w:eastAsia="Times New Roman"/>
          <w:szCs w:val="17"/>
        </w:rPr>
        <w:t xml:space="preserve"> and paragraph 5.3 of Council’s </w:t>
      </w:r>
      <w:r w:rsidR="00544907">
        <w:rPr>
          <w:rFonts w:eastAsia="Times New Roman"/>
          <w:spacing w:val="-4"/>
          <w:szCs w:val="17"/>
        </w:rPr>
        <w:br/>
      </w:r>
      <w:r w:rsidRPr="000C4831">
        <w:rPr>
          <w:rFonts w:eastAsia="Times New Roman"/>
          <w:i/>
          <w:spacing w:val="-4"/>
          <w:szCs w:val="17"/>
        </w:rPr>
        <w:t>Dogs By-law 2019</w:t>
      </w:r>
      <w:r w:rsidRPr="000C4831">
        <w:rPr>
          <w:rFonts w:eastAsia="Times New Roman"/>
          <w:spacing w:val="-4"/>
          <w:szCs w:val="17"/>
        </w:rPr>
        <w:t xml:space="preserve"> that paragraph 9 of Council’s Dogs By-law 2019 (Dog Prohibited Areas) shall apply to the following part of the area of Council:</w:t>
      </w:r>
    </w:p>
    <w:p w:rsidR="000C4831" w:rsidRPr="000C4831" w:rsidRDefault="000C4831" w:rsidP="003A7FB0">
      <w:pPr>
        <w:spacing w:after="60"/>
        <w:ind w:left="284" w:hanging="142"/>
        <w:rPr>
          <w:rFonts w:eastAsia="Times New Roman"/>
          <w:szCs w:val="17"/>
        </w:rPr>
      </w:pPr>
      <w:r w:rsidRPr="000C4831">
        <w:rPr>
          <w:rFonts w:eastAsia="Times New Roman"/>
          <w:szCs w:val="17"/>
        </w:rPr>
        <w:t>•</w:t>
      </w:r>
      <w:r w:rsidRPr="000C4831">
        <w:rPr>
          <w:rFonts w:eastAsia="Times New Roman"/>
          <w:szCs w:val="17"/>
        </w:rPr>
        <w:tab/>
        <w:t>That part of the local government land comprised in Certificate of Title Register Book Volume 5494 Folio 542 outlined in red on the plan included as Attachment 1 to the report titled ‘Dogs By-Law 2019—Dover Square Reserve’ on the agenda for the meeting of the Council held on 13 April 2021 (a copy of which is to attached to the Minutes of the meeting of the Council held on 13 April 2021), being the local government land known as Dover Square Reserve, South Brighton, South Australia 5048.</w:t>
      </w:r>
    </w:p>
    <w:p w:rsidR="000C4831" w:rsidRPr="000C4831" w:rsidRDefault="000C4831" w:rsidP="003A7FB0">
      <w:pPr>
        <w:spacing w:after="60"/>
        <w:rPr>
          <w:rFonts w:eastAsia="Times New Roman"/>
          <w:szCs w:val="17"/>
        </w:rPr>
      </w:pPr>
      <w:r w:rsidRPr="000C4831">
        <w:rPr>
          <w:rFonts w:eastAsia="Times New Roman"/>
          <w:szCs w:val="17"/>
        </w:rPr>
        <w:t xml:space="preserve">Consequently, dogs are not permitted within the fenced and signed area of Dover Square Reserve, South Brighton. A copy of the map indicating the part of the area of Council that this restriction applies is available at Brighton Civic Centre, Jetty Road, Brighton, South Australia 5048 during business hours and from Council’s website: </w:t>
      </w:r>
      <w:hyperlink r:id="rId34" w:history="1">
        <w:r w:rsidRPr="000C4831">
          <w:rPr>
            <w:rFonts w:eastAsia="Times New Roman"/>
            <w:color w:val="0000FF"/>
            <w:szCs w:val="17"/>
            <w:u w:val="single"/>
          </w:rPr>
          <w:t>http://www.holdfast.sa.gov.au</w:t>
        </w:r>
      </w:hyperlink>
      <w:r w:rsidRPr="000C4831">
        <w:rPr>
          <w:rFonts w:eastAsia="Times New Roman"/>
          <w:szCs w:val="17"/>
        </w:rPr>
        <w:t xml:space="preserve">. </w:t>
      </w:r>
    </w:p>
    <w:p w:rsidR="000C4831" w:rsidRPr="000C4831" w:rsidRDefault="000C4831" w:rsidP="003A7FB0">
      <w:pPr>
        <w:spacing w:after="0"/>
        <w:rPr>
          <w:rFonts w:eastAsia="Times New Roman"/>
          <w:szCs w:val="17"/>
        </w:rPr>
      </w:pPr>
      <w:r w:rsidRPr="000C4831">
        <w:rPr>
          <w:rFonts w:eastAsia="Times New Roman"/>
          <w:szCs w:val="17"/>
        </w:rPr>
        <w:t>Dated: 22 April 2021</w:t>
      </w:r>
    </w:p>
    <w:p w:rsidR="000C4831" w:rsidRPr="000C4831" w:rsidRDefault="000C4831" w:rsidP="003A7FB0">
      <w:pPr>
        <w:spacing w:after="0"/>
        <w:jc w:val="right"/>
        <w:rPr>
          <w:rFonts w:eastAsia="Times New Roman"/>
          <w:smallCaps/>
          <w:szCs w:val="20"/>
        </w:rPr>
      </w:pPr>
      <w:r w:rsidRPr="000C4831">
        <w:rPr>
          <w:rFonts w:eastAsia="Times New Roman"/>
          <w:smallCaps/>
          <w:szCs w:val="20"/>
        </w:rPr>
        <w:t>Roberto Bria</w:t>
      </w:r>
    </w:p>
    <w:p w:rsidR="002E6B8A" w:rsidRDefault="000C4831" w:rsidP="003A7FB0">
      <w:pPr>
        <w:spacing w:after="0"/>
        <w:jc w:val="right"/>
        <w:rPr>
          <w:rFonts w:eastAsia="Times New Roman"/>
          <w:szCs w:val="17"/>
        </w:rPr>
      </w:pPr>
      <w:r w:rsidRPr="000C4831">
        <w:rPr>
          <w:rFonts w:eastAsia="Times New Roman"/>
          <w:szCs w:val="17"/>
        </w:rPr>
        <w:t>Chief Executive Officer</w:t>
      </w:r>
    </w:p>
    <w:p w:rsidR="002E6B8A" w:rsidRDefault="002E6B8A" w:rsidP="003A7FB0">
      <w:pPr>
        <w:pBdr>
          <w:bottom w:val="single" w:sz="4" w:space="1" w:color="auto"/>
        </w:pBdr>
        <w:spacing w:after="0" w:line="52" w:lineRule="exact"/>
        <w:jc w:val="center"/>
        <w:rPr>
          <w:caps/>
          <w:szCs w:val="17"/>
        </w:rPr>
      </w:pPr>
    </w:p>
    <w:p w:rsidR="002E6B8A" w:rsidRDefault="002E6B8A" w:rsidP="003A7FB0">
      <w:pPr>
        <w:pBdr>
          <w:top w:val="single" w:sz="4" w:space="1" w:color="auto"/>
        </w:pBdr>
        <w:spacing w:before="34" w:after="0" w:line="14" w:lineRule="exact"/>
        <w:jc w:val="center"/>
        <w:rPr>
          <w:caps/>
          <w:szCs w:val="17"/>
        </w:rPr>
      </w:pPr>
    </w:p>
    <w:p w:rsidR="002E6B8A" w:rsidRDefault="002E6B8A" w:rsidP="008F39FA">
      <w:pPr>
        <w:spacing w:after="0" w:line="120" w:lineRule="exact"/>
        <w:rPr>
          <w:caps/>
          <w:szCs w:val="17"/>
        </w:rPr>
      </w:pPr>
    </w:p>
    <w:p w:rsidR="004D3D6E" w:rsidRPr="004D3D6E" w:rsidRDefault="004D3D6E" w:rsidP="00051940">
      <w:pPr>
        <w:pStyle w:val="Heading2"/>
        <w:spacing w:after="60"/>
      </w:pPr>
      <w:bookmarkStart w:id="52" w:name="_Toc69916981"/>
      <w:r w:rsidRPr="004D3D6E">
        <w:t>District Council of Streaky Bay</w:t>
      </w:r>
      <w:bookmarkEnd w:id="52"/>
    </w:p>
    <w:p w:rsidR="004D3D6E" w:rsidRPr="004D3D6E" w:rsidRDefault="004D3D6E" w:rsidP="003A7FB0">
      <w:pPr>
        <w:spacing w:after="60"/>
        <w:jc w:val="center"/>
        <w:rPr>
          <w:i/>
          <w:szCs w:val="17"/>
        </w:rPr>
      </w:pPr>
      <w:r w:rsidRPr="004D3D6E">
        <w:rPr>
          <w:i/>
          <w:szCs w:val="17"/>
        </w:rPr>
        <w:t>Resignation of Councillor</w:t>
      </w:r>
    </w:p>
    <w:p w:rsidR="004D3D6E" w:rsidRPr="004D3D6E" w:rsidRDefault="004D3D6E" w:rsidP="003A7FB0">
      <w:pPr>
        <w:spacing w:after="60"/>
        <w:rPr>
          <w:rFonts w:eastAsia="Times New Roman"/>
          <w:szCs w:val="17"/>
        </w:rPr>
      </w:pPr>
      <w:r w:rsidRPr="004D3D6E">
        <w:rPr>
          <w:rFonts w:eastAsia="Times New Roman"/>
          <w:szCs w:val="17"/>
        </w:rPr>
        <w:t xml:space="preserve">Notice is hereby given in accordance with Section 54(6) of the </w:t>
      </w:r>
      <w:r w:rsidRPr="004D3D6E">
        <w:rPr>
          <w:rFonts w:eastAsia="Times New Roman"/>
          <w:i/>
          <w:szCs w:val="17"/>
        </w:rPr>
        <w:t>Local Government Act 1999</w:t>
      </w:r>
      <w:r w:rsidRPr="004D3D6E">
        <w:rPr>
          <w:rFonts w:eastAsia="Times New Roman"/>
          <w:szCs w:val="17"/>
        </w:rPr>
        <w:t>, that a vacancy has occurred in the office of Councillor for Flinders Ward, due to the resignation of Councillor Lauren Karp, effective 10 April 2021.</w:t>
      </w:r>
    </w:p>
    <w:p w:rsidR="004D3D6E" w:rsidRPr="004D3D6E" w:rsidRDefault="004D3D6E" w:rsidP="003A7FB0">
      <w:pPr>
        <w:spacing w:after="0"/>
        <w:rPr>
          <w:rFonts w:eastAsia="Times New Roman"/>
          <w:szCs w:val="17"/>
        </w:rPr>
      </w:pPr>
      <w:r w:rsidRPr="004D3D6E">
        <w:rPr>
          <w:rFonts w:eastAsia="Times New Roman"/>
          <w:szCs w:val="17"/>
        </w:rPr>
        <w:t>Dated: 22 April 2021</w:t>
      </w:r>
    </w:p>
    <w:p w:rsidR="004D3D6E" w:rsidRPr="004D3D6E" w:rsidRDefault="004D3D6E" w:rsidP="003A7FB0">
      <w:pPr>
        <w:spacing w:after="0"/>
        <w:jc w:val="right"/>
        <w:rPr>
          <w:rFonts w:eastAsia="Times New Roman"/>
          <w:smallCaps/>
          <w:szCs w:val="20"/>
        </w:rPr>
      </w:pPr>
      <w:r w:rsidRPr="004D3D6E">
        <w:rPr>
          <w:rFonts w:eastAsia="Times New Roman"/>
          <w:smallCaps/>
          <w:szCs w:val="20"/>
        </w:rPr>
        <w:t>Karina Ewer</w:t>
      </w:r>
    </w:p>
    <w:p w:rsidR="004D3D6E" w:rsidRPr="004D3D6E" w:rsidRDefault="004D3D6E" w:rsidP="003A7FB0">
      <w:pPr>
        <w:spacing w:after="0"/>
        <w:jc w:val="right"/>
        <w:rPr>
          <w:rFonts w:eastAsia="Times New Roman"/>
          <w:szCs w:val="17"/>
        </w:rPr>
      </w:pPr>
      <w:r w:rsidRPr="004D3D6E">
        <w:rPr>
          <w:rFonts w:eastAsia="Times New Roman"/>
          <w:szCs w:val="17"/>
        </w:rPr>
        <w:t>Chief Executive Officer</w:t>
      </w:r>
    </w:p>
    <w:p w:rsidR="004D3D6E" w:rsidRPr="004D3D6E" w:rsidRDefault="004D3D6E" w:rsidP="003A7FB0">
      <w:pPr>
        <w:pBdr>
          <w:top w:val="single" w:sz="4" w:space="1" w:color="auto"/>
        </w:pBdr>
        <w:spacing w:before="100" w:after="0" w:line="14" w:lineRule="exact"/>
        <w:jc w:val="center"/>
        <w:rPr>
          <w:rFonts w:eastAsia="Times New Roman"/>
          <w:szCs w:val="17"/>
        </w:rPr>
      </w:pPr>
    </w:p>
    <w:p w:rsidR="004D3D6E" w:rsidRPr="004D3D6E" w:rsidRDefault="004D3D6E" w:rsidP="008F39FA">
      <w:pPr>
        <w:spacing w:after="0" w:line="120" w:lineRule="exact"/>
        <w:rPr>
          <w:rFonts w:eastAsia="Times New Roman"/>
          <w:szCs w:val="17"/>
        </w:rPr>
      </w:pPr>
    </w:p>
    <w:p w:rsidR="004D3D6E" w:rsidRPr="004D3D6E" w:rsidRDefault="004D3D6E" w:rsidP="003A7FB0">
      <w:pPr>
        <w:spacing w:after="60"/>
        <w:jc w:val="center"/>
        <w:rPr>
          <w:caps/>
          <w:szCs w:val="17"/>
        </w:rPr>
      </w:pPr>
      <w:r w:rsidRPr="004D3D6E">
        <w:rPr>
          <w:caps/>
          <w:szCs w:val="17"/>
        </w:rPr>
        <w:t>District Council of Streaky Bay</w:t>
      </w:r>
    </w:p>
    <w:p w:rsidR="004D3D6E" w:rsidRPr="004D3D6E" w:rsidRDefault="004D3D6E" w:rsidP="003A7FB0">
      <w:pPr>
        <w:spacing w:after="60"/>
        <w:jc w:val="center"/>
        <w:rPr>
          <w:i/>
          <w:szCs w:val="17"/>
        </w:rPr>
      </w:pPr>
      <w:r w:rsidRPr="004D3D6E">
        <w:rPr>
          <w:i/>
          <w:szCs w:val="17"/>
        </w:rPr>
        <w:t>Close of Roll for Supplementary Election</w:t>
      </w:r>
    </w:p>
    <w:p w:rsidR="004D3D6E" w:rsidRPr="004D3D6E" w:rsidRDefault="004D3D6E" w:rsidP="003A7FB0">
      <w:pPr>
        <w:spacing w:after="60"/>
        <w:rPr>
          <w:rFonts w:eastAsia="Times New Roman"/>
          <w:spacing w:val="-4"/>
          <w:szCs w:val="17"/>
        </w:rPr>
      </w:pPr>
      <w:r w:rsidRPr="004D3D6E">
        <w:rPr>
          <w:rFonts w:eastAsia="Times New Roman"/>
          <w:spacing w:val="-4"/>
          <w:szCs w:val="17"/>
        </w:rPr>
        <w:t>Due to the resignation of a member of the council, a supplementary election will be necessary to fill the vacancy of Councillor for Flinders Ward.</w:t>
      </w:r>
    </w:p>
    <w:p w:rsidR="004D3D6E" w:rsidRPr="004D3D6E" w:rsidRDefault="004D3D6E" w:rsidP="003A7FB0">
      <w:pPr>
        <w:spacing w:after="60"/>
        <w:rPr>
          <w:rFonts w:eastAsia="Times New Roman"/>
          <w:szCs w:val="17"/>
        </w:rPr>
      </w:pPr>
      <w:r w:rsidRPr="004D3D6E">
        <w:rPr>
          <w:rFonts w:eastAsia="Times New Roman"/>
          <w:szCs w:val="17"/>
        </w:rPr>
        <w:t>The voters roll for this supplementary election will close at 5pm on Friday, 30 April 2021.</w:t>
      </w:r>
    </w:p>
    <w:p w:rsidR="004D3D6E" w:rsidRPr="004D3D6E" w:rsidRDefault="004D3D6E" w:rsidP="003A7FB0">
      <w:pPr>
        <w:spacing w:after="60"/>
        <w:rPr>
          <w:rFonts w:eastAsia="Times New Roman"/>
          <w:szCs w:val="17"/>
        </w:rPr>
      </w:pPr>
      <w:r w:rsidRPr="004D3D6E">
        <w:rPr>
          <w:rFonts w:eastAsia="Times New Roman"/>
          <w:szCs w:val="17"/>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35" w:history="1">
        <w:r w:rsidRPr="004D3D6E">
          <w:rPr>
            <w:rFonts w:eastAsia="Times New Roman"/>
            <w:color w:val="0000FF"/>
            <w:szCs w:val="17"/>
            <w:u w:val="single"/>
          </w:rPr>
          <w:t>www.ecsa.sa.gov.au</w:t>
        </w:r>
      </w:hyperlink>
      <w:r w:rsidRPr="004D3D6E">
        <w:rPr>
          <w:rFonts w:eastAsia="Times New Roman"/>
          <w:szCs w:val="17"/>
        </w:rPr>
        <w:t xml:space="preserve">. </w:t>
      </w:r>
    </w:p>
    <w:p w:rsidR="004D3D6E" w:rsidRPr="004D3D6E" w:rsidRDefault="004D3D6E" w:rsidP="003A7FB0">
      <w:pPr>
        <w:spacing w:after="60"/>
        <w:rPr>
          <w:rFonts w:eastAsia="Times New Roman"/>
          <w:szCs w:val="17"/>
        </w:rPr>
      </w:pPr>
      <w:r w:rsidRPr="004D3D6E">
        <w:rPr>
          <w:rFonts w:eastAsia="Times New Roman"/>
          <w:szCs w:val="17"/>
        </w:rPr>
        <w:t>If you are not eligible to enrol on the State electoral roll you may still be entitled to enrol to vote if you own or occupy a property in the council area. Contact the council to find out how.</w:t>
      </w:r>
    </w:p>
    <w:p w:rsidR="004D3D6E" w:rsidRPr="004D3D6E" w:rsidRDefault="004D3D6E" w:rsidP="003A7FB0">
      <w:pPr>
        <w:spacing w:after="60"/>
        <w:rPr>
          <w:rFonts w:eastAsia="Times New Roman"/>
          <w:szCs w:val="17"/>
        </w:rPr>
      </w:pPr>
      <w:r w:rsidRPr="004D3D6E">
        <w:rPr>
          <w:rFonts w:eastAsia="Times New Roman"/>
          <w:szCs w:val="17"/>
        </w:rPr>
        <w:t>Nominations to fill the vacancy will open on Thursday, 27 May 2021 and will be received until 12 noon on Thursday, 10 June 2021.</w:t>
      </w:r>
    </w:p>
    <w:p w:rsidR="004D3D6E" w:rsidRPr="004D3D6E" w:rsidRDefault="004D3D6E" w:rsidP="003A7FB0">
      <w:pPr>
        <w:spacing w:after="60"/>
        <w:rPr>
          <w:rFonts w:eastAsia="Times New Roman"/>
          <w:szCs w:val="17"/>
        </w:rPr>
      </w:pPr>
      <w:r w:rsidRPr="004D3D6E">
        <w:rPr>
          <w:rFonts w:eastAsia="Times New Roman"/>
          <w:szCs w:val="17"/>
        </w:rPr>
        <w:t>The election will be conducted entirely by post with the return of ballot material to reach the Returning Officer no later than 12 noon on Monday, 12 July 2021.</w:t>
      </w:r>
    </w:p>
    <w:p w:rsidR="004D3D6E" w:rsidRPr="004D3D6E" w:rsidRDefault="004D3D6E" w:rsidP="003A7FB0">
      <w:pPr>
        <w:spacing w:after="0"/>
        <w:rPr>
          <w:rFonts w:eastAsia="Times New Roman"/>
          <w:szCs w:val="17"/>
        </w:rPr>
      </w:pPr>
      <w:r w:rsidRPr="004D3D6E">
        <w:rPr>
          <w:rFonts w:eastAsia="Times New Roman"/>
          <w:szCs w:val="17"/>
        </w:rPr>
        <w:t>Dated: 22 April 2021</w:t>
      </w:r>
    </w:p>
    <w:p w:rsidR="004D3D6E" w:rsidRPr="004D3D6E" w:rsidRDefault="004D3D6E" w:rsidP="003A7FB0">
      <w:pPr>
        <w:spacing w:after="0"/>
        <w:jc w:val="right"/>
        <w:rPr>
          <w:rFonts w:eastAsia="Times New Roman"/>
          <w:smallCaps/>
          <w:szCs w:val="20"/>
        </w:rPr>
      </w:pPr>
      <w:r w:rsidRPr="004D3D6E">
        <w:rPr>
          <w:rFonts w:eastAsia="Times New Roman"/>
          <w:smallCaps/>
          <w:szCs w:val="20"/>
        </w:rPr>
        <w:t>Mick Sherry</w:t>
      </w:r>
    </w:p>
    <w:p w:rsidR="003A7FB0" w:rsidRDefault="004D3D6E" w:rsidP="003A7FB0">
      <w:pPr>
        <w:spacing w:after="0"/>
        <w:jc w:val="right"/>
        <w:rPr>
          <w:rFonts w:eastAsia="Times New Roman"/>
          <w:szCs w:val="17"/>
        </w:rPr>
      </w:pPr>
      <w:r w:rsidRPr="004D3D6E">
        <w:rPr>
          <w:rFonts w:eastAsia="Times New Roman"/>
          <w:szCs w:val="17"/>
        </w:rPr>
        <w:t>Returning Officer</w:t>
      </w:r>
    </w:p>
    <w:p w:rsidR="003A7FB0" w:rsidRDefault="003A7FB0" w:rsidP="003A7FB0">
      <w:pPr>
        <w:pBdr>
          <w:bottom w:val="single" w:sz="4" w:space="1" w:color="auto"/>
        </w:pBdr>
        <w:spacing w:after="0" w:line="52" w:lineRule="exact"/>
        <w:jc w:val="center"/>
        <w:rPr>
          <w:caps/>
          <w:szCs w:val="17"/>
        </w:rPr>
      </w:pPr>
    </w:p>
    <w:p w:rsidR="003A7FB0" w:rsidRDefault="003A7FB0" w:rsidP="003A7FB0">
      <w:pPr>
        <w:pBdr>
          <w:top w:val="single" w:sz="4" w:space="1" w:color="auto"/>
        </w:pBdr>
        <w:spacing w:before="34" w:after="0" w:line="14" w:lineRule="exact"/>
        <w:jc w:val="center"/>
        <w:rPr>
          <w:caps/>
          <w:szCs w:val="17"/>
        </w:rPr>
      </w:pPr>
    </w:p>
    <w:p w:rsidR="003A7FB0" w:rsidRDefault="003A7FB0" w:rsidP="008F39FA">
      <w:pPr>
        <w:spacing w:after="0" w:line="120" w:lineRule="exact"/>
        <w:rPr>
          <w:caps/>
          <w:szCs w:val="17"/>
        </w:rPr>
      </w:pPr>
    </w:p>
    <w:p w:rsidR="004D3D6E" w:rsidRPr="004D3D6E" w:rsidRDefault="004D3D6E" w:rsidP="00051940">
      <w:pPr>
        <w:pStyle w:val="Heading2"/>
        <w:spacing w:after="60"/>
      </w:pPr>
      <w:bookmarkStart w:id="53" w:name="_Toc69916982"/>
      <w:r w:rsidRPr="004D3D6E">
        <w:t>Tatiara District Council</w:t>
      </w:r>
      <w:bookmarkEnd w:id="53"/>
    </w:p>
    <w:p w:rsidR="004D3D6E" w:rsidRPr="004D3D6E" w:rsidRDefault="004D3D6E" w:rsidP="003A7FB0">
      <w:pPr>
        <w:spacing w:after="60"/>
        <w:jc w:val="center"/>
        <w:rPr>
          <w:i/>
          <w:szCs w:val="17"/>
        </w:rPr>
      </w:pPr>
      <w:r w:rsidRPr="004D3D6E">
        <w:rPr>
          <w:i/>
          <w:szCs w:val="17"/>
        </w:rPr>
        <w:t>Representation Review</w:t>
      </w:r>
    </w:p>
    <w:p w:rsidR="004D3D6E" w:rsidRPr="004D3D6E" w:rsidRDefault="004D3D6E" w:rsidP="003A7FB0">
      <w:pPr>
        <w:spacing w:after="60"/>
        <w:rPr>
          <w:rFonts w:eastAsia="Times New Roman"/>
          <w:szCs w:val="17"/>
        </w:rPr>
      </w:pPr>
      <w:r w:rsidRPr="004D3D6E">
        <w:rPr>
          <w:rFonts w:eastAsia="Times New Roman"/>
          <w:szCs w:val="17"/>
        </w:rPr>
        <w:t xml:space="preserve">Pursuant to the provisions of Section 12(9) of the </w:t>
      </w:r>
      <w:r w:rsidRPr="004D3D6E">
        <w:rPr>
          <w:rFonts w:eastAsia="Times New Roman"/>
          <w:i/>
          <w:szCs w:val="17"/>
        </w:rPr>
        <w:t>Local Government Act 1999</w:t>
      </w:r>
      <w:r w:rsidRPr="004D3D6E">
        <w:rPr>
          <w:rFonts w:eastAsia="Times New Roman"/>
          <w:szCs w:val="17"/>
        </w:rPr>
        <w:t>, notice is hereby given that the Tatiara District Council has prepared a Representation Review Report that sets out, among other things, a proposal that the Council considers should be carried into effect regarding its composition and structure.</w:t>
      </w:r>
    </w:p>
    <w:p w:rsidR="004D3D6E" w:rsidRPr="004D3D6E" w:rsidRDefault="004D3D6E" w:rsidP="003A7FB0">
      <w:pPr>
        <w:spacing w:after="60"/>
        <w:rPr>
          <w:rFonts w:eastAsia="Times New Roman"/>
          <w:szCs w:val="17"/>
        </w:rPr>
      </w:pPr>
      <w:r w:rsidRPr="004D3D6E">
        <w:rPr>
          <w:rFonts w:eastAsia="Times New Roman"/>
          <w:szCs w:val="17"/>
        </w:rPr>
        <w:t>Copies of the Representation Review Report are available for inspection and/or purchase at the following locations:</w:t>
      </w:r>
    </w:p>
    <w:p w:rsidR="004D3D6E" w:rsidRPr="004D3D6E" w:rsidRDefault="004D3D6E" w:rsidP="00544907">
      <w:pPr>
        <w:spacing w:after="40"/>
        <w:ind w:left="284" w:hanging="142"/>
        <w:rPr>
          <w:rFonts w:eastAsia="Times New Roman"/>
          <w:szCs w:val="17"/>
        </w:rPr>
      </w:pPr>
      <w:r w:rsidRPr="004D3D6E">
        <w:rPr>
          <w:rFonts w:eastAsia="Times New Roman"/>
          <w:szCs w:val="17"/>
        </w:rPr>
        <w:t>•</w:t>
      </w:r>
      <w:r w:rsidRPr="004D3D6E">
        <w:rPr>
          <w:rFonts w:eastAsia="Times New Roman"/>
          <w:szCs w:val="17"/>
        </w:rPr>
        <w:tab/>
        <w:t>the Council’s website (</w:t>
      </w:r>
      <w:hyperlink r:id="rId36" w:history="1">
        <w:r w:rsidRPr="004D3D6E">
          <w:rPr>
            <w:rFonts w:eastAsia="Times New Roman"/>
            <w:color w:val="0000FF"/>
            <w:szCs w:val="17"/>
            <w:u w:val="single"/>
          </w:rPr>
          <w:t>www.tatiara.sa.gov.au</w:t>
        </w:r>
      </w:hyperlink>
      <w:r w:rsidRPr="004D3D6E">
        <w:rPr>
          <w:rFonts w:eastAsia="Times New Roman"/>
          <w:szCs w:val="17"/>
        </w:rPr>
        <w:t xml:space="preserve">) </w:t>
      </w:r>
    </w:p>
    <w:p w:rsidR="004D3D6E" w:rsidRPr="004D3D6E" w:rsidRDefault="004D3D6E" w:rsidP="00544907">
      <w:pPr>
        <w:spacing w:after="40"/>
        <w:ind w:left="284" w:hanging="142"/>
        <w:rPr>
          <w:rFonts w:eastAsia="Times New Roman"/>
          <w:szCs w:val="17"/>
        </w:rPr>
      </w:pPr>
      <w:r w:rsidRPr="004D3D6E">
        <w:rPr>
          <w:rFonts w:eastAsia="Times New Roman"/>
          <w:szCs w:val="17"/>
        </w:rPr>
        <w:t>•</w:t>
      </w:r>
      <w:r w:rsidRPr="004D3D6E">
        <w:rPr>
          <w:rFonts w:eastAsia="Times New Roman"/>
          <w:szCs w:val="17"/>
        </w:rPr>
        <w:tab/>
        <w:t>Principal Office, Tatiara District Council, 43 Woolshed Street, Bordertown</w:t>
      </w:r>
    </w:p>
    <w:p w:rsidR="004D3D6E" w:rsidRPr="004D3D6E" w:rsidRDefault="004D3D6E" w:rsidP="003A7FB0">
      <w:pPr>
        <w:spacing w:after="60"/>
        <w:ind w:left="284" w:hanging="142"/>
        <w:rPr>
          <w:rFonts w:eastAsia="Times New Roman"/>
          <w:szCs w:val="17"/>
        </w:rPr>
      </w:pPr>
      <w:r w:rsidRPr="004D3D6E">
        <w:rPr>
          <w:rFonts w:eastAsia="Times New Roman"/>
          <w:szCs w:val="17"/>
        </w:rPr>
        <w:t>•</w:t>
      </w:r>
      <w:r w:rsidRPr="004D3D6E">
        <w:rPr>
          <w:rFonts w:eastAsia="Times New Roman"/>
          <w:szCs w:val="17"/>
        </w:rPr>
        <w:tab/>
        <w:t>Sub Office, Tatiara District Council, 34 Hender Street, Keith</w:t>
      </w:r>
    </w:p>
    <w:p w:rsidR="004D3D6E" w:rsidRPr="004D3D6E" w:rsidRDefault="004D3D6E" w:rsidP="003A7FB0">
      <w:pPr>
        <w:spacing w:after="60"/>
        <w:rPr>
          <w:rFonts w:eastAsia="Times New Roman"/>
          <w:szCs w:val="17"/>
        </w:rPr>
      </w:pPr>
      <w:r w:rsidRPr="004D3D6E">
        <w:rPr>
          <w:rFonts w:eastAsia="Times New Roman"/>
          <w:szCs w:val="17"/>
        </w:rPr>
        <w:t>Interested persons are invited to make written submissions to the Chief Executive Officer of the Council by close of business on Thursday, 13 May 2021 by email (</w:t>
      </w:r>
      <w:hyperlink r:id="rId37" w:history="1">
        <w:r w:rsidRPr="004D3D6E">
          <w:rPr>
            <w:rFonts w:eastAsia="Times New Roman"/>
            <w:color w:val="0000FF"/>
            <w:szCs w:val="17"/>
            <w:u w:val="single"/>
          </w:rPr>
          <w:t>AnneChampness@tatiara.sa.gov.au</w:t>
        </w:r>
      </w:hyperlink>
      <w:r w:rsidRPr="004D3D6E">
        <w:rPr>
          <w:rFonts w:eastAsia="Times New Roman"/>
          <w:szCs w:val="17"/>
        </w:rPr>
        <w:t>) or by post (PO Box 346, Bordertown SA 5268).</w:t>
      </w:r>
    </w:p>
    <w:p w:rsidR="004D3D6E" w:rsidRPr="004D3D6E" w:rsidRDefault="004D3D6E" w:rsidP="003A7FB0">
      <w:pPr>
        <w:spacing w:after="60"/>
        <w:rPr>
          <w:rFonts w:eastAsia="Times New Roman"/>
          <w:szCs w:val="17"/>
        </w:rPr>
      </w:pPr>
      <w:r w:rsidRPr="004D3D6E">
        <w:rPr>
          <w:rFonts w:eastAsia="Times New Roman"/>
          <w:szCs w:val="17"/>
        </w:rPr>
        <w:t xml:space="preserve">Information regarding the Representation Review can be obtained by contacting Ms Anne Champness, Chief Executive Officer, by telephone (08) 8752 1044 or by email </w:t>
      </w:r>
      <w:hyperlink r:id="rId38" w:history="1">
        <w:r w:rsidRPr="004D3D6E">
          <w:rPr>
            <w:rFonts w:eastAsia="Times New Roman"/>
            <w:color w:val="0000FF"/>
            <w:szCs w:val="17"/>
            <w:u w:val="single"/>
          </w:rPr>
          <w:t>AnneChampness@tatiara.sa.gov.au</w:t>
        </w:r>
      </w:hyperlink>
      <w:r w:rsidRPr="004D3D6E">
        <w:rPr>
          <w:rFonts w:eastAsia="Times New Roman"/>
          <w:szCs w:val="17"/>
        </w:rPr>
        <w:t>.</w:t>
      </w:r>
    </w:p>
    <w:p w:rsidR="004D3D6E" w:rsidRPr="004D3D6E" w:rsidRDefault="004D3D6E" w:rsidP="003A7FB0">
      <w:pPr>
        <w:spacing w:after="0"/>
        <w:rPr>
          <w:rFonts w:eastAsia="Times New Roman"/>
          <w:szCs w:val="17"/>
        </w:rPr>
      </w:pPr>
      <w:r w:rsidRPr="004D3D6E">
        <w:rPr>
          <w:rFonts w:eastAsia="Times New Roman"/>
          <w:szCs w:val="17"/>
        </w:rPr>
        <w:t>Dated: 22 April 2021</w:t>
      </w:r>
    </w:p>
    <w:p w:rsidR="004D3D6E" w:rsidRPr="004D3D6E" w:rsidRDefault="004D3D6E" w:rsidP="003A7FB0">
      <w:pPr>
        <w:spacing w:after="0"/>
        <w:jc w:val="right"/>
        <w:rPr>
          <w:rFonts w:eastAsia="Times New Roman"/>
          <w:smallCaps/>
          <w:szCs w:val="20"/>
        </w:rPr>
      </w:pPr>
      <w:r w:rsidRPr="004D3D6E">
        <w:rPr>
          <w:rFonts w:eastAsia="Times New Roman"/>
          <w:smallCaps/>
          <w:szCs w:val="20"/>
        </w:rPr>
        <w:t>Anne Champness</w:t>
      </w:r>
    </w:p>
    <w:p w:rsidR="00D06E38" w:rsidRDefault="004D3D6E" w:rsidP="003A7FB0">
      <w:pPr>
        <w:spacing w:after="0"/>
        <w:jc w:val="right"/>
        <w:rPr>
          <w:rFonts w:eastAsia="Times New Roman"/>
          <w:szCs w:val="17"/>
        </w:rPr>
      </w:pPr>
      <w:r w:rsidRPr="004D3D6E">
        <w:rPr>
          <w:rFonts w:eastAsia="Times New Roman"/>
          <w:szCs w:val="17"/>
        </w:rPr>
        <w:t>Chief Executive Officer</w:t>
      </w:r>
    </w:p>
    <w:p w:rsidR="00D06E38" w:rsidRDefault="00D06E38" w:rsidP="003A7FB0">
      <w:pPr>
        <w:pBdr>
          <w:bottom w:val="single" w:sz="4" w:space="1" w:color="auto"/>
        </w:pBdr>
        <w:spacing w:after="0" w:line="52" w:lineRule="exact"/>
        <w:jc w:val="center"/>
        <w:rPr>
          <w:caps/>
          <w:szCs w:val="17"/>
        </w:rPr>
      </w:pPr>
    </w:p>
    <w:p w:rsidR="00D06E38" w:rsidRDefault="00D06E38" w:rsidP="003A7FB0">
      <w:pPr>
        <w:pBdr>
          <w:top w:val="single" w:sz="4" w:space="1" w:color="auto"/>
        </w:pBdr>
        <w:spacing w:before="34" w:after="0" w:line="14" w:lineRule="exact"/>
        <w:jc w:val="center"/>
        <w:rPr>
          <w:caps/>
          <w:szCs w:val="17"/>
        </w:rPr>
      </w:pPr>
    </w:p>
    <w:p w:rsidR="00D06E38" w:rsidRDefault="00D06E38" w:rsidP="008F39FA">
      <w:pPr>
        <w:spacing w:after="0" w:line="120" w:lineRule="exact"/>
        <w:rPr>
          <w:caps/>
          <w:szCs w:val="17"/>
        </w:rPr>
      </w:pPr>
    </w:p>
    <w:p w:rsidR="004D3D6E" w:rsidRPr="004D3D6E" w:rsidRDefault="004D3D6E" w:rsidP="00051940">
      <w:pPr>
        <w:pStyle w:val="Heading2"/>
      </w:pPr>
      <w:bookmarkStart w:id="54" w:name="_Toc69916983"/>
      <w:r w:rsidRPr="004D3D6E">
        <w:t>Wattle Range Council</w:t>
      </w:r>
      <w:bookmarkEnd w:id="54"/>
    </w:p>
    <w:p w:rsidR="004D3D6E" w:rsidRPr="004D3D6E" w:rsidRDefault="004D3D6E" w:rsidP="003A7FB0">
      <w:pPr>
        <w:jc w:val="center"/>
        <w:rPr>
          <w:i/>
          <w:szCs w:val="17"/>
        </w:rPr>
      </w:pPr>
      <w:r w:rsidRPr="004D3D6E">
        <w:rPr>
          <w:i/>
          <w:szCs w:val="17"/>
        </w:rPr>
        <w:t>Revocation and Appointment of Poundkeeper</w:t>
      </w:r>
    </w:p>
    <w:p w:rsidR="004D3D6E" w:rsidRPr="004D3D6E" w:rsidRDefault="004D3D6E" w:rsidP="003A7FB0">
      <w:pPr>
        <w:rPr>
          <w:rFonts w:eastAsia="Times New Roman"/>
          <w:szCs w:val="17"/>
        </w:rPr>
      </w:pPr>
      <w:r w:rsidRPr="004D3D6E">
        <w:rPr>
          <w:rFonts w:eastAsia="Times New Roman"/>
          <w:szCs w:val="17"/>
        </w:rPr>
        <w:t xml:space="preserve">NOTICE is hereby given that at a meeting held on 13 April 2021, Wattle Range Council resolved to revoke the previous appointment of Paul Kym Whitford and subsequently appoint Roger Mirron Babolka as Poundkeeper at Council’s designated public pounds, pursuant to Section 4(1) of the </w:t>
      </w:r>
      <w:r w:rsidRPr="004D3D6E">
        <w:rPr>
          <w:rFonts w:eastAsia="Times New Roman"/>
          <w:i/>
          <w:szCs w:val="17"/>
        </w:rPr>
        <w:t>Impounding Act 1920</w:t>
      </w:r>
      <w:r w:rsidRPr="004D3D6E">
        <w:rPr>
          <w:rFonts w:eastAsia="Times New Roman"/>
          <w:szCs w:val="17"/>
        </w:rPr>
        <w:t>.</w:t>
      </w:r>
    </w:p>
    <w:p w:rsidR="004D3D6E" w:rsidRPr="004D3D6E" w:rsidRDefault="004D3D6E" w:rsidP="003A7FB0">
      <w:pPr>
        <w:spacing w:after="0"/>
        <w:rPr>
          <w:rFonts w:eastAsia="Times New Roman"/>
          <w:szCs w:val="17"/>
        </w:rPr>
      </w:pPr>
      <w:r w:rsidRPr="004D3D6E">
        <w:rPr>
          <w:rFonts w:eastAsia="Times New Roman"/>
          <w:szCs w:val="17"/>
        </w:rPr>
        <w:t>Dated: 22 April 2021</w:t>
      </w:r>
    </w:p>
    <w:p w:rsidR="004D3D6E" w:rsidRPr="004D3D6E" w:rsidRDefault="004D3D6E" w:rsidP="003A7FB0">
      <w:pPr>
        <w:spacing w:after="0"/>
        <w:jc w:val="right"/>
        <w:rPr>
          <w:rFonts w:eastAsia="Times New Roman"/>
          <w:smallCaps/>
          <w:szCs w:val="20"/>
        </w:rPr>
      </w:pPr>
      <w:r w:rsidRPr="004D3D6E">
        <w:rPr>
          <w:rFonts w:eastAsia="Times New Roman"/>
          <w:smallCaps/>
          <w:szCs w:val="20"/>
        </w:rPr>
        <w:t>B. J. Gower</w:t>
      </w:r>
    </w:p>
    <w:p w:rsidR="009D1E2E" w:rsidRDefault="004D3D6E" w:rsidP="003A7FB0">
      <w:pPr>
        <w:spacing w:after="0"/>
        <w:jc w:val="right"/>
        <w:rPr>
          <w:rFonts w:eastAsia="Times New Roman"/>
          <w:szCs w:val="17"/>
        </w:rPr>
      </w:pPr>
      <w:r w:rsidRPr="004D3D6E">
        <w:rPr>
          <w:rFonts w:eastAsia="Times New Roman"/>
          <w:szCs w:val="17"/>
        </w:rPr>
        <w:t>Chief Executive Officer</w:t>
      </w:r>
    </w:p>
    <w:p w:rsidR="004D3D6E" w:rsidRDefault="004D3D6E" w:rsidP="003A7FB0">
      <w:pPr>
        <w:pBdr>
          <w:bottom w:val="single" w:sz="4" w:space="1" w:color="auto"/>
        </w:pBdr>
        <w:spacing w:after="0" w:line="52" w:lineRule="exact"/>
        <w:jc w:val="center"/>
        <w:rPr>
          <w:lang w:val="en-US"/>
        </w:rPr>
      </w:pPr>
    </w:p>
    <w:p w:rsidR="004D3D6E" w:rsidRDefault="004D3D6E" w:rsidP="003A7FB0">
      <w:pPr>
        <w:pBdr>
          <w:top w:val="single" w:sz="4" w:space="1" w:color="auto"/>
        </w:pBdr>
        <w:spacing w:before="34" w:after="0" w:line="14" w:lineRule="exact"/>
        <w:jc w:val="center"/>
        <w:rPr>
          <w:lang w:val="en-US"/>
        </w:rPr>
      </w:pPr>
    </w:p>
    <w:p w:rsidR="009D1E2E" w:rsidRPr="009D1E2E" w:rsidRDefault="009D1E2E" w:rsidP="006E1D35">
      <w:pPr>
        <w:pStyle w:val="Heading1"/>
        <w:spacing w:before="0"/>
      </w:pPr>
      <w:r>
        <w:rPr>
          <w:lang w:val="en-US"/>
        </w:rPr>
        <w:br w:type="page"/>
      </w:r>
      <w:bookmarkStart w:id="55" w:name="_Toc33707984"/>
      <w:bookmarkStart w:id="56" w:name="_Toc33708155"/>
      <w:bookmarkStart w:id="57" w:name="_Toc69916984"/>
      <w:r>
        <w:lastRenderedPageBreak/>
        <w:t>Public Notices</w:t>
      </w:r>
      <w:bookmarkEnd w:id="55"/>
      <w:bookmarkEnd w:id="56"/>
      <w:bookmarkEnd w:id="57"/>
    </w:p>
    <w:p w:rsidR="00E42D63" w:rsidRPr="00E42D63" w:rsidRDefault="00E42D63" w:rsidP="000C6655">
      <w:pPr>
        <w:pStyle w:val="Heading2"/>
      </w:pPr>
      <w:bookmarkStart w:id="58" w:name="_Toc69916985"/>
      <w:r w:rsidRPr="00E42D63">
        <w:t>Trustee Act 1936</w:t>
      </w:r>
      <w:bookmarkEnd w:id="58"/>
    </w:p>
    <w:p w:rsidR="00E42D63" w:rsidRPr="00E42D63" w:rsidRDefault="00E42D63" w:rsidP="00E42D63">
      <w:pPr>
        <w:jc w:val="center"/>
        <w:rPr>
          <w:smallCaps/>
          <w:szCs w:val="17"/>
        </w:rPr>
      </w:pPr>
      <w:r w:rsidRPr="00E42D63">
        <w:rPr>
          <w:smallCaps/>
          <w:szCs w:val="17"/>
        </w:rPr>
        <w:t>Public Trustee</w:t>
      </w:r>
    </w:p>
    <w:p w:rsidR="00E42D63" w:rsidRPr="00E42D63" w:rsidRDefault="00E42D63" w:rsidP="00E42D63">
      <w:pPr>
        <w:jc w:val="center"/>
        <w:rPr>
          <w:i/>
          <w:szCs w:val="17"/>
        </w:rPr>
      </w:pPr>
      <w:r w:rsidRPr="00E42D63">
        <w:rPr>
          <w:i/>
          <w:szCs w:val="17"/>
        </w:rPr>
        <w:t>Estates of Deceased Persons</w:t>
      </w:r>
    </w:p>
    <w:p w:rsidR="00E42D63" w:rsidRPr="00E42D63" w:rsidRDefault="00E42D63" w:rsidP="00E42D63">
      <w:pPr>
        <w:rPr>
          <w:rFonts w:eastAsia="Times New Roman"/>
          <w:szCs w:val="17"/>
        </w:rPr>
      </w:pPr>
      <w:r w:rsidRPr="00E42D63">
        <w:rPr>
          <w:rFonts w:eastAsia="Times New Roman"/>
          <w:szCs w:val="17"/>
        </w:rPr>
        <w:t>In the matter of the estates of the undermentioned deceased persons:</w:t>
      </w:r>
    </w:p>
    <w:p w:rsidR="00E42D63" w:rsidRPr="00E42D63" w:rsidRDefault="00E42D63" w:rsidP="00E42D63">
      <w:pPr>
        <w:spacing w:after="0"/>
        <w:ind w:left="142"/>
        <w:rPr>
          <w:rFonts w:eastAsia="Times New Roman"/>
          <w:szCs w:val="17"/>
        </w:rPr>
      </w:pPr>
      <w:r w:rsidRPr="00E42D63">
        <w:rPr>
          <w:rFonts w:eastAsia="Times New Roman"/>
          <w:szCs w:val="17"/>
        </w:rPr>
        <w:t>ARQUERO Leigh late of 66 Nelson Road Valley View of no occupation who died 4 October 2020</w:t>
      </w:r>
    </w:p>
    <w:p w:rsidR="00E42D63" w:rsidRPr="00E42D63" w:rsidRDefault="00E42D63" w:rsidP="00E42D63">
      <w:pPr>
        <w:spacing w:after="0"/>
        <w:ind w:left="142"/>
        <w:rPr>
          <w:rFonts w:eastAsia="Times New Roman"/>
          <w:szCs w:val="17"/>
        </w:rPr>
      </w:pPr>
      <w:r w:rsidRPr="00E42D63">
        <w:rPr>
          <w:rFonts w:eastAsia="Times New Roman"/>
          <w:szCs w:val="17"/>
        </w:rPr>
        <w:t>BALL Anthony Norman late of 36C Halsey Road Elizabeth East Retired Production Line Supervisor who died 2 November 2020</w:t>
      </w:r>
    </w:p>
    <w:p w:rsidR="00E42D63" w:rsidRPr="00E42D63" w:rsidRDefault="00E42D63" w:rsidP="00E42D63">
      <w:pPr>
        <w:spacing w:after="0"/>
        <w:ind w:left="142"/>
        <w:rPr>
          <w:rFonts w:eastAsia="Times New Roman"/>
          <w:szCs w:val="17"/>
        </w:rPr>
      </w:pPr>
      <w:r w:rsidRPr="00E42D63">
        <w:rPr>
          <w:rFonts w:eastAsia="Times New Roman"/>
          <w:szCs w:val="17"/>
        </w:rPr>
        <w:t>BIGG Alan John late of 670 Grand Boulevard Seaford of no occupation who died 4 November 2020</w:t>
      </w:r>
    </w:p>
    <w:p w:rsidR="00E42D63" w:rsidRPr="00E42D63" w:rsidRDefault="00E42D63" w:rsidP="00E42D63">
      <w:pPr>
        <w:spacing w:after="0"/>
        <w:ind w:left="142"/>
        <w:rPr>
          <w:rFonts w:eastAsia="Times New Roman"/>
          <w:szCs w:val="17"/>
        </w:rPr>
      </w:pPr>
      <w:r w:rsidRPr="00E42D63">
        <w:rPr>
          <w:rFonts w:eastAsia="Times New Roman"/>
          <w:szCs w:val="17"/>
        </w:rPr>
        <w:t>HUMPHRIES Barry Dean late of 12 Cameron Road Mount Barker of no occupation who died 17 August 2020</w:t>
      </w:r>
    </w:p>
    <w:p w:rsidR="00E42D63" w:rsidRPr="00E42D63" w:rsidRDefault="00E42D63" w:rsidP="00E42D63">
      <w:pPr>
        <w:spacing w:after="0"/>
        <w:ind w:left="142"/>
        <w:rPr>
          <w:rFonts w:eastAsia="Times New Roman"/>
          <w:szCs w:val="17"/>
        </w:rPr>
      </w:pPr>
      <w:r w:rsidRPr="00E42D63">
        <w:rPr>
          <w:rFonts w:eastAsia="Times New Roman"/>
          <w:szCs w:val="17"/>
        </w:rPr>
        <w:t>JOHNSON Russell Martin late of 103 Fisher Street Fullarton of no occupation who died 4 July 2013</w:t>
      </w:r>
    </w:p>
    <w:p w:rsidR="00E42D63" w:rsidRPr="00E42D63" w:rsidRDefault="00E42D63" w:rsidP="00E42D63">
      <w:pPr>
        <w:spacing w:after="0"/>
        <w:ind w:left="142"/>
        <w:rPr>
          <w:rFonts w:eastAsia="Times New Roman"/>
          <w:szCs w:val="17"/>
        </w:rPr>
      </w:pPr>
      <w:r w:rsidRPr="00E42D63">
        <w:rPr>
          <w:rFonts w:eastAsia="Times New Roman"/>
          <w:szCs w:val="17"/>
        </w:rPr>
        <w:t>KOTROTSOS Ilias late of 6 Butcher Street Elizabeth Downs of no occupation who died 5 May 2020</w:t>
      </w:r>
    </w:p>
    <w:p w:rsidR="00E42D63" w:rsidRPr="00E42D63" w:rsidRDefault="00E42D63" w:rsidP="00E42D63">
      <w:pPr>
        <w:spacing w:after="0"/>
        <w:ind w:left="142"/>
        <w:rPr>
          <w:rFonts w:eastAsia="Times New Roman"/>
          <w:szCs w:val="17"/>
        </w:rPr>
      </w:pPr>
      <w:r w:rsidRPr="00E42D63">
        <w:rPr>
          <w:rFonts w:eastAsia="Times New Roman"/>
          <w:szCs w:val="17"/>
        </w:rPr>
        <w:t>KURET Miroslav late of 35 Wilpena Terrace Kilkenny of no occupation who died 24 June 2010</w:t>
      </w:r>
    </w:p>
    <w:p w:rsidR="00E42D63" w:rsidRPr="00E42D63" w:rsidRDefault="00E42D63" w:rsidP="00E42D63">
      <w:pPr>
        <w:spacing w:after="0"/>
        <w:ind w:left="142"/>
        <w:rPr>
          <w:rFonts w:eastAsia="Times New Roman"/>
          <w:szCs w:val="17"/>
        </w:rPr>
      </w:pPr>
      <w:r w:rsidRPr="00E42D63">
        <w:rPr>
          <w:rFonts w:eastAsia="Times New Roman"/>
          <w:szCs w:val="17"/>
        </w:rPr>
        <w:t>SMITH John late of 10 Leiden Court Hackham West of no occupation who died 16 June 2020</w:t>
      </w:r>
    </w:p>
    <w:p w:rsidR="00E42D63" w:rsidRPr="00E42D63" w:rsidRDefault="00E42D63" w:rsidP="00E42D63">
      <w:pPr>
        <w:spacing w:after="0"/>
        <w:ind w:left="142"/>
        <w:rPr>
          <w:rFonts w:eastAsia="Times New Roman"/>
          <w:szCs w:val="17"/>
        </w:rPr>
      </w:pPr>
      <w:r w:rsidRPr="00E42D63">
        <w:rPr>
          <w:rFonts w:eastAsia="Times New Roman"/>
          <w:szCs w:val="17"/>
        </w:rPr>
        <w:t>TONNER Anthony Joseph late of 7 Bronte Crescent Elizabeth of no occupation who died 22 December 2019</w:t>
      </w:r>
    </w:p>
    <w:p w:rsidR="00E42D63" w:rsidRPr="00E42D63" w:rsidRDefault="00E42D63" w:rsidP="00E42D63">
      <w:pPr>
        <w:ind w:left="142"/>
        <w:rPr>
          <w:rFonts w:eastAsia="Times New Roman"/>
          <w:szCs w:val="17"/>
        </w:rPr>
      </w:pPr>
      <w:r w:rsidRPr="00E42D63">
        <w:rPr>
          <w:rFonts w:eastAsia="Times New Roman"/>
          <w:szCs w:val="17"/>
        </w:rPr>
        <w:t>TROWSE Petronella late of 56-58 High Street Grange of no occupation who died 22 December 2020</w:t>
      </w:r>
    </w:p>
    <w:p w:rsidR="00E42D63" w:rsidRPr="00E42D63" w:rsidRDefault="00E42D63" w:rsidP="00E42D63">
      <w:pPr>
        <w:rPr>
          <w:rFonts w:eastAsia="Times New Roman"/>
          <w:spacing w:val="-2"/>
          <w:szCs w:val="17"/>
        </w:rPr>
      </w:pPr>
      <w:r w:rsidRPr="00E42D63">
        <w:rPr>
          <w:rFonts w:eastAsia="Times New Roman"/>
          <w:spacing w:val="-2"/>
          <w:szCs w:val="17"/>
        </w:rPr>
        <w:t xml:space="preserve">Notice is hereby given pursuant to the </w:t>
      </w:r>
      <w:r w:rsidRPr="00E42D63">
        <w:rPr>
          <w:rFonts w:eastAsia="Times New Roman"/>
          <w:i/>
          <w:spacing w:val="-2"/>
          <w:szCs w:val="17"/>
        </w:rPr>
        <w:t>Trustee Act 1936</w:t>
      </w:r>
      <w:r w:rsidRPr="00E42D63">
        <w:rPr>
          <w:rFonts w:eastAsia="Times New Roman"/>
          <w:spacing w:val="-2"/>
          <w:szCs w:val="17"/>
        </w:rPr>
        <w:t xml:space="preserve">, the </w:t>
      </w:r>
      <w:r w:rsidRPr="00E42D63">
        <w:rPr>
          <w:rFonts w:eastAsia="Times New Roman"/>
          <w:i/>
          <w:spacing w:val="-2"/>
          <w:szCs w:val="17"/>
        </w:rPr>
        <w:t>Inheritance (Family Provision) Act 1972</w:t>
      </w:r>
      <w:r w:rsidRPr="00E42D63">
        <w:rPr>
          <w:rFonts w:eastAsia="Times New Roman"/>
          <w:spacing w:val="-2"/>
          <w:szCs w:val="17"/>
        </w:rPr>
        <w:t xml:space="preserve"> and the </w:t>
      </w:r>
      <w:r w:rsidRPr="00E42D63">
        <w:rPr>
          <w:rFonts w:eastAsia="Times New Roman"/>
          <w:i/>
          <w:spacing w:val="-2"/>
          <w:szCs w:val="17"/>
        </w:rPr>
        <w:t>Family Relationships Act 1975</w:t>
      </w:r>
      <w:r w:rsidRPr="00E42D63">
        <w:rPr>
          <w:rFonts w:eastAsia="Times New Roman"/>
          <w:spacing w:val="-2"/>
          <w:szCs w:val="17"/>
        </w:rPr>
        <w:t xml:space="preserve"> </w:t>
      </w:r>
      <w:r w:rsidRPr="00E42D63">
        <w:rPr>
          <w:rFonts w:eastAsia="Times New Roman"/>
          <w:spacing w:val="-4"/>
          <w:szCs w:val="17"/>
        </w:rPr>
        <w:t>that all creditors, beneficiaries, and other persons having claims against the said estates are required to send, in writing, to the office of Public Trustee</w:t>
      </w:r>
      <w:r w:rsidRPr="00E42D63">
        <w:rPr>
          <w:rFonts w:eastAsia="Times New Roman"/>
          <w:spacing w:val="-2"/>
          <w:szCs w:val="17"/>
        </w:rPr>
        <w:t xml:space="preserve"> at GPO Box 1338, Adelaide, 5001, full particulars and proof of such claims, on or before the 21 May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E42D63" w:rsidRPr="00E42D63" w:rsidRDefault="00E42D63" w:rsidP="00E42D63">
      <w:pPr>
        <w:spacing w:after="0"/>
        <w:rPr>
          <w:rFonts w:eastAsia="Times New Roman"/>
          <w:szCs w:val="17"/>
        </w:rPr>
      </w:pPr>
      <w:r w:rsidRPr="00E42D63">
        <w:rPr>
          <w:rFonts w:eastAsia="Times New Roman"/>
          <w:szCs w:val="17"/>
        </w:rPr>
        <w:t>Dated: 22 April 2021</w:t>
      </w:r>
    </w:p>
    <w:p w:rsidR="00E42D63" w:rsidRPr="00E42D63" w:rsidRDefault="00E42D63" w:rsidP="00E42D63">
      <w:pPr>
        <w:spacing w:after="0"/>
        <w:jc w:val="right"/>
        <w:rPr>
          <w:rFonts w:eastAsia="Times New Roman"/>
          <w:smallCaps/>
          <w:szCs w:val="20"/>
        </w:rPr>
      </w:pPr>
      <w:r w:rsidRPr="00E42D63">
        <w:rPr>
          <w:rFonts w:eastAsia="Times New Roman"/>
          <w:smallCaps/>
          <w:szCs w:val="20"/>
        </w:rPr>
        <w:t>N. S. Rantanen</w:t>
      </w:r>
    </w:p>
    <w:p w:rsidR="00E42D63" w:rsidRPr="00E42D63" w:rsidRDefault="00E42D63" w:rsidP="00E42D63">
      <w:pPr>
        <w:spacing w:after="0"/>
        <w:jc w:val="right"/>
        <w:rPr>
          <w:rFonts w:eastAsia="Times New Roman"/>
          <w:szCs w:val="17"/>
        </w:rPr>
      </w:pPr>
      <w:r w:rsidRPr="00E42D63">
        <w:rPr>
          <w:rFonts w:eastAsia="Times New Roman"/>
          <w:szCs w:val="17"/>
        </w:rPr>
        <w:t>Public Trustee</w:t>
      </w:r>
    </w:p>
    <w:p w:rsidR="00E42D63" w:rsidRPr="00E42D63" w:rsidRDefault="00E42D63" w:rsidP="00E42D63">
      <w:pPr>
        <w:pBdr>
          <w:bottom w:val="single" w:sz="4" w:space="1" w:color="auto"/>
        </w:pBdr>
        <w:spacing w:after="0" w:line="52" w:lineRule="exact"/>
        <w:jc w:val="center"/>
        <w:rPr>
          <w:rFonts w:eastAsia="Times New Roman"/>
          <w:szCs w:val="17"/>
        </w:rPr>
      </w:pPr>
    </w:p>
    <w:p w:rsidR="00E42D63" w:rsidRPr="00E42D63" w:rsidRDefault="00E42D63" w:rsidP="00E42D63">
      <w:pPr>
        <w:pBdr>
          <w:top w:val="single" w:sz="4" w:space="1" w:color="auto"/>
        </w:pBdr>
        <w:spacing w:before="34" w:after="0" w:line="14" w:lineRule="exact"/>
        <w:jc w:val="center"/>
        <w:rPr>
          <w:rFonts w:eastAsia="Times New Roman"/>
          <w:szCs w:val="17"/>
        </w:rPr>
      </w:pPr>
    </w:p>
    <w:p w:rsidR="00E42D63" w:rsidRPr="00E42D63" w:rsidRDefault="00E42D63" w:rsidP="00E42D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42D63" w:rsidRPr="00E42D63" w:rsidRDefault="00E42D63" w:rsidP="000C6655">
      <w:pPr>
        <w:pStyle w:val="Heading2"/>
      </w:pPr>
      <w:bookmarkStart w:id="59" w:name="_Toc69916986"/>
      <w:r w:rsidRPr="00E42D63">
        <w:t>National Electricity Law</w:t>
      </w:r>
      <w:bookmarkEnd w:id="59"/>
    </w:p>
    <w:p w:rsidR="00E42D63" w:rsidRPr="00E42D63" w:rsidRDefault="00E42D63" w:rsidP="00E42D63">
      <w:pPr>
        <w:jc w:val="center"/>
        <w:rPr>
          <w:i/>
          <w:szCs w:val="17"/>
        </w:rPr>
      </w:pPr>
      <w:r w:rsidRPr="00E42D63">
        <w:rPr>
          <w:i/>
          <w:szCs w:val="17"/>
        </w:rPr>
        <w:t xml:space="preserve">Extension of Draft Determination and Final Determination; Initiation of Rule Change Requests; </w:t>
      </w:r>
      <w:r w:rsidRPr="00E42D63">
        <w:rPr>
          <w:i/>
          <w:szCs w:val="17"/>
        </w:rPr>
        <w:br/>
        <w:t>Making of Draft Determination and Draft Rule, Final Determination and Final Rule</w:t>
      </w:r>
    </w:p>
    <w:p w:rsidR="00E42D63" w:rsidRPr="00E42D63" w:rsidRDefault="00E42D63" w:rsidP="00E42D63">
      <w:pPr>
        <w:rPr>
          <w:rFonts w:eastAsia="Times New Roman"/>
          <w:szCs w:val="17"/>
        </w:rPr>
      </w:pPr>
      <w:r w:rsidRPr="00E42D63">
        <w:rPr>
          <w:rFonts w:eastAsia="Times New Roman"/>
          <w:szCs w:val="17"/>
        </w:rPr>
        <w:t>The Australian Energy Market Commission (AEMC) gives notice under the National Electricity Law as follows:</w:t>
      </w:r>
    </w:p>
    <w:p w:rsidR="00E42D63" w:rsidRPr="00E42D63" w:rsidRDefault="00E42D63" w:rsidP="00E42D63">
      <w:pPr>
        <w:ind w:left="142"/>
        <w:rPr>
          <w:rFonts w:eastAsia="Times New Roman"/>
          <w:szCs w:val="17"/>
        </w:rPr>
      </w:pPr>
      <w:r w:rsidRPr="00E42D63">
        <w:rPr>
          <w:rFonts w:eastAsia="Times New Roman"/>
          <w:szCs w:val="17"/>
        </w:rPr>
        <w:t xml:space="preserve">Under s 107, the time for making the draft determination on the </w:t>
      </w:r>
      <w:r w:rsidRPr="00E42D63">
        <w:rPr>
          <w:rFonts w:eastAsia="Times New Roman"/>
          <w:i/>
          <w:szCs w:val="17"/>
        </w:rPr>
        <w:t xml:space="preserve">Enhancing operational resilience in relation to indistinct events </w:t>
      </w:r>
      <w:r w:rsidRPr="00E42D63">
        <w:rPr>
          <w:rFonts w:eastAsia="Times New Roman"/>
          <w:szCs w:val="17"/>
        </w:rPr>
        <w:t xml:space="preserve">(Ref. ERC0304) proposal has been extended to </w:t>
      </w:r>
      <w:r w:rsidRPr="00E42D63">
        <w:rPr>
          <w:rFonts w:eastAsia="Times New Roman"/>
          <w:b/>
          <w:szCs w:val="17"/>
        </w:rPr>
        <w:t>28 October 2021</w:t>
      </w:r>
      <w:r w:rsidRPr="00E42D63">
        <w:rPr>
          <w:rFonts w:eastAsia="Times New Roman"/>
          <w:szCs w:val="17"/>
        </w:rPr>
        <w:t>.</w:t>
      </w:r>
    </w:p>
    <w:p w:rsidR="00E42D63" w:rsidRPr="00E42D63" w:rsidRDefault="00E42D63" w:rsidP="00E42D63">
      <w:pPr>
        <w:ind w:left="142"/>
        <w:rPr>
          <w:rFonts w:eastAsia="Times New Roman"/>
          <w:szCs w:val="17"/>
        </w:rPr>
      </w:pPr>
      <w:r w:rsidRPr="00E42D63">
        <w:rPr>
          <w:rFonts w:eastAsia="Times New Roman"/>
          <w:szCs w:val="17"/>
        </w:rPr>
        <w:t xml:space="preserve">Under s 107, the time for the making of the final determination on the </w:t>
      </w:r>
      <w:r w:rsidRPr="00E42D63">
        <w:rPr>
          <w:rFonts w:eastAsia="Times New Roman"/>
          <w:i/>
          <w:szCs w:val="17"/>
        </w:rPr>
        <w:t>Implementing a general power system risk review</w:t>
      </w:r>
      <w:r w:rsidRPr="00E42D63">
        <w:rPr>
          <w:rFonts w:eastAsia="Times New Roman"/>
          <w:szCs w:val="17"/>
        </w:rPr>
        <w:t xml:space="preserve"> (Ref. ERC0303) proposal has been extended to </w:t>
      </w:r>
      <w:r w:rsidRPr="00E42D63">
        <w:rPr>
          <w:rFonts w:eastAsia="Times New Roman"/>
          <w:b/>
          <w:szCs w:val="17"/>
        </w:rPr>
        <w:t>3 June 2021</w:t>
      </w:r>
      <w:r w:rsidRPr="00E42D63">
        <w:rPr>
          <w:rFonts w:eastAsia="Times New Roman"/>
          <w:szCs w:val="17"/>
        </w:rPr>
        <w:t>.</w:t>
      </w:r>
    </w:p>
    <w:p w:rsidR="00E42D63" w:rsidRPr="00E42D63" w:rsidRDefault="00E42D63" w:rsidP="00E42D63">
      <w:pPr>
        <w:ind w:left="142"/>
        <w:rPr>
          <w:rFonts w:eastAsia="Times New Roman"/>
          <w:szCs w:val="17"/>
        </w:rPr>
      </w:pPr>
      <w:r w:rsidRPr="00E42D63">
        <w:rPr>
          <w:rFonts w:eastAsia="Times New Roman"/>
          <w:szCs w:val="17"/>
        </w:rPr>
        <w:t xml:space="preserve">Under ss 102 and 103, the making of the </w:t>
      </w:r>
      <w:r w:rsidRPr="00E42D63">
        <w:rPr>
          <w:rFonts w:eastAsia="Times New Roman"/>
          <w:i/>
          <w:szCs w:val="17"/>
        </w:rPr>
        <w:t>National Electricity Amendment (Minor changes 1 2021) Rule 2021 No. 3</w:t>
      </w:r>
      <w:r w:rsidRPr="00E42D63">
        <w:rPr>
          <w:rFonts w:eastAsia="Times New Roman"/>
          <w:szCs w:val="17"/>
        </w:rPr>
        <w:t xml:space="preserve"> (Ref. ERC0324) and related final determination. All provisions commence on </w:t>
      </w:r>
      <w:r w:rsidRPr="00E42D63">
        <w:rPr>
          <w:rFonts w:eastAsia="Times New Roman"/>
          <w:b/>
          <w:szCs w:val="17"/>
        </w:rPr>
        <w:t>22 April 2021</w:t>
      </w:r>
      <w:r w:rsidRPr="00E42D63">
        <w:rPr>
          <w:rFonts w:eastAsia="Times New Roman"/>
          <w:szCs w:val="17"/>
        </w:rPr>
        <w:t>.</w:t>
      </w:r>
    </w:p>
    <w:p w:rsidR="00E42D63" w:rsidRPr="00E42D63" w:rsidRDefault="00E42D63" w:rsidP="00E42D63">
      <w:pPr>
        <w:ind w:left="142"/>
        <w:rPr>
          <w:rFonts w:eastAsia="Times New Roman"/>
          <w:szCs w:val="17"/>
        </w:rPr>
      </w:pPr>
      <w:r w:rsidRPr="00E42D63">
        <w:rPr>
          <w:rFonts w:eastAsia="Times New Roman"/>
          <w:szCs w:val="17"/>
        </w:rPr>
        <w:t xml:space="preserve">Under s 99, the making of a draft determination and related draft rule on the </w:t>
      </w:r>
      <w:r w:rsidRPr="00E42D63">
        <w:rPr>
          <w:rFonts w:eastAsia="Times New Roman"/>
          <w:i/>
          <w:szCs w:val="17"/>
        </w:rPr>
        <w:t>Fast frequency response market ancillary service</w:t>
      </w:r>
      <w:r w:rsidRPr="00E42D63">
        <w:rPr>
          <w:rFonts w:eastAsia="Times New Roman"/>
          <w:szCs w:val="17"/>
        </w:rPr>
        <w:t xml:space="preserve"> proposal (Ref. ERC0296). Written requests for a pre-determination hearing must be received by </w:t>
      </w:r>
      <w:r w:rsidRPr="00E42D63">
        <w:rPr>
          <w:rFonts w:eastAsia="Times New Roman"/>
          <w:b/>
          <w:szCs w:val="17"/>
        </w:rPr>
        <w:t>29 April 2021</w:t>
      </w:r>
      <w:r w:rsidRPr="00E42D63">
        <w:rPr>
          <w:rFonts w:eastAsia="Times New Roman"/>
          <w:szCs w:val="17"/>
        </w:rPr>
        <w:t xml:space="preserve">. Submissions must be received by </w:t>
      </w:r>
      <w:r w:rsidRPr="00E42D63">
        <w:rPr>
          <w:rFonts w:eastAsia="Times New Roman"/>
          <w:b/>
          <w:szCs w:val="17"/>
        </w:rPr>
        <w:t>3 June 2021</w:t>
      </w:r>
      <w:r w:rsidRPr="00E42D63">
        <w:rPr>
          <w:rFonts w:eastAsia="Times New Roman"/>
          <w:szCs w:val="17"/>
        </w:rPr>
        <w:t>.</w:t>
      </w:r>
    </w:p>
    <w:p w:rsidR="00E42D63" w:rsidRPr="00E42D63" w:rsidRDefault="00E42D63" w:rsidP="00E42D63">
      <w:pPr>
        <w:ind w:left="142"/>
        <w:rPr>
          <w:rFonts w:eastAsia="Times New Roman"/>
          <w:szCs w:val="17"/>
        </w:rPr>
      </w:pPr>
      <w:r w:rsidRPr="00E42D63">
        <w:rPr>
          <w:rFonts w:eastAsia="Times New Roman"/>
          <w:szCs w:val="17"/>
        </w:rPr>
        <w:t xml:space="preserve">Under s 95, the Australian Energy Market Operator has requested the </w:t>
      </w:r>
      <w:r w:rsidRPr="00E42D63">
        <w:rPr>
          <w:rFonts w:eastAsia="Times New Roman"/>
          <w:i/>
          <w:szCs w:val="17"/>
        </w:rPr>
        <w:t>NEM settlement in low, zero or negative demand conditions</w:t>
      </w:r>
      <w:r w:rsidRPr="00E42D63">
        <w:rPr>
          <w:rFonts w:eastAsia="Times New Roman"/>
          <w:szCs w:val="17"/>
        </w:rPr>
        <w:t xml:space="preserve"> (Ref. ERC0326) proposal. The proposal seeks to substitute numbers into non-energy cost formulas when net regional demand is less than 1 MWh, to ensure that the NEM can continue to settle in these conditions. The AEMC intends to expedite the proposal under s 96 as it considers the proposed Rule is urgent, subject to requests not to do so. Written requests not to expedite the proposal must be received by </w:t>
      </w:r>
      <w:r w:rsidRPr="00E42D63">
        <w:rPr>
          <w:rFonts w:eastAsia="Times New Roman"/>
          <w:b/>
          <w:szCs w:val="17"/>
        </w:rPr>
        <w:t>6 May 2021</w:t>
      </w:r>
      <w:r w:rsidRPr="00E42D63">
        <w:rPr>
          <w:rFonts w:eastAsia="Times New Roman"/>
          <w:szCs w:val="17"/>
        </w:rPr>
        <w:t xml:space="preserve">. Submissions must be received by </w:t>
      </w:r>
      <w:r w:rsidRPr="00E42D63">
        <w:rPr>
          <w:rFonts w:eastAsia="Times New Roman"/>
          <w:b/>
          <w:szCs w:val="17"/>
        </w:rPr>
        <w:t>20 May 2021</w:t>
      </w:r>
      <w:r w:rsidRPr="00E42D63">
        <w:rPr>
          <w:rFonts w:eastAsia="Times New Roman"/>
          <w:szCs w:val="17"/>
        </w:rPr>
        <w:t>.</w:t>
      </w:r>
    </w:p>
    <w:p w:rsidR="00E42D63" w:rsidRPr="00E42D63" w:rsidRDefault="00E42D63" w:rsidP="00E42D63">
      <w:pPr>
        <w:ind w:left="142"/>
        <w:rPr>
          <w:rFonts w:eastAsia="Times New Roman"/>
          <w:szCs w:val="17"/>
        </w:rPr>
      </w:pPr>
      <w:r w:rsidRPr="00E42D63">
        <w:rPr>
          <w:rFonts w:eastAsia="Times New Roman"/>
          <w:szCs w:val="17"/>
        </w:rPr>
        <w:t xml:space="preserve">Under s 95, Infigen Energy has requested the </w:t>
      </w:r>
      <w:r w:rsidRPr="00E42D63">
        <w:rPr>
          <w:rFonts w:eastAsia="Times New Roman"/>
          <w:i/>
          <w:szCs w:val="17"/>
        </w:rPr>
        <w:t xml:space="preserve">Settlement under low operational demand </w:t>
      </w:r>
      <w:r w:rsidRPr="00E42D63">
        <w:rPr>
          <w:rFonts w:eastAsia="Times New Roman"/>
          <w:szCs w:val="17"/>
        </w:rPr>
        <w:t xml:space="preserve">(Ref. ERC0327) proposal. The proposal seeks to change the formulas used for non-energy cost recovery. Submissions must be received by </w:t>
      </w:r>
      <w:r w:rsidRPr="00E42D63">
        <w:rPr>
          <w:rFonts w:eastAsia="Times New Roman"/>
          <w:b/>
          <w:szCs w:val="17"/>
        </w:rPr>
        <w:t>20 May 2021</w:t>
      </w:r>
      <w:r w:rsidRPr="00E42D63">
        <w:rPr>
          <w:rFonts w:eastAsia="Times New Roman"/>
          <w:szCs w:val="17"/>
        </w:rPr>
        <w:t>.</w:t>
      </w:r>
    </w:p>
    <w:p w:rsidR="00E42D63" w:rsidRPr="00E42D63" w:rsidRDefault="00E42D63" w:rsidP="00E42D63">
      <w:pPr>
        <w:rPr>
          <w:rFonts w:eastAsia="Times New Roman"/>
          <w:szCs w:val="17"/>
        </w:rPr>
      </w:pPr>
      <w:r w:rsidRPr="00E42D63">
        <w:rPr>
          <w:rFonts w:eastAsia="Times New Roman"/>
          <w:spacing w:val="-2"/>
          <w:szCs w:val="17"/>
        </w:rPr>
        <w:t xml:space="preserve">Submissions can be made via the AEMC’s website. Before making a submission, please review the AEMC’s privacy statement on its website. </w:t>
      </w:r>
      <w:r w:rsidRPr="00E42D63">
        <w:rPr>
          <w:rFonts w:eastAsia="Times New Roman"/>
          <w:szCs w:val="17"/>
        </w:rPr>
        <w:t xml:space="preserve">Submissions should be made in accordance with the AEMC’s </w:t>
      </w:r>
      <w:r w:rsidRPr="00E42D63">
        <w:rPr>
          <w:rFonts w:eastAsia="Times New Roman"/>
          <w:i/>
          <w:szCs w:val="17"/>
        </w:rPr>
        <w:t>Guidelines for making written submissions on Rule change proposals</w:t>
      </w:r>
      <w:r w:rsidRPr="00E42D63">
        <w:rPr>
          <w:rFonts w:eastAsia="Times New Roman"/>
          <w:szCs w:val="17"/>
        </w:rPr>
        <w:t>. The AEMC publishes all submissions on its website, subject to confidentiality.</w:t>
      </w:r>
    </w:p>
    <w:p w:rsidR="00E42D63" w:rsidRPr="00E42D63" w:rsidRDefault="00E42D63" w:rsidP="00E42D63">
      <w:pPr>
        <w:rPr>
          <w:rFonts w:eastAsia="Times New Roman"/>
          <w:szCs w:val="17"/>
        </w:rPr>
      </w:pPr>
      <w:r w:rsidRPr="00E42D63">
        <w:rPr>
          <w:rFonts w:eastAsia="Times New Roman"/>
          <w:szCs w:val="17"/>
        </w:rPr>
        <w:t xml:space="preserve">Written requests should be sent to </w:t>
      </w:r>
      <w:hyperlink r:id="rId39" w:history="1">
        <w:r w:rsidRPr="00E42D63">
          <w:rPr>
            <w:rFonts w:eastAsia="Times New Roman"/>
            <w:color w:val="0000FF"/>
            <w:szCs w:val="17"/>
            <w:u w:val="single"/>
          </w:rPr>
          <w:t>submissions@aemc.gov.au</w:t>
        </w:r>
      </w:hyperlink>
      <w:r w:rsidRPr="00E42D63">
        <w:rPr>
          <w:rFonts w:eastAsia="Times New Roman"/>
          <w:szCs w:val="17"/>
        </w:rPr>
        <w:t xml:space="preserve"> and cite the reference in the title. Before sending a request, please review the AEMC’s privacy statement on its website.</w:t>
      </w:r>
    </w:p>
    <w:p w:rsidR="00E42D63" w:rsidRPr="00E42D63" w:rsidRDefault="00E42D63" w:rsidP="00E42D63">
      <w:pPr>
        <w:rPr>
          <w:rFonts w:eastAsia="Times New Roman"/>
          <w:szCs w:val="17"/>
        </w:rPr>
      </w:pPr>
      <w:r w:rsidRPr="00E42D63">
        <w:rPr>
          <w:rFonts w:eastAsia="Times New Roman"/>
          <w:szCs w:val="17"/>
        </w:rPr>
        <w:t>Documents referred to above are available on the AEMC’s website and are available for inspection at the AEMC’s office.</w:t>
      </w:r>
    </w:p>
    <w:p w:rsidR="00E42D63" w:rsidRPr="00E42D63" w:rsidRDefault="00E42D63" w:rsidP="00E42D63">
      <w:pPr>
        <w:spacing w:after="0"/>
        <w:ind w:left="142"/>
        <w:rPr>
          <w:rFonts w:eastAsia="Times New Roman"/>
          <w:szCs w:val="17"/>
        </w:rPr>
      </w:pPr>
      <w:r w:rsidRPr="00E42D63">
        <w:rPr>
          <w:rFonts w:eastAsia="Times New Roman"/>
          <w:szCs w:val="17"/>
        </w:rPr>
        <w:t>Australian Energy Market Commission</w:t>
      </w:r>
    </w:p>
    <w:p w:rsidR="00E42D63" w:rsidRPr="00E42D63" w:rsidRDefault="00E42D63" w:rsidP="00E42D63">
      <w:pPr>
        <w:spacing w:after="0"/>
        <w:ind w:left="142"/>
        <w:rPr>
          <w:rFonts w:eastAsia="Times New Roman"/>
          <w:szCs w:val="17"/>
        </w:rPr>
      </w:pPr>
      <w:r w:rsidRPr="00E42D63">
        <w:rPr>
          <w:rFonts w:eastAsia="Times New Roman"/>
          <w:szCs w:val="17"/>
        </w:rPr>
        <w:t>Level 15, 60 Castlereagh St</w:t>
      </w:r>
    </w:p>
    <w:p w:rsidR="00E42D63" w:rsidRPr="00E42D63" w:rsidRDefault="00E42D63" w:rsidP="00E42D63">
      <w:pPr>
        <w:ind w:left="142"/>
        <w:rPr>
          <w:rFonts w:eastAsia="Times New Roman"/>
          <w:szCs w:val="17"/>
        </w:rPr>
      </w:pPr>
      <w:r w:rsidRPr="00E42D63">
        <w:rPr>
          <w:rFonts w:eastAsia="Times New Roman"/>
          <w:szCs w:val="17"/>
        </w:rPr>
        <w:t>Sydney NSW 2000</w:t>
      </w:r>
    </w:p>
    <w:p w:rsidR="00E42D63" w:rsidRPr="00E42D63" w:rsidRDefault="00E42D63" w:rsidP="00E42D63">
      <w:pPr>
        <w:spacing w:after="0"/>
        <w:ind w:left="142"/>
        <w:rPr>
          <w:rFonts w:eastAsia="Times New Roman"/>
          <w:szCs w:val="17"/>
        </w:rPr>
      </w:pPr>
      <w:r w:rsidRPr="00E42D63">
        <w:rPr>
          <w:rFonts w:eastAsia="Times New Roman"/>
          <w:szCs w:val="17"/>
        </w:rPr>
        <w:t>Telephone: (02) 8296 7800</w:t>
      </w:r>
    </w:p>
    <w:p w:rsidR="00E42D63" w:rsidRPr="00E42D63" w:rsidRDefault="00134C11" w:rsidP="00E42D63">
      <w:pPr>
        <w:ind w:left="142"/>
        <w:rPr>
          <w:rFonts w:eastAsia="Times New Roman"/>
          <w:szCs w:val="17"/>
        </w:rPr>
      </w:pPr>
      <w:hyperlink r:id="rId40" w:history="1">
        <w:r w:rsidR="00E42D63" w:rsidRPr="00E42D63">
          <w:rPr>
            <w:rFonts w:eastAsia="Times New Roman"/>
            <w:color w:val="0000FF"/>
            <w:szCs w:val="17"/>
            <w:u w:val="single"/>
          </w:rPr>
          <w:t>www.aemc.gov.au</w:t>
        </w:r>
      </w:hyperlink>
    </w:p>
    <w:p w:rsidR="009D1E2E" w:rsidRDefault="00E42D63" w:rsidP="00E42D63">
      <w:pPr>
        <w:spacing w:after="0"/>
        <w:rPr>
          <w:rFonts w:eastAsia="Times New Roman"/>
          <w:szCs w:val="17"/>
        </w:rPr>
      </w:pPr>
      <w:r w:rsidRPr="00E42D63">
        <w:rPr>
          <w:rFonts w:eastAsia="Times New Roman"/>
          <w:szCs w:val="17"/>
        </w:rPr>
        <w:t>Dated: 22 April 2021</w:t>
      </w:r>
    </w:p>
    <w:p w:rsidR="00E42D63" w:rsidRDefault="00E42D63" w:rsidP="00E42D63">
      <w:pPr>
        <w:pBdr>
          <w:bottom w:val="single" w:sz="4" w:space="1" w:color="auto"/>
        </w:pBdr>
        <w:spacing w:after="0" w:line="52" w:lineRule="exact"/>
        <w:jc w:val="center"/>
        <w:rPr>
          <w:lang w:val="en-US"/>
        </w:rPr>
      </w:pPr>
    </w:p>
    <w:p w:rsidR="00E42D63" w:rsidRDefault="00E42D63" w:rsidP="00E42D63">
      <w:pPr>
        <w:pBdr>
          <w:top w:val="single" w:sz="4" w:space="1" w:color="auto"/>
        </w:pBdr>
        <w:spacing w:before="34" w:after="0" w:line="14" w:lineRule="exact"/>
        <w:jc w:val="center"/>
        <w:rPr>
          <w:lang w:val="en-US"/>
        </w:rPr>
      </w:pPr>
    </w:p>
    <w:p w:rsidR="00E42D63" w:rsidRDefault="00E42D63" w:rsidP="00E42D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B6521" w:rsidRDefault="002B6521">
      <w:pPr>
        <w:spacing w:after="0" w:line="240" w:lineRule="auto"/>
        <w:jc w:val="left"/>
        <w:rPr>
          <w:caps/>
          <w:szCs w:val="17"/>
        </w:rPr>
      </w:pPr>
      <w:r>
        <w:rPr>
          <w:caps/>
          <w:szCs w:val="17"/>
        </w:rPr>
        <w:br w:type="page"/>
      </w:r>
    </w:p>
    <w:p w:rsidR="00E42D63" w:rsidRPr="00E42D63" w:rsidRDefault="00E42D63" w:rsidP="000C6655">
      <w:pPr>
        <w:pStyle w:val="Heading2"/>
      </w:pPr>
      <w:bookmarkStart w:id="60" w:name="_Toc69916987"/>
      <w:r w:rsidRPr="00E42D63">
        <w:lastRenderedPageBreak/>
        <w:t>Partnership Act 1891</w:t>
      </w:r>
      <w:bookmarkEnd w:id="60"/>
    </w:p>
    <w:p w:rsidR="00E42D63" w:rsidRPr="00E42D63" w:rsidRDefault="00E42D63" w:rsidP="00E42D63">
      <w:pPr>
        <w:jc w:val="center"/>
        <w:rPr>
          <w:i/>
          <w:szCs w:val="17"/>
        </w:rPr>
      </w:pPr>
      <w:r w:rsidRPr="00E42D63">
        <w:rPr>
          <w:i/>
          <w:szCs w:val="17"/>
        </w:rPr>
        <w:t>Dissolution of Partnership</w:t>
      </w:r>
    </w:p>
    <w:p w:rsidR="00E42D63" w:rsidRPr="00E42D63" w:rsidRDefault="00E42D63" w:rsidP="00E42D63">
      <w:pPr>
        <w:rPr>
          <w:rFonts w:eastAsia="Times New Roman"/>
          <w:spacing w:val="-2"/>
          <w:szCs w:val="17"/>
        </w:rPr>
      </w:pPr>
      <w:r w:rsidRPr="00E42D63">
        <w:rPr>
          <w:rFonts w:eastAsia="Times New Roman"/>
          <w:spacing w:val="-2"/>
          <w:szCs w:val="17"/>
        </w:rPr>
        <w:t>Ashley Strother of 27 Tan Lane, Seaford Meadows SA 5169 is a partner of the Waterfall Community Café established in the month of July 2020 for the purposes of running a for-profit hospitality business and formed in accordance with a partnership agreement.</w:t>
      </w:r>
    </w:p>
    <w:p w:rsidR="00E42D63" w:rsidRPr="00E42D63" w:rsidRDefault="00E42D63" w:rsidP="00E42D63">
      <w:pPr>
        <w:rPr>
          <w:rFonts w:eastAsia="Times New Roman"/>
          <w:szCs w:val="17"/>
        </w:rPr>
      </w:pPr>
      <w:r w:rsidRPr="00E42D63">
        <w:rPr>
          <w:rFonts w:eastAsia="Times New Roman"/>
          <w:szCs w:val="17"/>
        </w:rPr>
        <w:t>The withdrawing partner wishes to dissolve the partnership. The date of dissolution will be the 20 April 2021.</w:t>
      </w:r>
    </w:p>
    <w:p w:rsidR="00E42D63" w:rsidRPr="00E42D63" w:rsidRDefault="00E42D63" w:rsidP="00E42D63">
      <w:pPr>
        <w:rPr>
          <w:rFonts w:eastAsia="Times New Roman"/>
          <w:spacing w:val="-2"/>
          <w:szCs w:val="17"/>
        </w:rPr>
      </w:pPr>
      <w:r w:rsidRPr="00E42D63">
        <w:rPr>
          <w:rFonts w:eastAsia="Times New Roman"/>
          <w:spacing w:val="-2"/>
          <w:szCs w:val="17"/>
        </w:rPr>
        <w:t>With this document, the withdrawing partner gives immediate notice of withdrawal in writing to the remaining partners at 13 Battunga Road, Meadows SA 5201.</w:t>
      </w:r>
    </w:p>
    <w:p w:rsidR="00E42D63" w:rsidRPr="00E42D63" w:rsidRDefault="00E42D63" w:rsidP="00E42D63">
      <w:pPr>
        <w:rPr>
          <w:rFonts w:eastAsia="Times New Roman"/>
          <w:szCs w:val="17"/>
        </w:rPr>
      </w:pPr>
      <w:r w:rsidRPr="00E42D63">
        <w:rPr>
          <w:rFonts w:eastAsia="Times New Roman"/>
          <w:szCs w:val="17"/>
        </w:rPr>
        <w:t>The partnership agreement is governed by the laws of the State of South Australia and provides that the exclusive jurisdiction for the enforcement of this matter is with the courts of the State of South Australia.</w:t>
      </w:r>
    </w:p>
    <w:p w:rsidR="00E42D63" w:rsidRPr="00E42D63" w:rsidRDefault="00E42D63" w:rsidP="00E42D63">
      <w:pPr>
        <w:spacing w:after="0"/>
        <w:rPr>
          <w:rFonts w:eastAsia="Times New Roman"/>
          <w:szCs w:val="17"/>
        </w:rPr>
      </w:pPr>
      <w:r w:rsidRPr="00E42D63">
        <w:rPr>
          <w:rFonts w:eastAsia="Times New Roman"/>
          <w:szCs w:val="17"/>
        </w:rPr>
        <w:t>Dated: 19 April 2021</w:t>
      </w:r>
    </w:p>
    <w:p w:rsidR="00E42D63" w:rsidRPr="00E42D63" w:rsidRDefault="00E42D63" w:rsidP="00E42D63">
      <w:pPr>
        <w:spacing w:after="0"/>
        <w:jc w:val="right"/>
        <w:rPr>
          <w:rFonts w:eastAsia="Times New Roman"/>
          <w:smallCaps/>
          <w:szCs w:val="20"/>
        </w:rPr>
      </w:pPr>
      <w:r w:rsidRPr="00E42D63">
        <w:rPr>
          <w:rFonts w:eastAsia="Times New Roman"/>
          <w:smallCaps/>
          <w:szCs w:val="20"/>
        </w:rPr>
        <w:t>Ashley Strother</w:t>
      </w:r>
    </w:p>
    <w:p w:rsidR="00E42D63" w:rsidRPr="00E42D63" w:rsidRDefault="00E42D63" w:rsidP="00E42D63">
      <w:pPr>
        <w:spacing w:after="0"/>
        <w:jc w:val="right"/>
        <w:rPr>
          <w:rFonts w:eastAsia="Times New Roman"/>
          <w:szCs w:val="17"/>
        </w:rPr>
      </w:pPr>
      <w:r w:rsidRPr="00E42D63">
        <w:rPr>
          <w:rFonts w:eastAsia="Times New Roman"/>
          <w:szCs w:val="17"/>
        </w:rPr>
        <w:t>Business Partner</w:t>
      </w:r>
    </w:p>
    <w:p w:rsidR="00E42D63" w:rsidRDefault="00E42D63" w:rsidP="00E42D63">
      <w:pPr>
        <w:spacing w:after="0"/>
        <w:jc w:val="right"/>
        <w:rPr>
          <w:rFonts w:eastAsia="Times New Roman"/>
          <w:szCs w:val="17"/>
        </w:rPr>
      </w:pPr>
      <w:r w:rsidRPr="00E42D63">
        <w:rPr>
          <w:rFonts w:eastAsia="Times New Roman"/>
          <w:szCs w:val="17"/>
        </w:rPr>
        <w:t>Waterfall Community Café</w:t>
      </w:r>
    </w:p>
    <w:p w:rsidR="00E42D63" w:rsidRDefault="00E42D63" w:rsidP="00E42D63">
      <w:pPr>
        <w:pBdr>
          <w:bottom w:val="single" w:sz="4" w:space="1" w:color="auto"/>
        </w:pBdr>
        <w:spacing w:after="0" w:line="52" w:lineRule="exact"/>
        <w:jc w:val="center"/>
        <w:rPr>
          <w:lang w:val="en-US"/>
        </w:rPr>
      </w:pPr>
    </w:p>
    <w:p w:rsidR="00E42D63" w:rsidRDefault="00E42D63" w:rsidP="00E42D63">
      <w:pPr>
        <w:pBdr>
          <w:top w:val="single" w:sz="4" w:space="1" w:color="auto"/>
        </w:pBdr>
        <w:spacing w:before="34" w:after="0" w:line="14" w:lineRule="exact"/>
        <w:jc w:val="center"/>
        <w:rPr>
          <w:lang w:val="en-US"/>
        </w:rPr>
      </w:pPr>
    </w:p>
    <w:p w:rsidR="00E42D63" w:rsidRDefault="00E42D63" w:rsidP="00E42D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CD586C">
      <w:pPr>
        <w:numPr>
          <w:ilvl w:val="0"/>
          <w:numId w:val="43"/>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CD586C">
      <w:pPr>
        <w:numPr>
          <w:ilvl w:val="0"/>
          <w:numId w:val="43"/>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4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4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43" w:history="1">
        <w:r w:rsidRPr="000B6B42">
          <w:rPr>
            <w:rStyle w:val="Hyperlink"/>
            <w:szCs w:val="17"/>
          </w:rPr>
          <w:t>www.governmentgazette.sa.gov.au</w:t>
        </w:r>
      </w:hyperlink>
      <w:r>
        <w:rPr>
          <w:szCs w:val="17"/>
        </w:rPr>
        <w:t xml:space="preserve"> </w:t>
      </w:r>
    </w:p>
    <w:sectPr w:rsidR="00D0446B" w:rsidRPr="00C77C39" w:rsidSect="0030064C">
      <w:headerReference w:type="even" r:id="rId44"/>
      <w:headerReference w:type="default" r:id="rId45"/>
      <w:footnotePr>
        <w:pos w:val="beneathText"/>
      </w:footnotePr>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11" w:rsidRDefault="00134C11" w:rsidP="00777F88">
      <w:pPr>
        <w:spacing w:after="0" w:line="240" w:lineRule="auto"/>
      </w:pPr>
      <w:r>
        <w:separator/>
      </w:r>
    </w:p>
  </w:endnote>
  <w:endnote w:type="continuationSeparator" w:id="0">
    <w:p w:rsidR="00134C11" w:rsidRDefault="00134C1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D0446B" w:rsidRDefault="00134C11"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144772" w:rsidRDefault="00134C1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134C11" w:rsidRPr="00144772" w:rsidRDefault="00134C1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134C11" w:rsidRPr="00777F88" w:rsidRDefault="00134C11"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134C11" w:rsidRPr="00777F88" w:rsidRDefault="00134C11"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134C11" w:rsidRPr="00D0446B" w:rsidRDefault="00134C11"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D0446B" w:rsidRDefault="00134C11"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144772" w:rsidRDefault="00134C1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134C11" w:rsidRPr="00144772" w:rsidRDefault="00134C1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134C11" w:rsidRPr="00777F88" w:rsidRDefault="00134C11"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134C11" w:rsidRPr="00777F88" w:rsidRDefault="00134C11" w:rsidP="00D0446B">
    <w:pPr>
      <w:pStyle w:val="Footer"/>
      <w:spacing w:line="170" w:lineRule="exact"/>
      <w:jc w:val="center"/>
      <w:rPr>
        <w:szCs w:val="17"/>
      </w:rPr>
    </w:pPr>
    <w:r w:rsidRPr="00777F88">
      <w:rPr>
        <w:szCs w:val="17"/>
      </w:rPr>
      <w:t>$7.21 per issue (plus postage), $361.90 per annual subscription—GST inclusive</w:t>
    </w:r>
  </w:p>
  <w:p w:rsidR="00134C11" w:rsidRPr="00D0446B" w:rsidRDefault="00134C11"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11" w:rsidRDefault="00134C11" w:rsidP="00777F88">
      <w:pPr>
        <w:spacing w:after="0" w:line="240" w:lineRule="auto"/>
      </w:pPr>
      <w:r>
        <w:separator/>
      </w:r>
    </w:p>
  </w:footnote>
  <w:footnote w:type="continuationSeparator" w:id="0">
    <w:p w:rsidR="00134C11" w:rsidRDefault="00134C1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34074D" w:rsidRDefault="00134C11"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134C11" w:rsidRPr="0034074D" w:rsidRDefault="00134C11" w:rsidP="0034074D">
    <w:pPr>
      <w:pStyle w:val="Header"/>
      <w:pBdr>
        <w:top w:val="single" w:sz="4" w:space="1" w:color="auto"/>
      </w:pBdr>
      <w:tabs>
        <w:tab w:val="clear" w:pos="9026"/>
        <w:tab w:val="right" w:pos="9360"/>
      </w:tabs>
      <w:spacing w:before="100" w:line="14" w:lineRule="exact"/>
      <w:jc w:val="center"/>
      <w:rPr>
        <w:sz w:val="20"/>
        <w:szCs w:val="20"/>
      </w:rPr>
    </w:pPr>
  </w:p>
  <w:p w:rsidR="00134C11" w:rsidRPr="0034074D" w:rsidRDefault="00134C11"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DA30CF" w:rsidRDefault="00134C11"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C25241" w:rsidRDefault="00134C11"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23</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E72658">
      <w:rPr>
        <w:noProof/>
        <w:sz w:val="21"/>
        <w:szCs w:val="21"/>
      </w:rPr>
      <w:t>1217</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34074D" w:rsidRDefault="00134C11"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134C11" w:rsidRPr="0034074D" w:rsidRDefault="00134C11" w:rsidP="0034074D">
    <w:pPr>
      <w:pStyle w:val="Header"/>
      <w:pBdr>
        <w:top w:val="single" w:sz="4" w:space="1" w:color="auto"/>
      </w:pBdr>
      <w:tabs>
        <w:tab w:val="clear" w:pos="9026"/>
        <w:tab w:val="right" w:pos="9360"/>
      </w:tabs>
      <w:spacing w:before="100" w:line="14" w:lineRule="exact"/>
      <w:jc w:val="center"/>
      <w:rPr>
        <w:sz w:val="20"/>
        <w:szCs w:val="20"/>
      </w:rPr>
    </w:pPr>
  </w:p>
  <w:p w:rsidR="00134C11" w:rsidRPr="0034074D" w:rsidRDefault="00134C11"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DA30CF" w:rsidRDefault="00134C11"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C25241" w:rsidRDefault="00134C11"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23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E72658">
      <w:rPr>
        <w:rFonts w:eastAsia="Times New Roman"/>
        <w:noProof/>
        <w:sz w:val="21"/>
        <w:szCs w:val="21"/>
      </w:rPr>
      <w:t>1246</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22 April</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C11" w:rsidRPr="00C25241" w:rsidRDefault="00134C11"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22</w:t>
    </w:r>
    <w:r w:rsidRPr="00A55207">
      <w:rPr>
        <w:rFonts w:eastAsia="Times New Roman"/>
        <w:sz w:val="21"/>
        <w:szCs w:val="21"/>
      </w:rPr>
      <w:t xml:space="preserve"> </w:t>
    </w:r>
    <w:r>
      <w:rPr>
        <w:rFonts w:eastAsia="Times New Roman"/>
        <w:sz w:val="21"/>
        <w:szCs w:val="21"/>
      </w:rPr>
      <w:t>April</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23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E72658">
      <w:rPr>
        <w:rFonts w:eastAsia="Times New Roman"/>
        <w:noProof/>
        <w:sz w:val="21"/>
        <w:szCs w:val="21"/>
      </w:rPr>
      <w:t>1247</w:t>
    </w:r>
    <w:r w:rsidRPr="00C25241">
      <w:rPr>
        <w:rFonts w:eastAsia="Times New Roman"/>
        <w:noProof/>
        <w:sz w:val="21"/>
        <w:szCs w:val="21"/>
      </w:rPr>
      <w:fldChar w:fldCharType="end"/>
    </w:r>
  </w:p>
  <w:p w:rsidR="00134C11" w:rsidRPr="00C25241" w:rsidRDefault="00134C11">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3"/>
  </w:num>
  <w:num w:numId="2">
    <w:abstractNumId w:val="28"/>
  </w:num>
  <w:num w:numId="3">
    <w:abstractNumId w:val="34"/>
  </w:num>
  <w:num w:numId="4">
    <w:abstractNumId w:val="38"/>
  </w:num>
  <w:num w:numId="5">
    <w:abstractNumId w:val="10"/>
  </w:num>
  <w:num w:numId="6">
    <w:abstractNumId w:val="3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8"/>
  </w:num>
  <w:num w:numId="11">
    <w:abstractNumId w:val="14"/>
  </w:num>
  <w:num w:numId="12">
    <w:abstractNumId w:val="25"/>
  </w:num>
  <w:num w:numId="13">
    <w:abstractNumId w:val="2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7"/>
  </w:num>
  <w:num w:numId="18">
    <w:abstractNumId w:val="21"/>
  </w:num>
  <w:num w:numId="19">
    <w:abstractNumId w:val="12"/>
  </w:num>
  <w:num w:numId="20">
    <w:abstractNumId w:val="40"/>
  </w:num>
  <w:num w:numId="21">
    <w:abstractNumId w:val="41"/>
  </w:num>
  <w:num w:numId="22">
    <w:abstractNumId w:val="30"/>
  </w:num>
  <w:num w:numId="23">
    <w:abstractNumId w:val="39"/>
  </w:num>
  <w:num w:numId="24">
    <w:abstractNumId w:val="19"/>
  </w:num>
  <w:num w:numId="25">
    <w:abstractNumId w:val="22"/>
  </w:num>
  <w:num w:numId="26">
    <w:abstractNumId w:val="20"/>
  </w:num>
  <w:num w:numId="27">
    <w:abstractNumId w:val="15"/>
  </w:num>
  <w:num w:numId="28">
    <w:abstractNumId w:val="4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2"/>
  </w:num>
  <w:num w:numId="41">
    <w:abstractNumId w:val="35"/>
  </w:num>
  <w:num w:numId="42">
    <w:abstractNumId w:val="33"/>
  </w:num>
  <w:num w:numId="43">
    <w:abstractNumId w:val="27"/>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64C"/>
    <w:rsid w:val="00005D8F"/>
    <w:rsid w:val="000100A7"/>
    <w:rsid w:val="0001762C"/>
    <w:rsid w:val="000202A8"/>
    <w:rsid w:val="0002085F"/>
    <w:rsid w:val="000249AC"/>
    <w:rsid w:val="00030270"/>
    <w:rsid w:val="00046168"/>
    <w:rsid w:val="00051940"/>
    <w:rsid w:val="0005659C"/>
    <w:rsid w:val="00063D6D"/>
    <w:rsid w:val="00064C75"/>
    <w:rsid w:val="0006638A"/>
    <w:rsid w:val="00066B0B"/>
    <w:rsid w:val="00070E37"/>
    <w:rsid w:val="000835E8"/>
    <w:rsid w:val="0009376E"/>
    <w:rsid w:val="000B0640"/>
    <w:rsid w:val="000C1F3D"/>
    <w:rsid w:val="000C2F25"/>
    <w:rsid w:val="000C4831"/>
    <w:rsid w:val="000C5912"/>
    <w:rsid w:val="000C6655"/>
    <w:rsid w:val="000D34A3"/>
    <w:rsid w:val="000D35A2"/>
    <w:rsid w:val="000D54A0"/>
    <w:rsid w:val="000E332A"/>
    <w:rsid w:val="000E655C"/>
    <w:rsid w:val="000F0B45"/>
    <w:rsid w:val="000F22DD"/>
    <w:rsid w:val="000F2CEA"/>
    <w:rsid w:val="00103110"/>
    <w:rsid w:val="00104BC5"/>
    <w:rsid w:val="00110167"/>
    <w:rsid w:val="001169F7"/>
    <w:rsid w:val="00116F04"/>
    <w:rsid w:val="00121D2F"/>
    <w:rsid w:val="00123302"/>
    <w:rsid w:val="00124CEC"/>
    <w:rsid w:val="00133D99"/>
    <w:rsid w:val="00134C11"/>
    <w:rsid w:val="00147592"/>
    <w:rsid w:val="00153708"/>
    <w:rsid w:val="001572AD"/>
    <w:rsid w:val="001576DB"/>
    <w:rsid w:val="00160CDB"/>
    <w:rsid w:val="0016463B"/>
    <w:rsid w:val="0018240B"/>
    <w:rsid w:val="00183633"/>
    <w:rsid w:val="001A6981"/>
    <w:rsid w:val="001A7A85"/>
    <w:rsid w:val="001B2310"/>
    <w:rsid w:val="001B3BBD"/>
    <w:rsid w:val="001B7138"/>
    <w:rsid w:val="001B79A6"/>
    <w:rsid w:val="001C09DA"/>
    <w:rsid w:val="001D1461"/>
    <w:rsid w:val="001D5A30"/>
    <w:rsid w:val="001E78FF"/>
    <w:rsid w:val="001E7A64"/>
    <w:rsid w:val="001F45F0"/>
    <w:rsid w:val="00203620"/>
    <w:rsid w:val="002041BD"/>
    <w:rsid w:val="00204C2A"/>
    <w:rsid w:val="002130A5"/>
    <w:rsid w:val="002148EF"/>
    <w:rsid w:val="00222B67"/>
    <w:rsid w:val="00227163"/>
    <w:rsid w:val="00237E35"/>
    <w:rsid w:val="00251266"/>
    <w:rsid w:val="00251FEE"/>
    <w:rsid w:val="00256C71"/>
    <w:rsid w:val="00262F8F"/>
    <w:rsid w:val="0026731F"/>
    <w:rsid w:val="00275F32"/>
    <w:rsid w:val="002878BE"/>
    <w:rsid w:val="0029211B"/>
    <w:rsid w:val="00293061"/>
    <w:rsid w:val="0029410F"/>
    <w:rsid w:val="002977EE"/>
    <w:rsid w:val="002A0492"/>
    <w:rsid w:val="002A4530"/>
    <w:rsid w:val="002A7F4B"/>
    <w:rsid w:val="002B1AEF"/>
    <w:rsid w:val="002B5584"/>
    <w:rsid w:val="002B6521"/>
    <w:rsid w:val="002C219B"/>
    <w:rsid w:val="002C2E84"/>
    <w:rsid w:val="002C2E97"/>
    <w:rsid w:val="002C751E"/>
    <w:rsid w:val="002D3EE3"/>
    <w:rsid w:val="002D4754"/>
    <w:rsid w:val="002D7735"/>
    <w:rsid w:val="002E6B8A"/>
    <w:rsid w:val="002E72B7"/>
    <w:rsid w:val="002F0B46"/>
    <w:rsid w:val="0030064C"/>
    <w:rsid w:val="0030276E"/>
    <w:rsid w:val="00304833"/>
    <w:rsid w:val="00314651"/>
    <w:rsid w:val="00321F66"/>
    <w:rsid w:val="00322D71"/>
    <w:rsid w:val="00322DD2"/>
    <w:rsid w:val="0034074D"/>
    <w:rsid w:val="0035604B"/>
    <w:rsid w:val="00362C85"/>
    <w:rsid w:val="00372CA3"/>
    <w:rsid w:val="00375085"/>
    <w:rsid w:val="00376590"/>
    <w:rsid w:val="00380942"/>
    <w:rsid w:val="00383FA7"/>
    <w:rsid w:val="00384F68"/>
    <w:rsid w:val="00386A66"/>
    <w:rsid w:val="00394510"/>
    <w:rsid w:val="00394788"/>
    <w:rsid w:val="003967FE"/>
    <w:rsid w:val="00396B6A"/>
    <w:rsid w:val="003A362B"/>
    <w:rsid w:val="003A7FB0"/>
    <w:rsid w:val="003B43DE"/>
    <w:rsid w:val="003C2BF7"/>
    <w:rsid w:val="003C626B"/>
    <w:rsid w:val="003D0FD7"/>
    <w:rsid w:val="003D2332"/>
    <w:rsid w:val="003D5923"/>
    <w:rsid w:val="003E016D"/>
    <w:rsid w:val="003E0181"/>
    <w:rsid w:val="003E0FDD"/>
    <w:rsid w:val="003E2F5F"/>
    <w:rsid w:val="003E3565"/>
    <w:rsid w:val="004120A4"/>
    <w:rsid w:val="0041701B"/>
    <w:rsid w:val="00421804"/>
    <w:rsid w:val="0043387B"/>
    <w:rsid w:val="00435ECE"/>
    <w:rsid w:val="00441E8D"/>
    <w:rsid w:val="00450341"/>
    <w:rsid w:val="004530F1"/>
    <w:rsid w:val="004535E8"/>
    <w:rsid w:val="00475212"/>
    <w:rsid w:val="00487125"/>
    <w:rsid w:val="004872C1"/>
    <w:rsid w:val="00487DCB"/>
    <w:rsid w:val="004A5341"/>
    <w:rsid w:val="004B1B9B"/>
    <w:rsid w:val="004B39A1"/>
    <w:rsid w:val="004B3FB4"/>
    <w:rsid w:val="004C04CC"/>
    <w:rsid w:val="004C06D5"/>
    <w:rsid w:val="004C1538"/>
    <w:rsid w:val="004C4DE5"/>
    <w:rsid w:val="004C61AD"/>
    <w:rsid w:val="004D3D6E"/>
    <w:rsid w:val="004E2DE5"/>
    <w:rsid w:val="004E545F"/>
    <w:rsid w:val="004E657B"/>
    <w:rsid w:val="004F01C3"/>
    <w:rsid w:val="004F1085"/>
    <w:rsid w:val="004F13B7"/>
    <w:rsid w:val="004F619A"/>
    <w:rsid w:val="004F7CCF"/>
    <w:rsid w:val="0050342F"/>
    <w:rsid w:val="005115D3"/>
    <w:rsid w:val="00535963"/>
    <w:rsid w:val="00540347"/>
    <w:rsid w:val="00540423"/>
    <w:rsid w:val="00541AC2"/>
    <w:rsid w:val="0054338C"/>
    <w:rsid w:val="00543A79"/>
    <w:rsid w:val="00544893"/>
    <w:rsid w:val="00544907"/>
    <w:rsid w:val="005622AC"/>
    <w:rsid w:val="0057159F"/>
    <w:rsid w:val="005956F0"/>
    <w:rsid w:val="005A3A1B"/>
    <w:rsid w:val="005A69A9"/>
    <w:rsid w:val="005B4E55"/>
    <w:rsid w:val="005B69B3"/>
    <w:rsid w:val="005C1F8A"/>
    <w:rsid w:val="005C6C9D"/>
    <w:rsid w:val="005D1F23"/>
    <w:rsid w:val="005D24AC"/>
    <w:rsid w:val="005D3BA0"/>
    <w:rsid w:val="005E2083"/>
    <w:rsid w:val="005E7D95"/>
    <w:rsid w:val="005F4618"/>
    <w:rsid w:val="00602B9D"/>
    <w:rsid w:val="00612978"/>
    <w:rsid w:val="00615806"/>
    <w:rsid w:val="006419CA"/>
    <w:rsid w:val="00645DC8"/>
    <w:rsid w:val="00660FE9"/>
    <w:rsid w:val="006671B7"/>
    <w:rsid w:val="00670706"/>
    <w:rsid w:val="00671C1C"/>
    <w:rsid w:val="00682532"/>
    <w:rsid w:val="00682F0B"/>
    <w:rsid w:val="00683755"/>
    <w:rsid w:val="006838EC"/>
    <w:rsid w:val="00685927"/>
    <w:rsid w:val="00694D0A"/>
    <w:rsid w:val="006974D4"/>
    <w:rsid w:val="006A510F"/>
    <w:rsid w:val="006B561D"/>
    <w:rsid w:val="006B5B96"/>
    <w:rsid w:val="006C5BE8"/>
    <w:rsid w:val="006D00AD"/>
    <w:rsid w:val="006D3455"/>
    <w:rsid w:val="006E0C7D"/>
    <w:rsid w:val="006E1D35"/>
    <w:rsid w:val="006E6060"/>
    <w:rsid w:val="00703D70"/>
    <w:rsid w:val="0071453C"/>
    <w:rsid w:val="00724B20"/>
    <w:rsid w:val="00727FB4"/>
    <w:rsid w:val="00731EA9"/>
    <w:rsid w:val="00732C68"/>
    <w:rsid w:val="00732FC9"/>
    <w:rsid w:val="00737523"/>
    <w:rsid w:val="0074768B"/>
    <w:rsid w:val="0075022D"/>
    <w:rsid w:val="00751686"/>
    <w:rsid w:val="00761676"/>
    <w:rsid w:val="0076638C"/>
    <w:rsid w:val="00777F88"/>
    <w:rsid w:val="007850FA"/>
    <w:rsid w:val="0079069D"/>
    <w:rsid w:val="007A120B"/>
    <w:rsid w:val="007A37F9"/>
    <w:rsid w:val="007A4399"/>
    <w:rsid w:val="007B4546"/>
    <w:rsid w:val="007C288B"/>
    <w:rsid w:val="007C3E7B"/>
    <w:rsid w:val="007E5D21"/>
    <w:rsid w:val="007E7011"/>
    <w:rsid w:val="007F1191"/>
    <w:rsid w:val="007F32B5"/>
    <w:rsid w:val="0080019C"/>
    <w:rsid w:val="008008DD"/>
    <w:rsid w:val="00802077"/>
    <w:rsid w:val="00802586"/>
    <w:rsid w:val="00822107"/>
    <w:rsid w:val="008226D4"/>
    <w:rsid w:val="008236FF"/>
    <w:rsid w:val="008250FE"/>
    <w:rsid w:val="00831BDE"/>
    <w:rsid w:val="0083729F"/>
    <w:rsid w:val="00854962"/>
    <w:rsid w:val="00867EF2"/>
    <w:rsid w:val="0087395E"/>
    <w:rsid w:val="0088444C"/>
    <w:rsid w:val="00891067"/>
    <w:rsid w:val="008A405A"/>
    <w:rsid w:val="008C121E"/>
    <w:rsid w:val="008D1EDD"/>
    <w:rsid w:val="008E4F1E"/>
    <w:rsid w:val="008F39FA"/>
    <w:rsid w:val="008F5851"/>
    <w:rsid w:val="00901E82"/>
    <w:rsid w:val="00902C46"/>
    <w:rsid w:val="0090520A"/>
    <w:rsid w:val="00914649"/>
    <w:rsid w:val="00920880"/>
    <w:rsid w:val="00920FFF"/>
    <w:rsid w:val="00921240"/>
    <w:rsid w:val="0093079E"/>
    <w:rsid w:val="00947809"/>
    <w:rsid w:val="00955694"/>
    <w:rsid w:val="009562D8"/>
    <w:rsid w:val="0096033C"/>
    <w:rsid w:val="00962B7D"/>
    <w:rsid w:val="00964B4D"/>
    <w:rsid w:val="009750C8"/>
    <w:rsid w:val="00977C9F"/>
    <w:rsid w:val="00985AEE"/>
    <w:rsid w:val="00994D54"/>
    <w:rsid w:val="009A6661"/>
    <w:rsid w:val="009A751F"/>
    <w:rsid w:val="009B21E9"/>
    <w:rsid w:val="009B2C75"/>
    <w:rsid w:val="009B6FFD"/>
    <w:rsid w:val="009C6388"/>
    <w:rsid w:val="009D1E2E"/>
    <w:rsid w:val="009D586E"/>
    <w:rsid w:val="009E2997"/>
    <w:rsid w:val="009F15D7"/>
    <w:rsid w:val="009F7976"/>
    <w:rsid w:val="00A00225"/>
    <w:rsid w:val="00A0211B"/>
    <w:rsid w:val="00A25F99"/>
    <w:rsid w:val="00A2611B"/>
    <w:rsid w:val="00A32309"/>
    <w:rsid w:val="00A33023"/>
    <w:rsid w:val="00A33AA5"/>
    <w:rsid w:val="00A354F7"/>
    <w:rsid w:val="00A37EF6"/>
    <w:rsid w:val="00A424A1"/>
    <w:rsid w:val="00A44FFB"/>
    <w:rsid w:val="00A504E5"/>
    <w:rsid w:val="00A50E6A"/>
    <w:rsid w:val="00A55207"/>
    <w:rsid w:val="00A631C3"/>
    <w:rsid w:val="00A747D0"/>
    <w:rsid w:val="00A74915"/>
    <w:rsid w:val="00A756C0"/>
    <w:rsid w:val="00A763B5"/>
    <w:rsid w:val="00A773E8"/>
    <w:rsid w:val="00A921F2"/>
    <w:rsid w:val="00A92610"/>
    <w:rsid w:val="00A92C4D"/>
    <w:rsid w:val="00A93B37"/>
    <w:rsid w:val="00A97608"/>
    <w:rsid w:val="00AA030D"/>
    <w:rsid w:val="00AD2CBF"/>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2D75"/>
    <w:rsid w:val="00B47884"/>
    <w:rsid w:val="00B51574"/>
    <w:rsid w:val="00B51BFB"/>
    <w:rsid w:val="00B53F6A"/>
    <w:rsid w:val="00B63AA2"/>
    <w:rsid w:val="00B91501"/>
    <w:rsid w:val="00B97531"/>
    <w:rsid w:val="00BA121F"/>
    <w:rsid w:val="00BB5027"/>
    <w:rsid w:val="00BC2F16"/>
    <w:rsid w:val="00BC4D92"/>
    <w:rsid w:val="00BC772D"/>
    <w:rsid w:val="00BE137F"/>
    <w:rsid w:val="00BF1895"/>
    <w:rsid w:val="00BF6670"/>
    <w:rsid w:val="00BF723C"/>
    <w:rsid w:val="00C00001"/>
    <w:rsid w:val="00C0094C"/>
    <w:rsid w:val="00C032B2"/>
    <w:rsid w:val="00C06ED8"/>
    <w:rsid w:val="00C17168"/>
    <w:rsid w:val="00C20E3E"/>
    <w:rsid w:val="00C25241"/>
    <w:rsid w:val="00C44140"/>
    <w:rsid w:val="00C53FED"/>
    <w:rsid w:val="00C56A50"/>
    <w:rsid w:val="00C62FCE"/>
    <w:rsid w:val="00C77C39"/>
    <w:rsid w:val="00C83D8C"/>
    <w:rsid w:val="00C9018A"/>
    <w:rsid w:val="00C965BF"/>
    <w:rsid w:val="00C971BF"/>
    <w:rsid w:val="00CA67E3"/>
    <w:rsid w:val="00CA684D"/>
    <w:rsid w:val="00CB0790"/>
    <w:rsid w:val="00CD586C"/>
    <w:rsid w:val="00D0446B"/>
    <w:rsid w:val="00D04AD0"/>
    <w:rsid w:val="00D06E38"/>
    <w:rsid w:val="00D118B9"/>
    <w:rsid w:val="00D14EFE"/>
    <w:rsid w:val="00D14F34"/>
    <w:rsid w:val="00D15B81"/>
    <w:rsid w:val="00D166C4"/>
    <w:rsid w:val="00D21B2E"/>
    <w:rsid w:val="00D23845"/>
    <w:rsid w:val="00D23AB5"/>
    <w:rsid w:val="00D256F7"/>
    <w:rsid w:val="00D33DB5"/>
    <w:rsid w:val="00D35830"/>
    <w:rsid w:val="00D35BBC"/>
    <w:rsid w:val="00D36EF5"/>
    <w:rsid w:val="00D415EC"/>
    <w:rsid w:val="00D51CBF"/>
    <w:rsid w:val="00D6056E"/>
    <w:rsid w:val="00D66290"/>
    <w:rsid w:val="00D730EB"/>
    <w:rsid w:val="00D73B65"/>
    <w:rsid w:val="00D75219"/>
    <w:rsid w:val="00D817E6"/>
    <w:rsid w:val="00D83C2C"/>
    <w:rsid w:val="00DA08BE"/>
    <w:rsid w:val="00DA30CF"/>
    <w:rsid w:val="00DA4BD2"/>
    <w:rsid w:val="00DA6921"/>
    <w:rsid w:val="00DB5A8F"/>
    <w:rsid w:val="00DB6A8B"/>
    <w:rsid w:val="00DC2219"/>
    <w:rsid w:val="00DC7AC3"/>
    <w:rsid w:val="00DD1A34"/>
    <w:rsid w:val="00DD575E"/>
    <w:rsid w:val="00DD670D"/>
    <w:rsid w:val="00DE347D"/>
    <w:rsid w:val="00DF632D"/>
    <w:rsid w:val="00E1386A"/>
    <w:rsid w:val="00E16D40"/>
    <w:rsid w:val="00E21999"/>
    <w:rsid w:val="00E222C6"/>
    <w:rsid w:val="00E27242"/>
    <w:rsid w:val="00E27CBD"/>
    <w:rsid w:val="00E42D63"/>
    <w:rsid w:val="00E4308C"/>
    <w:rsid w:val="00E50B26"/>
    <w:rsid w:val="00E519D3"/>
    <w:rsid w:val="00E525DE"/>
    <w:rsid w:val="00E57D4E"/>
    <w:rsid w:val="00E60854"/>
    <w:rsid w:val="00E663DF"/>
    <w:rsid w:val="00E72658"/>
    <w:rsid w:val="00E769A3"/>
    <w:rsid w:val="00E92649"/>
    <w:rsid w:val="00E95550"/>
    <w:rsid w:val="00EA2CCE"/>
    <w:rsid w:val="00EC2419"/>
    <w:rsid w:val="00EC49C1"/>
    <w:rsid w:val="00ED024C"/>
    <w:rsid w:val="00ED2842"/>
    <w:rsid w:val="00ED326B"/>
    <w:rsid w:val="00ED3955"/>
    <w:rsid w:val="00ED48D5"/>
    <w:rsid w:val="00EE119B"/>
    <w:rsid w:val="00EE248B"/>
    <w:rsid w:val="00EE2A33"/>
    <w:rsid w:val="00EE5D8C"/>
    <w:rsid w:val="00EE7338"/>
    <w:rsid w:val="00EF31B1"/>
    <w:rsid w:val="00EF509F"/>
    <w:rsid w:val="00EF586F"/>
    <w:rsid w:val="00EF6684"/>
    <w:rsid w:val="00F011AF"/>
    <w:rsid w:val="00F07877"/>
    <w:rsid w:val="00F12687"/>
    <w:rsid w:val="00F2577E"/>
    <w:rsid w:val="00F437A3"/>
    <w:rsid w:val="00F513CA"/>
    <w:rsid w:val="00F55C07"/>
    <w:rsid w:val="00F577DC"/>
    <w:rsid w:val="00F77341"/>
    <w:rsid w:val="00F80EF5"/>
    <w:rsid w:val="00F8336F"/>
    <w:rsid w:val="00F85D9B"/>
    <w:rsid w:val="00F94AB3"/>
    <w:rsid w:val="00F94BB8"/>
    <w:rsid w:val="00FB0EA1"/>
    <w:rsid w:val="00FB5834"/>
    <w:rsid w:val="00FB5F67"/>
    <w:rsid w:val="00FB68BE"/>
    <w:rsid w:val="00FC7743"/>
    <w:rsid w:val="00FE3648"/>
    <w:rsid w:val="00FE5211"/>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BB76954-1505-4380-A4FE-67EBB83B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0FE9"/>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CA67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
    <w:name w:val="Table Grid1"/>
    <w:basedOn w:val="TableNormal"/>
    <w:next w:val="TableGrid"/>
    <w:uiPriority w:val="59"/>
    <w:rsid w:val="005C1F8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31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20E3E"/>
    <w:rPr>
      <w:vertAlign w:val="superscript"/>
    </w:rPr>
  </w:style>
  <w:style w:type="table" w:customStyle="1" w:styleId="TableGrid3">
    <w:name w:val="Table Grid3"/>
    <w:basedOn w:val="TableNormal"/>
    <w:next w:val="TableGrid"/>
    <w:uiPriority w:val="39"/>
    <w:rsid w:val="00C20E3E"/>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C20E3E"/>
    <w:rPr>
      <w:rFonts w:ascii="Helvetica" w:eastAsia="Helvetica" w:hAnsi="Helvetica"/>
      <w:sz w:val="22"/>
      <w:szCs w:val="22"/>
      <w:lang w:val="en-NZ"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FootnoteText">
    <w:name w:val="footnote text"/>
    <w:basedOn w:val="Normal"/>
    <w:link w:val="FootnoteTextChar"/>
    <w:rsid w:val="00C20E3E"/>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C20E3E"/>
    <w:rPr>
      <w:rFonts w:ascii="Times New Roman" w:eastAsia="Times New Roman" w:hAnsi="Times New Roman"/>
      <w:lang w:eastAsia="en-US"/>
    </w:rPr>
  </w:style>
  <w:style w:type="table" w:styleId="GridTable4">
    <w:name w:val="Grid Table 4"/>
    <w:basedOn w:val="TableNormal"/>
    <w:uiPriority w:val="49"/>
    <w:rsid w:val="00C20E3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134C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4C11"/>
    <w:rPr>
      <w:rFonts w:ascii="Times New Roman" w:hAnsi="Times New Roman"/>
      <w:lang w:eastAsia="en-US"/>
    </w:rPr>
  </w:style>
  <w:style w:type="character" w:styleId="EndnoteReference">
    <w:name w:val="endnote reference"/>
    <w:basedOn w:val="DefaultParagraphFont"/>
    <w:uiPriority w:val="99"/>
    <w:semiHidden/>
    <w:unhideWhenUsed/>
    <w:rsid w:val="00134C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Australian%20Charities%20and%20Not-for-profits%20Commission%20Act%202012" TargetMode="External"/><Relationship Id="rId26" Type="http://schemas.openxmlformats.org/officeDocument/2006/relationships/hyperlink" Target="http://energymining.sa.gov.au/minerals/mining/public_notices_mining" TargetMode="External"/><Relationship Id="rId39" Type="http://schemas.openxmlformats.org/officeDocument/2006/relationships/hyperlink" Target="mailto:submissions@aemc.gov.au" TargetMode="External"/><Relationship Id="rId3" Type="http://schemas.openxmlformats.org/officeDocument/2006/relationships/styles" Target="styles.xml"/><Relationship Id="rId21" Type="http://schemas.openxmlformats.org/officeDocument/2006/relationships/hyperlink" Target="https://abhs.sa.edu.au/" TargetMode="External"/><Relationship Id="rId34" Type="http://schemas.openxmlformats.org/officeDocument/2006/relationships/hyperlink" Target="http://www.holdfast.sa.gov.au" TargetMode="External"/><Relationship Id="rId42" Type="http://schemas.openxmlformats.org/officeDocument/2006/relationships/hyperlink" Target="http://www.governmentgazette.sa.gov.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nmhs.sa.edu.au/middle-campus/special-interest-opportunities/" TargetMode="External"/><Relationship Id="rId33" Type="http://schemas.openxmlformats.org/officeDocument/2006/relationships/hyperlink" Target="https://www.petroleum.sa.gov.au/regulation/environmental-register" TargetMode="External"/><Relationship Id="rId38" Type="http://schemas.openxmlformats.org/officeDocument/2006/relationships/hyperlink" Target="mailto:AnneChampness@tatiara.sa.gov.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education.sa.gov.au/findaschool" TargetMode="External"/><Relationship Id="rId29" Type="http://schemas.openxmlformats.org/officeDocument/2006/relationships/hyperlink" Target="http://energymining.sa.gov.au/minerals/exploration/public_notices/exploration_licence_applications" TargetMode="External"/><Relationship Id="rId41"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ducation.sa.gov.au/findaschool" TargetMode="External"/><Relationship Id="rId32" Type="http://schemas.openxmlformats.org/officeDocument/2006/relationships/hyperlink" Target="http://www.legislation.sa.gov.au/index.aspx?action=legref&amp;type=subordleg&amp;legtitle=Motor%20Vehicles%20Regulations%202010" TargetMode="External"/><Relationship Id="rId37" Type="http://schemas.openxmlformats.org/officeDocument/2006/relationships/hyperlink" Target="mailto:AnneChampness@tatiara.sa.gov.au" TargetMode="External"/><Relationship Id="rId40" Type="http://schemas.openxmlformats.org/officeDocument/2006/relationships/hyperlink" Target="http://www.aemc.gov.au" TargetMode="Externa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adelaidehs.sa.edu.au/Enrolment/Enrolment-Options" TargetMode="External"/><Relationship Id="rId28" Type="http://schemas.openxmlformats.org/officeDocument/2006/relationships/hyperlink" Target="http://energymining.sa.gov.au/minerals/exploration/public_notices/exploration_licence_applications" TargetMode="External"/><Relationship Id="rId36" Type="http://schemas.openxmlformats.org/officeDocument/2006/relationships/hyperlink" Target="http://www.tatiara.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Subordinate%20Legislation%20Act%201978" TargetMode="External"/><Relationship Id="rId31" Type="http://schemas.openxmlformats.org/officeDocument/2006/relationships/hyperlink" Target="http://www.legislation.sa.gov.au/index.aspx?action=legref&amp;type=act&amp;legtitle=Motor%20Vehicles%20Act%201959"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education.sa.gov.au/findaschool" TargetMode="External"/><Relationship Id="rId27" Type="http://schemas.openxmlformats.org/officeDocument/2006/relationships/hyperlink" Target="mailto:dem.miningregrehab@sa.gov.au" TargetMode="External"/><Relationship Id="rId30"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35" Type="http://schemas.openxmlformats.org/officeDocument/2006/relationships/hyperlink" Target="http://www.ecsa.sa.gov.au" TargetMode="External"/><Relationship Id="rId43"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C51D0-8ED1-4913-97EB-446DE5D2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193</TotalTime>
  <Pages>33</Pages>
  <Words>17795</Words>
  <Characters>101435</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No. 23 - Thursday, 22 April 2021 (pp. 1217–1249)</vt:lpstr>
    </vt:vector>
  </TitlesOfParts>
  <Company>SA Government</Company>
  <LinksUpToDate>false</LinksUpToDate>
  <CharactersWithSpaces>118993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23 - Thursday, 22 April 2021 (pp. 1217–1249)</dc:title>
  <dc:subject/>
  <dc:creator>Alicia Wheaton</dc:creator>
  <cp:keywords/>
  <cp:lastModifiedBy>Alicia Wheaton</cp:lastModifiedBy>
  <cp:revision>107</cp:revision>
  <cp:lastPrinted>2021-04-22T02:52:00Z</cp:lastPrinted>
  <dcterms:created xsi:type="dcterms:W3CDTF">2021-04-21T00:30:00Z</dcterms:created>
  <dcterms:modified xsi:type="dcterms:W3CDTF">2021-04-22T02:53:00Z</dcterms:modified>
</cp:coreProperties>
</file>